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line="36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附件3：</w:t>
      </w:r>
    </w:p>
    <w:p>
      <w:pPr>
        <w:numPr>
          <w:ilvl w:val="0"/>
          <w:numId w:val="0"/>
        </w:numPr>
        <w:spacing w:line="360" w:lineRule="auto"/>
        <w:rPr>
          <w:rFonts w:hint="eastAsia" w:ascii="黑体" w:eastAsia="黑体"/>
          <w:sz w:val="36"/>
          <w:szCs w:val="36"/>
          <w:lang w:val="en-US" w:eastAsia="zh-CN"/>
        </w:rPr>
      </w:pPr>
      <w:r>
        <w:rPr>
          <w:rFonts w:hint="eastAsia" w:ascii="黑体" w:eastAsia="黑体"/>
          <w:sz w:val="36"/>
          <w:szCs w:val="36"/>
          <w:lang w:val="en-US" w:eastAsia="zh-CN"/>
        </w:rPr>
        <w:t>市</w:t>
      </w:r>
      <w:r>
        <w:rPr>
          <w:rFonts w:hint="eastAsia" w:ascii="黑体" w:eastAsia="黑体"/>
          <w:sz w:val="36"/>
          <w:szCs w:val="36"/>
        </w:rPr>
        <w:t>中心医院</w:t>
      </w:r>
      <w:r>
        <w:rPr>
          <w:rFonts w:hint="eastAsia" w:ascii="黑体" w:eastAsia="黑体"/>
          <w:sz w:val="36"/>
          <w:szCs w:val="36"/>
          <w:lang w:eastAsia="zh-CN"/>
        </w:rPr>
        <w:t>康巴什</w:t>
      </w:r>
      <w:r>
        <w:rPr>
          <w:rFonts w:hint="eastAsia" w:ascii="黑体" w:eastAsia="黑体"/>
          <w:sz w:val="36"/>
          <w:szCs w:val="36"/>
        </w:rPr>
        <w:t>部</w:t>
      </w:r>
      <w:r>
        <w:rPr>
          <w:rFonts w:hint="eastAsia" w:ascii="黑体" w:eastAsia="黑体"/>
          <w:sz w:val="36"/>
          <w:szCs w:val="36"/>
          <w:lang w:eastAsia="zh-CN"/>
        </w:rPr>
        <w:t>静脉配液中心改造</w:t>
      </w:r>
      <w:r>
        <w:rPr>
          <w:rFonts w:hint="eastAsia" w:ascii="黑体" w:eastAsia="黑体"/>
          <w:sz w:val="36"/>
          <w:szCs w:val="36"/>
        </w:rPr>
        <w:t>工程</w:t>
      </w:r>
      <w:r>
        <w:rPr>
          <w:rFonts w:hint="eastAsia" w:ascii="黑体" w:eastAsia="黑体"/>
          <w:sz w:val="36"/>
          <w:szCs w:val="36"/>
          <w:lang w:val="en-US" w:eastAsia="zh-CN"/>
        </w:rPr>
        <w:t>资质要求</w:t>
      </w:r>
    </w:p>
    <w:p>
      <w:pPr>
        <w:numPr>
          <w:ilvl w:val="0"/>
          <w:numId w:val="0"/>
        </w:numPr>
        <w:spacing w:line="360" w:lineRule="auto"/>
        <w:rPr>
          <w:rFonts w:hint="eastAsia" w:ascii="黑体" w:eastAsia="黑体"/>
          <w:sz w:val="36"/>
          <w:szCs w:val="36"/>
          <w:lang w:val="en-US" w:eastAsia="zh-CN"/>
        </w:rPr>
      </w:pPr>
    </w:p>
    <w:tbl>
      <w:tblPr>
        <w:tblStyle w:val="3"/>
        <w:tblW w:w="87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7"/>
        <w:gridCol w:w="2637"/>
        <w:gridCol w:w="5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jc w:val="center"/>
        </w:trPr>
        <w:tc>
          <w:tcPr>
            <w:tcW w:w="347" w:type="dxa"/>
            <w:vMerge w:val="restart"/>
            <w:tcBorders>
              <w:left w:val="single" w:color="auto" w:sz="4" w:space="0"/>
              <w:right w:val="single" w:color="auto" w:sz="4" w:space="0"/>
            </w:tcBorders>
            <w:vAlign w:val="center"/>
          </w:tcPr>
          <w:p>
            <w:pPr>
              <w:jc w:val="left"/>
              <w:rPr>
                <w:rFonts w:hint="eastAsia" w:ascii="仿宋" w:hAnsi="仿宋" w:eastAsia="仿宋" w:cs="仿宋"/>
                <w:sz w:val="28"/>
                <w:szCs w:val="28"/>
              </w:rPr>
            </w:pPr>
          </w:p>
          <w:p>
            <w:pPr>
              <w:jc w:val="left"/>
              <w:rPr>
                <w:rFonts w:hint="eastAsia" w:ascii="仿宋" w:hAnsi="仿宋" w:eastAsia="仿宋" w:cs="仿宋"/>
                <w:sz w:val="28"/>
                <w:szCs w:val="28"/>
              </w:rPr>
            </w:pPr>
          </w:p>
        </w:tc>
        <w:tc>
          <w:tcPr>
            <w:tcW w:w="2637"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 w:hAnsi="仿宋" w:eastAsia="仿宋" w:cs="仿宋"/>
                <w:sz w:val="28"/>
                <w:szCs w:val="28"/>
              </w:rPr>
            </w:pPr>
            <w:r>
              <w:rPr>
                <w:rFonts w:hint="eastAsia" w:ascii="仿宋" w:hAnsi="仿宋" w:eastAsia="仿宋" w:cs="仿宋"/>
                <w:sz w:val="28"/>
                <w:szCs w:val="28"/>
              </w:rPr>
              <w:t>具有独立承担民事责任的能力</w:t>
            </w:r>
          </w:p>
        </w:tc>
        <w:tc>
          <w:tcPr>
            <w:tcW w:w="5815"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 w:hAnsi="仿宋" w:eastAsia="仿宋" w:cs="仿宋"/>
                <w:sz w:val="28"/>
                <w:szCs w:val="28"/>
              </w:rPr>
            </w:pPr>
            <w:r>
              <w:rPr>
                <w:rFonts w:hint="eastAsia" w:ascii="仿宋" w:hAnsi="仿宋" w:eastAsia="仿宋" w:cs="仿宋"/>
                <w:sz w:val="28"/>
                <w:szCs w:val="28"/>
              </w:rPr>
              <w:t>审查有效的营业执照或事业单位法人证书或执业许可证或自然人的身份证明。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32" w:hRule="atLeast"/>
          <w:jc w:val="center"/>
        </w:trPr>
        <w:tc>
          <w:tcPr>
            <w:tcW w:w="347" w:type="dxa"/>
            <w:vMerge w:val="continue"/>
            <w:tcBorders>
              <w:left w:val="single" w:color="auto" w:sz="4" w:space="0"/>
              <w:right w:val="single" w:color="auto" w:sz="4" w:space="0"/>
            </w:tcBorders>
            <w:vAlign w:val="center"/>
          </w:tcPr>
          <w:p>
            <w:pPr>
              <w:widowControl/>
              <w:jc w:val="left"/>
              <w:rPr>
                <w:rFonts w:hint="eastAsia" w:ascii="仿宋" w:hAnsi="仿宋" w:eastAsia="仿宋" w:cs="仿宋"/>
                <w:sz w:val="28"/>
                <w:szCs w:val="28"/>
              </w:rPr>
            </w:pPr>
          </w:p>
        </w:tc>
        <w:tc>
          <w:tcPr>
            <w:tcW w:w="2637"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 w:hAnsi="仿宋" w:eastAsia="仿宋" w:cs="仿宋"/>
                <w:sz w:val="28"/>
                <w:szCs w:val="28"/>
              </w:rPr>
            </w:pPr>
            <w:r>
              <w:rPr>
                <w:rFonts w:hint="eastAsia" w:ascii="仿宋" w:hAnsi="仿宋" w:eastAsia="仿宋" w:cs="仿宋"/>
                <w:sz w:val="28"/>
                <w:szCs w:val="28"/>
              </w:rPr>
              <w:t>具有良好的商业信誉和健全的财务会计制度</w:t>
            </w:r>
          </w:p>
        </w:tc>
        <w:tc>
          <w:tcPr>
            <w:tcW w:w="5815"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 w:hAnsi="仿宋" w:eastAsia="仿宋" w:cs="仿宋"/>
                <w:sz w:val="28"/>
                <w:szCs w:val="28"/>
              </w:rPr>
            </w:pPr>
            <w:r>
              <w:rPr>
                <w:rFonts w:hint="eastAsia" w:ascii="仿宋" w:hAnsi="仿宋" w:eastAsia="仿宋" w:cs="仿宋"/>
                <w:sz w:val="28"/>
                <w:szCs w:val="28"/>
              </w:rPr>
              <w:t>1.投标人是法人的审查会计师事务所出具的近一年度财务审计报告或基本开户银行近一年内出具的资信证明。</w:t>
            </w:r>
          </w:p>
          <w:p>
            <w:pPr>
              <w:jc w:val="left"/>
              <w:rPr>
                <w:rFonts w:hint="eastAsia" w:ascii="仿宋" w:hAnsi="仿宋" w:eastAsia="仿宋" w:cs="仿宋"/>
                <w:sz w:val="28"/>
                <w:szCs w:val="28"/>
              </w:rPr>
            </w:pPr>
            <w:r>
              <w:rPr>
                <w:rFonts w:hint="eastAsia" w:ascii="仿宋" w:hAnsi="仿宋" w:eastAsia="仿宋" w:cs="仿宋"/>
                <w:sz w:val="28"/>
                <w:szCs w:val="28"/>
              </w:rPr>
              <w:t>2.投标人是部分其他组织或自然人的，审查银行近一年内出具的资信证明。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3" w:hRule="atLeast"/>
          <w:jc w:val="center"/>
        </w:trPr>
        <w:tc>
          <w:tcPr>
            <w:tcW w:w="347" w:type="dxa"/>
            <w:vMerge w:val="continue"/>
            <w:tcBorders>
              <w:left w:val="single" w:color="auto" w:sz="4" w:space="0"/>
              <w:right w:val="single" w:color="auto" w:sz="4" w:space="0"/>
            </w:tcBorders>
            <w:vAlign w:val="center"/>
          </w:tcPr>
          <w:p>
            <w:pPr>
              <w:widowControl/>
              <w:jc w:val="left"/>
              <w:rPr>
                <w:rFonts w:hint="eastAsia" w:ascii="仿宋" w:hAnsi="仿宋" w:eastAsia="仿宋" w:cs="仿宋"/>
                <w:sz w:val="28"/>
                <w:szCs w:val="28"/>
              </w:rPr>
            </w:pPr>
          </w:p>
        </w:tc>
        <w:tc>
          <w:tcPr>
            <w:tcW w:w="2637"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 w:hAnsi="仿宋" w:eastAsia="仿宋" w:cs="仿宋"/>
                <w:sz w:val="28"/>
                <w:szCs w:val="28"/>
              </w:rPr>
            </w:pPr>
            <w:r>
              <w:rPr>
                <w:rFonts w:hint="eastAsia" w:ascii="仿宋" w:hAnsi="仿宋" w:eastAsia="仿宋" w:cs="仿宋"/>
                <w:sz w:val="28"/>
                <w:szCs w:val="28"/>
              </w:rPr>
              <w:t>有依法缴纳税收和社会保障资金的良好记录</w:t>
            </w:r>
          </w:p>
        </w:tc>
        <w:tc>
          <w:tcPr>
            <w:tcW w:w="5815"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 w:hAnsi="仿宋" w:eastAsia="仿宋" w:cs="仿宋"/>
                <w:sz w:val="28"/>
                <w:szCs w:val="28"/>
              </w:rPr>
            </w:pPr>
            <w:r>
              <w:rPr>
                <w:rFonts w:hint="eastAsia" w:ascii="仿宋" w:hAnsi="仿宋" w:eastAsia="仿宋" w:cs="仿宋"/>
                <w:sz w:val="28"/>
                <w:szCs w:val="28"/>
              </w:rPr>
              <w:t>1.提供递交投标文件截止之日前六个月内（至少一个月）的良好缴纳税收的相关凭据。（以税务机关提供的纳税凭据或银行入账单为准）</w:t>
            </w:r>
          </w:p>
          <w:p>
            <w:pPr>
              <w:jc w:val="left"/>
              <w:rPr>
                <w:rFonts w:hint="eastAsia" w:ascii="仿宋" w:hAnsi="仿宋" w:eastAsia="仿宋" w:cs="仿宋"/>
                <w:sz w:val="28"/>
                <w:szCs w:val="28"/>
              </w:rPr>
            </w:pPr>
            <w:r>
              <w:rPr>
                <w:rFonts w:hint="eastAsia" w:ascii="仿宋" w:hAnsi="仿宋" w:eastAsia="仿宋" w:cs="仿宋"/>
                <w:sz w:val="28"/>
                <w:szCs w:val="28"/>
              </w:rPr>
              <w:t>2.提供递交投标文件截止之日前六个月内（至少一个月）缴纳社会保险的凭证。（以社保机构出具的专用收据或社会保险缴纳清单为准）</w:t>
            </w:r>
          </w:p>
          <w:p>
            <w:pPr>
              <w:jc w:val="left"/>
              <w:rPr>
                <w:rFonts w:hint="eastAsia" w:ascii="仿宋" w:hAnsi="仿宋" w:eastAsia="仿宋" w:cs="仿宋"/>
                <w:sz w:val="28"/>
                <w:szCs w:val="28"/>
              </w:rPr>
            </w:pPr>
            <w:r>
              <w:rPr>
                <w:rFonts w:hint="eastAsia" w:ascii="仿宋" w:hAnsi="仿宋" w:eastAsia="仿宋" w:cs="仿宋"/>
                <w:sz w:val="28"/>
                <w:szCs w:val="28"/>
              </w:rPr>
              <w:t>注：依法免税或不需要缴纳社会保障资金的投标人，应提供相应文件证明其依法免税或不需要缴纳社会保障资金。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jc w:val="center"/>
        </w:trPr>
        <w:tc>
          <w:tcPr>
            <w:tcW w:w="347" w:type="dxa"/>
            <w:vMerge w:val="continue"/>
            <w:tcBorders>
              <w:left w:val="single" w:color="auto" w:sz="4" w:space="0"/>
              <w:right w:val="single" w:color="auto" w:sz="4" w:space="0"/>
            </w:tcBorders>
            <w:vAlign w:val="center"/>
          </w:tcPr>
          <w:p>
            <w:pPr>
              <w:widowControl/>
              <w:jc w:val="left"/>
              <w:rPr>
                <w:rFonts w:hint="eastAsia" w:ascii="仿宋" w:hAnsi="仿宋" w:eastAsia="仿宋" w:cs="仿宋"/>
                <w:sz w:val="28"/>
                <w:szCs w:val="28"/>
              </w:rPr>
            </w:pPr>
          </w:p>
        </w:tc>
        <w:tc>
          <w:tcPr>
            <w:tcW w:w="2637"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 w:hAnsi="仿宋" w:eastAsia="仿宋" w:cs="仿宋"/>
                <w:sz w:val="28"/>
                <w:szCs w:val="28"/>
              </w:rPr>
            </w:pPr>
            <w:r>
              <w:rPr>
                <w:rFonts w:hint="eastAsia" w:ascii="仿宋" w:hAnsi="仿宋" w:eastAsia="仿宋" w:cs="仿宋"/>
                <w:sz w:val="28"/>
                <w:szCs w:val="28"/>
              </w:rPr>
              <w:t>具有履行合同所必须的设备和专业技术能力</w:t>
            </w:r>
          </w:p>
        </w:tc>
        <w:tc>
          <w:tcPr>
            <w:tcW w:w="5815"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 w:hAnsi="仿宋" w:eastAsia="仿宋" w:cs="仿宋"/>
                <w:sz w:val="28"/>
                <w:szCs w:val="28"/>
              </w:rPr>
            </w:pPr>
            <w:r>
              <w:rPr>
                <w:rFonts w:hint="eastAsia" w:ascii="仿宋" w:hAnsi="仿宋" w:eastAsia="仿宋" w:cs="仿宋"/>
                <w:sz w:val="28"/>
                <w:szCs w:val="28"/>
              </w:rPr>
              <w:t>经营范围符合采购需求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6" w:hRule="atLeast"/>
          <w:jc w:val="center"/>
        </w:trPr>
        <w:tc>
          <w:tcPr>
            <w:tcW w:w="347" w:type="dxa"/>
            <w:vMerge w:val="continue"/>
            <w:tcBorders>
              <w:left w:val="single" w:color="auto" w:sz="4" w:space="0"/>
              <w:right w:val="single" w:color="auto" w:sz="4" w:space="0"/>
            </w:tcBorders>
            <w:vAlign w:val="center"/>
          </w:tcPr>
          <w:p>
            <w:pPr>
              <w:widowControl/>
              <w:jc w:val="left"/>
              <w:rPr>
                <w:rFonts w:hint="eastAsia" w:ascii="仿宋" w:hAnsi="仿宋" w:eastAsia="仿宋" w:cs="仿宋"/>
                <w:sz w:val="28"/>
                <w:szCs w:val="28"/>
              </w:rPr>
            </w:pPr>
          </w:p>
        </w:tc>
        <w:tc>
          <w:tcPr>
            <w:tcW w:w="2637"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 w:hAnsi="仿宋" w:eastAsia="仿宋" w:cs="仿宋"/>
                <w:sz w:val="28"/>
                <w:szCs w:val="28"/>
              </w:rPr>
            </w:pPr>
            <w:r>
              <w:rPr>
                <w:rFonts w:hint="eastAsia" w:ascii="仿宋" w:hAnsi="仿宋" w:eastAsia="仿宋" w:cs="仿宋"/>
                <w:sz w:val="28"/>
                <w:szCs w:val="28"/>
              </w:rPr>
              <w:t>参加采购活动前3年内，在经营活动中没有重大违法记录</w:t>
            </w:r>
          </w:p>
        </w:tc>
        <w:tc>
          <w:tcPr>
            <w:tcW w:w="5815"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 w:hAnsi="仿宋" w:eastAsia="仿宋" w:cs="仿宋"/>
                <w:sz w:val="28"/>
                <w:szCs w:val="28"/>
              </w:rPr>
            </w:pPr>
            <w:r>
              <w:rPr>
                <w:rFonts w:hint="eastAsia" w:ascii="仿宋" w:hAnsi="仿宋" w:eastAsia="仿宋" w:cs="仿宋"/>
                <w:sz w:val="28"/>
                <w:szCs w:val="28"/>
              </w:rPr>
              <w:t>1.审查“参加本采购活动前3年内”投标人书面声明函；</w:t>
            </w:r>
          </w:p>
          <w:p>
            <w:pPr>
              <w:jc w:val="left"/>
              <w:rPr>
                <w:rFonts w:hint="eastAsia" w:ascii="仿宋" w:hAnsi="仿宋" w:eastAsia="仿宋" w:cs="仿宋"/>
                <w:sz w:val="28"/>
                <w:szCs w:val="28"/>
              </w:rPr>
            </w:pPr>
            <w:r>
              <w:rPr>
                <w:rFonts w:hint="eastAsia" w:ascii="仿宋" w:hAnsi="仿宋" w:eastAsia="仿宋" w:cs="仿宋"/>
                <w:sz w:val="28"/>
                <w:szCs w:val="28"/>
              </w:rPr>
              <w:t>2.到提交投标文件的截止时间，投标人未被列入失信被执行人、重大税收违法案件当事人名单、政府采购严重违法失信行为记录名单。（以投标人通过“信用中国”网站和“中国政府采购网”网站的信用记录截图和评标现场核实情况为准，如相关失信记录已失效，投标人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7" w:hRule="atLeast"/>
          <w:jc w:val="center"/>
        </w:trPr>
        <w:tc>
          <w:tcPr>
            <w:tcW w:w="347" w:type="dxa"/>
            <w:vMerge w:val="continue"/>
            <w:tcBorders>
              <w:left w:val="single" w:color="auto" w:sz="4" w:space="0"/>
              <w:right w:val="single" w:color="auto" w:sz="4" w:space="0"/>
            </w:tcBorders>
            <w:vAlign w:val="center"/>
          </w:tcPr>
          <w:p>
            <w:pPr>
              <w:widowControl/>
              <w:jc w:val="left"/>
              <w:rPr>
                <w:rFonts w:hint="eastAsia" w:ascii="仿宋" w:hAnsi="仿宋" w:eastAsia="仿宋" w:cs="仿宋"/>
                <w:sz w:val="28"/>
                <w:szCs w:val="28"/>
              </w:rPr>
            </w:pPr>
          </w:p>
        </w:tc>
        <w:tc>
          <w:tcPr>
            <w:tcW w:w="2637"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 w:hAnsi="仿宋" w:eastAsia="仿宋" w:cs="仿宋"/>
                <w:sz w:val="28"/>
                <w:szCs w:val="28"/>
              </w:rPr>
            </w:pPr>
            <w:r>
              <w:rPr>
                <w:rFonts w:hint="eastAsia" w:ascii="仿宋" w:hAnsi="仿宋" w:eastAsia="仿宋" w:cs="仿宋"/>
                <w:sz w:val="28"/>
                <w:szCs w:val="28"/>
              </w:rPr>
              <w:t>资质要求</w:t>
            </w:r>
          </w:p>
        </w:tc>
        <w:tc>
          <w:tcPr>
            <w:tcW w:w="5815"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 w:hAnsi="仿宋" w:eastAsia="仿宋" w:cs="仿宋"/>
                <w:sz w:val="28"/>
                <w:szCs w:val="28"/>
              </w:rPr>
            </w:pPr>
            <w:r>
              <w:rPr>
                <w:rFonts w:hint="eastAsia" w:ascii="仿宋" w:hAnsi="仿宋" w:eastAsia="仿宋" w:cs="仿宋"/>
                <w:sz w:val="28"/>
                <w:szCs w:val="28"/>
                <w:lang w:eastAsia="zh-CN"/>
              </w:rPr>
              <w:t>具备</w:t>
            </w:r>
            <w:r>
              <w:rPr>
                <w:rFonts w:hint="eastAsia" w:ascii="仿宋" w:hAnsi="仿宋" w:eastAsia="仿宋" w:cs="仿宋"/>
                <w:sz w:val="28"/>
                <w:szCs w:val="28"/>
              </w:rPr>
              <w:t>机电</w:t>
            </w:r>
            <w:r>
              <w:rPr>
                <w:rFonts w:hint="eastAsia" w:ascii="仿宋" w:hAnsi="仿宋" w:eastAsia="仿宋" w:cs="仿宋"/>
                <w:sz w:val="28"/>
                <w:szCs w:val="28"/>
                <w:lang w:eastAsia="zh-CN"/>
              </w:rPr>
              <w:t>设备</w:t>
            </w:r>
            <w:r>
              <w:rPr>
                <w:rFonts w:hint="eastAsia" w:ascii="仿宋" w:hAnsi="仿宋" w:eastAsia="仿宋" w:cs="仿宋"/>
                <w:sz w:val="28"/>
                <w:szCs w:val="28"/>
              </w:rPr>
              <w:t>安装</w:t>
            </w:r>
            <w:r>
              <w:rPr>
                <w:rFonts w:hint="eastAsia" w:ascii="仿宋" w:hAnsi="仿宋" w:eastAsia="仿宋" w:cs="仿宋"/>
                <w:sz w:val="28"/>
                <w:szCs w:val="28"/>
                <w:lang w:eastAsia="zh-CN"/>
              </w:rPr>
              <w:t>工程专业承包</w:t>
            </w:r>
            <w:r>
              <w:rPr>
                <w:rFonts w:hint="eastAsia" w:ascii="仿宋" w:hAnsi="仿宋" w:eastAsia="仿宋" w:cs="仿宋"/>
                <w:sz w:val="28"/>
                <w:szCs w:val="28"/>
              </w:rPr>
              <w:t>三级</w:t>
            </w:r>
            <w:r>
              <w:rPr>
                <w:rFonts w:hint="eastAsia" w:ascii="仿宋" w:hAnsi="仿宋" w:eastAsia="仿宋" w:cs="仿宋"/>
                <w:sz w:val="28"/>
                <w:szCs w:val="28"/>
                <w:lang w:eastAsia="zh-CN"/>
              </w:rPr>
              <w:t>资质及以上且具备建筑装饰装修工程专业承包</w:t>
            </w:r>
            <w:r>
              <w:rPr>
                <w:rFonts w:hint="eastAsia" w:ascii="仿宋" w:hAnsi="仿宋" w:eastAsia="仿宋" w:cs="仿宋"/>
                <w:sz w:val="28"/>
                <w:szCs w:val="28"/>
              </w:rPr>
              <w:t>二级</w:t>
            </w:r>
            <w:r>
              <w:rPr>
                <w:rFonts w:hint="eastAsia" w:ascii="仿宋" w:hAnsi="仿宋" w:eastAsia="仿宋" w:cs="仿宋"/>
                <w:sz w:val="28"/>
                <w:szCs w:val="28"/>
                <w:lang w:eastAsia="zh-CN"/>
              </w:rPr>
              <w:t>资质及以上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7" w:hRule="atLeast"/>
          <w:jc w:val="center"/>
        </w:trPr>
        <w:tc>
          <w:tcPr>
            <w:tcW w:w="347" w:type="dxa"/>
            <w:vMerge w:val="continue"/>
            <w:tcBorders>
              <w:left w:val="single" w:color="auto" w:sz="4" w:space="0"/>
              <w:right w:val="single" w:color="auto" w:sz="4" w:space="0"/>
            </w:tcBorders>
            <w:vAlign w:val="center"/>
          </w:tcPr>
          <w:p>
            <w:pPr>
              <w:rPr>
                <w:rFonts w:hint="eastAsia" w:ascii="仿宋" w:hAnsi="仿宋" w:eastAsia="仿宋" w:cs="仿宋"/>
                <w:sz w:val="28"/>
                <w:szCs w:val="28"/>
              </w:rPr>
            </w:pPr>
          </w:p>
        </w:tc>
        <w:tc>
          <w:tcPr>
            <w:tcW w:w="2637"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 w:hAnsi="仿宋" w:eastAsia="仿宋" w:cs="仿宋"/>
                <w:sz w:val="28"/>
                <w:szCs w:val="28"/>
              </w:rPr>
            </w:pPr>
            <w:r>
              <w:rPr>
                <w:rFonts w:hint="eastAsia" w:ascii="仿宋" w:hAnsi="仿宋" w:eastAsia="仿宋" w:cs="仿宋"/>
                <w:sz w:val="28"/>
                <w:szCs w:val="28"/>
              </w:rPr>
              <w:t>主要商务条款</w:t>
            </w:r>
          </w:p>
        </w:tc>
        <w:tc>
          <w:tcPr>
            <w:tcW w:w="5815"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 w:hAnsi="仿宋" w:eastAsia="仿宋" w:cs="仿宋"/>
                <w:sz w:val="28"/>
                <w:szCs w:val="28"/>
                <w:lang w:val="en-US" w:eastAsia="zh-CN"/>
              </w:rPr>
            </w:pPr>
            <w:r>
              <w:rPr>
                <w:rFonts w:hint="eastAsia" w:ascii="仿宋" w:hAnsi="仿宋" w:eastAsia="仿宋" w:cs="仿宋"/>
                <w:sz w:val="28"/>
                <w:szCs w:val="28"/>
              </w:rPr>
              <w:t>施工期限：</w:t>
            </w:r>
            <w:r>
              <w:rPr>
                <w:rFonts w:hint="eastAsia" w:ascii="仿宋" w:hAnsi="仿宋" w:eastAsia="仿宋" w:cs="仿宋"/>
                <w:sz w:val="28"/>
                <w:szCs w:val="28"/>
                <w:lang w:val="en-US" w:eastAsia="zh-CN"/>
              </w:rPr>
              <w:t>2个月</w:t>
            </w:r>
          </w:p>
          <w:p>
            <w:pPr>
              <w:jc w:val="left"/>
              <w:rPr>
                <w:rFonts w:hint="eastAsia" w:ascii="仿宋" w:hAnsi="仿宋" w:eastAsia="仿宋" w:cs="仿宋"/>
                <w:sz w:val="28"/>
                <w:szCs w:val="28"/>
              </w:rPr>
            </w:pPr>
            <w:r>
              <w:rPr>
                <w:rFonts w:hint="eastAsia" w:ascii="仿宋" w:hAnsi="仿宋" w:eastAsia="仿宋" w:cs="仿宋"/>
                <w:sz w:val="28"/>
                <w:szCs w:val="28"/>
              </w:rPr>
              <w:t>付款方式：权威机构验收合格后付90%，质保期满一年付10%。中标价格为施工控制价，最终以第三方审计审核为准。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7" w:hRule="atLeast"/>
          <w:jc w:val="center"/>
        </w:trPr>
        <w:tc>
          <w:tcPr>
            <w:tcW w:w="347" w:type="dxa"/>
            <w:vMerge w:val="continue"/>
            <w:tcBorders>
              <w:left w:val="single" w:color="auto" w:sz="4" w:space="0"/>
              <w:right w:val="single" w:color="auto" w:sz="4" w:space="0"/>
            </w:tcBorders>
            <w:vAlign w:val="center"/>
          </w:tcPr>
          <w:p>
            <w:pPr>
              <w:rPr>
                <w:rFonts w:hint="eastAsia" w:ascii="仿宋" w:hAnsi="仿宋" w:eastAsia="仿宋" w:cs="仿宋"/>
                <w:sz w:val="28"/>
                <w:szCs w:val="28"/>
              </w:rPr>
            </w:pPr>
          </w:p>
        </w:tc>
        <w:tc>
          <w:tcPr>
            <w:tcW w:w="2637"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 w:hAnsi="仿宋" w:eastAsia="仿宋" w:cs="仿宋"/>
                <w:sz w:val="28"/>
                <w:szCs w:val="28"/>
              </w:rPr>
            </w:pPr>
            <w:r>
              <w:rPr>
                <w:rFonts w:hint="eastAsia" w:ascii="仿宋" w:hAnsi="仿宋" w:eastAsia="仿宋" w:cs="仿宋"/>
                <w:sz w:val="28"/>
                <w:szCs w:val="28"/>
              </w:rPr>
              <w:t>业绩审查</w:t>
            </w:r>
          </w:p>
        </w:tc>
        <w:tc>
          <w:tcPr>
            <w:tcW w:w="5815"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 w:hAnsi="仿宋" w:eastAsia="仿宋" w:cs="仿宋"/>
                <w:sz w:val="28"/>
                <w:szCs w:val="28"/>
              </w:rPr>
            </w:pPr>
            <w:r>
              <w:rPr>
                <w:rFonts w:hint="eastAsia" w:ascii="仿宋" w:hAnsi="仿宋" w:eastAsia="仿宋" w:cs="仿宋"/>
                <w:sz w:val="28"/>
                <w:szCs w:val="28"/>
              </w:rPr>
              <w:t>提供静脉配液装修业绩，审查合同原件3份类似业绩，不能提供做废标处理。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347" w:type="dxa"/>
            <w:vMerge w:val="continue"/>
            <w:tcBorders>
              <w:left w:val="single" w:color="auto" w:sz="4" w:space="0"/>
              <w:right w:val="single" w:color="auto" w:sz="4" w:space="0"/>
            </w:tcBorders>
            <w:vAlign w:val="center"/>
          </w:tcPr>
          <w:p>
            <w:pPr>
              <w:rPr>
                <w:rFonts w:hint="eastAsia" w:ascii="仿宋" w:hAnsi="仿宋" w:eastAsia="仿宋" w:cs="仿宋"/>
                <w:sz w:val="28"/>
                <w:szCs w:val="28"/>
              </w:rPr>
            </w:pPr>
          </w:p>
        </w:tc>
        <w:tc>
          <w:tcPr>
            <w:tcW w:w="2637"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 w:hAnsi="仿宋" w:eastAsia="仿宋" w:cs="仿宋"/>
                <w:sz w:val="28"/>
                <w:szCs w:val="28"/>
              </w:rPr>
            </w:pPr>
            <w:r>
              <w:rPr>
                <w:rFonts w:hint="eastAsia" w:ascii="仿宋" w:hAnsi="仿宋" w:eastAsia="仿宋" w:cs="仿宋"/>
                <w:sz w:val="28"/>
                <w:szCs w:val="28"/>
              </w:rPr>
              <w:t>联合体投标</w:t>
            </w:r>
          </w:p>
        </w:tc>
        <w:tc>
          <w:tcPr>
            <w:tcW w:w="5815" w:type="dxa"/>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仿宋" w:hAnsi="仿宋" w:eastAsia="仿宋" w:cs="仿宋"/>
                <w:sz w:val="28"/>
                <w:szCs w:val="28"/>
              </w:rPr>
            </w:pPr>
            <w:r>
              <w:rPr>
                <w:rFonts w:hint="eastAsia" w:ascii="仿宋" w:hAnsi="仿宋" w:eastAsia="仿宋" w:cs="仿宋"/>
                <w:sz w:val="28"/>
                <w:szCs w:val="28"/>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4" w:hRule="atLeast"/>
          <w:jc w:val="center"/>
        </w:trPr>
        <w:tc>
          <w:tcPr>
            <w:tcW w:w="347" w:type="dxa"/>
            <w:vMerge w:val="continue"/>
            <w:tcBorders>
              <w:left w:val="single" w:color="auto" w:sz="4" w:space="0"/>
              <w:right w:val="single" w:color="auto" w:sz="4" w:space="0"/>
            </w:tcBorders>
            <w:vAlign w:val="center"/>
          </w:tcPr>
          <w:p>
            <w:pPr>
              <w:rPr>
                <w:rFonts w:hint="eastAsia" w:ascii="仿宋" w:hAnsi="仿宋" w:eastAsia="仿宋" w:cs="仿宋"/>
                <w:sz w:val="28"/>
                <w:szCs w:val="28"/>
              </w:rPr>
            </w:pPr>
          </w:p>
        </w:tc>
        <w:tc>
          <w:tcPr>
            <w:tcW w:w="2637" w:type="dxa"/>
            <w:vMerge w:val="restart"/>
            <w:tcBorders>
              <w:top w:val="single" w:color="auto" w:sz="4" w:space="0"/>
              <w:left w:val="single" w:color="auto" w:sz="4" w:space="0"/>
              <w:right w:val="single" w:color="auto" w:sz="4" w:space="0"/>
            </w:tcBorders>
            <w:vAlign w:val="center"/>
          </w:tcPr>
          <w:p>
            <w:pPr>
              <w:jc w:val="left"/>
              <w:rPr>
                <w:rFonts w:hint="eastAsia" w:ascii="仿宋" w:hAnsi="仿宋" w:eastAsia="仿宋" w:cs="仿宋"/>
                <w:sz w:val="28"/>
                <w:szCs w:val="28"/>
              </w:rPr>
            </w:pPr>
            <w:r>
              <w:rPr>
                <w:rFonts w:hint="eastAsia" w:ascii="仿宋" w:hAnsi="仿宋" w:eastAsia="仿宋" w:cs="仿宋"/>
                <w:sz w:val="28"/>
                <w:szCs w:val="28"/>
              </w:rPr>
              <w:t>实质性内容</w:t>
            </w:r>
          </w:p>
        </w:tc>
        <w:tc>
          <w:tcPr>
            <w:tcW w:w="5815" w:type="dxa"/>
            <w:tcBorders>
              <w:top w:val="single" w:color="auto" w:sz="4" w:space="0"/>
              <w:left w:val="single" w:color="auto" w:sz="4" w:space="0"/>
              <w:right w:val="single" w:color="auto" w:sz="4" w:space="0"/>
            </w:tcBorders>
            <w:vAlign w:val="center"/>
          </w:tcPr>
          <w:p>
            <w:pPr>
              <w:snapToGrid w:val="0"/>
              <w:jc w:val="left"/>
              <w:rPr>
                <w:rFonts w:hint="eastAsia" w:ascii="仿宋" w:hAnsi="仿宋" w:eastAsia="仿宋" w:cs="仿宋"/>
                <w:sz w:val="28"/>
                <w:szCs w:val="28"/>
              </w:rPr>
            </w:pPr>
            <w:r>
              <w:rPr>
                <w:rFonts w:hint="eastAsia" w:ascii="仿宋" w:hAnsi="仿宋" w:eastAsia="仿宋" w:cs="仿宋"/>
                <w:sz w:val="28"/>
                <w:szCs w:val="28"/>
              </w:rPr>
              <w:t>已标价工程量清单无缺项、漏项，响应内容实质性满足招标文件要求。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9" w:hRule="atLeast"/>
          <w:jc w:val="center"/>
        </w:trPr>
        <w:tc>
          <w:tcPr>
            <w:tcW w:w="347" w:type="dxa"/>
            <w:vMerge w:val="continue"/>
            <w:tcBorders>
              <w:left w:val="single" w:color="auto" w:sz="4" w:space="0"/>
              <w:right w:val="single" w:color="auto" w:sz="4" w:space="0"/>
            </w:tcBorders>
            <w:vAlign w:val="center"/>
          </w:tcPr>
          <w:p>
            <w:pPr>
              <w:rPr>
                <w:rFonts w:hint="eastAsia" w:ascii="仿宋" w:hAnsi="仿宋" w:eastAsia="仿宋" w:cs="仿宋"/>
                <w:sz w:val="28"/>
                <w:szCs w:val="28"/>
              </w:rPr>
            </w:pPr>
          </w:p>
        </w:tc>
        <w:tc>
          <w:tcPr>
            <w:tcW w:w="2637" w:type="dxa"/>
            <w:vMerge w:val="continue"/>
            <w:tcBorders>
              <w:left w:val="single" w:color="auto" w:sz="4" w:space="0"/>
              <w:right w:val="single" w:color="auto" w:sz="4" w:space="0"/>
            </w:tcBorders>
            <w:vAlign w:val="center"/>
          </w:tcPr>
          <w:p>
            <w:pPr>
              <w:jc w:val="left"/>
              <w:rPr>
                <w:rFonts w:hint="eastAsia" w:ascii="仿宋" w:hAnsi="仿宋" w:eastAsia="仿宋" w:cs="仿宋"/>
                <w:sz w:val="28"/>
                <w:szCs w:val="28"/>
              </w:rPr>
            </w:pPr>
          </w:p>
        </w:tc>
        <w:tc>
          <w:tcPr>
            <w:tcW w:w="5815" w:type="dxa"/>
            <w:tcBorders>
              <w:top w:val="single" w:color="auto" w:sz="4" w:space="0"/>
              <w:left w:val="single" w:color="auto" w:sz="4" w:space="0"/>
              <w:right w:val="single" w:color="auto" w:sz="4" w:space="0"/>
            </w:tcBorders>
            <w:vAlign w:val="center"/>
          </w:tcPr>
          <w:p>
            <w:pPr>
              <w:snapToGrid w:val="0"/>
              <w:jc w:val="left"/>
              <w:rPr>
                <w:rFonts w:hint="eastAsia" w:ascii="仿宋" w:hAnsi="仿宋" w:eastAsia="仿宋" w:cs="仿宋"/>
                <w:sz w:val="28"/>
                <w:szCs w:val="28"/>
              </w:rPr>
            </w:pPr>
            <w:r>
              <w:rPr>
                <w:rFonts w:hint="eastAsia" w:ascii="仿宋" w:hAnsi="仿宋" w:eastAsia="仿宋" w:cs="仿宋"/>
                <w:sz w:val="28"/>
                <w:szCs w:val="28"/>
              </w:rPr>
              <w:t>质量管理体系与措施、安全管理体系与措施、环境保护管理体系与措施、工程进度计划与措施、资源配备计划、施工方案与技术措施提供且全部实质性响应。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jc w:val="center"/>
        </w:trPr>
        <w:tc>
          <w:tcPr>
            <w:tcW w:w="347" w:type="dxa"/>
            <w:vMerge w:val="continue"/>
            <w:tcBorders>
              <w:left w:val="single" w:color="auto" w:sz="4" w:space="0"/>
              <w:right w:val="single" w:color="auto" w:sz="4" w:space="0"/>
            </w:tcBorders>
            <w:vAlign w:val="center"/>
          </w:tcPr>
          <w:p>
            <w:pPr>
              <w:rPr>
                <w:rFonts w:hint="eastAsia" w:ascii="仿宋" w:hAnsi="仿宋" w:eastAsia="仿宋" w:cs="仿宋"/>
                <w:sz w:val="28"/>
                <w:szCs w:val="28"/>
              </w:rPr>
            </w:pPr>
          </w:p>
        </w:tc>
        <w:tc>
          <w:tcPr>
            <w:tcW w:w="2637"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 w:hAnsi="仿宋" w:eastAsia="仿宋" w:cs="仿宋"/>
                <w:sz w:val="28"/>
                <w:szCs w:val="28"/>
              </w:rPr>
            </w:pPr>
            <w:r>
              <w:rPr>
                <w:rFonts w:hint="eastAsia" w:ascii="仿宋" w:hAnsi="仿宋" w:eastAsia="仿宋" w:cs="仿宋"/>
                <w:sz w:val="28"/>
                <w:szCs w:val="28"/>
              </w:rPr>
              <w:t>投标报价</w:t>
            </w:r>
          </w:p>
        </w:tc>
        <w:tc>
          <w:tcPr>
            <w:tcW w:w="5815" w:type="dxa"/>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仿宋" w:hAnsi="仿宋" w:eastAsia="仿宋" w:cs="仿宋"/>
                <w:sz w:val="28"/>
                <w:szCs w:val="28"/>
              </w:rPr>
            </w:pPr>
            <w:r>
              <w:rPr>
                <w:rFonts w:hint="eastAsia" w:ascii="仿宋" w:hAnsi="仿宋" w:eastAsia="仿宋" w:cs="仿宋"/>
                <w:sz w:val="28"/>
                <w:szCs w:val="28"/>
              </w:rPr>
              <w:t>只能有一个有效报价且不超过采购预算。</w:t>
            </w:r>
          </w:p>
        </w:tc>
      </w:tr>
    </w:tbl>
    <w:p>
      <w:pPr>
        <w:rPr>
          <w:rFonts w:hint="eastAsia" w:ascii="宋体" w:hAnsi="宋体"/>
          <w:sz w:val="28"/>
          <w:szCs w:val="28"/>
        </w:rPr>
      </w:pPr>
      <w:r>
        <w:rPr>
          <w:rFonts w:hint="eastAsia" w:ascii="宋体" w:hAnsi="宋体"/>
          <w:color w:val="333333"/>
          <w:sz w:val="28"/>
          <w:szCs w:val="28"/>
          <w:shd w:val="clear" w:color="auto" w:fill="FFFFFF"/>
          <w:lang w:val="en-US" w:eastAsia="zh-CN"/>
        </w:rPr>
        <w:t xml:space="preserve">                        </w:t>
      </w:r>
    </w:p>
    <w:p>
      <w:bookmarkStart w:id="0" w:name="_GoBack"/>
      <w:bookmarkEnd w:id="0"/>
    </w:p>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BF4689"/>
    <w:rsid w:val="31BF4689"/>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2269;&#23486;&#39302;&#21307;&#21153;&#23460;\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2018-09-06T03:27:00Z</dcterms:created>
  <dc:creator>国宾馆医务室</dc:creator>
  <cp:lastModifiedBy>国宾馆医务室</cp:lastModifiedBy>
  <dcterms:modified xsi:type="dcterms:W3CDTF">2018-09-06T03:28:14Z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