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val="0"/>
          <w:bCs w:val="0"/>
          <w:sz w:val="28"/>
          <w:szCs w:val="28"/>
          <w:lang w:val="en-US" w:eastAsia="zh-CN"/>
        </w:rPr>
      </w:pPr>
      <w:r>
        <w:rPr>
          <w:rFonts w:hint="eastAsia"/>
          <w:b w:val="0"/>
          <w:bCs w:val="0"/>
          <w:sz w:val="28"/>
          <w:szCs w:val="28"/>
          <w:lang w:val="en-US" w:eastAsia="zh-CN"/>
        </w:rPr>
        <w:t>器械类</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2020年3月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角膜地形图仪</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台</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250000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产品产地</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6</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rPr>
          <w:rFonts w:ascii="宋体" w:hAnsi="宋体" w:cs="宋体"/>
          <w:sz w:val="24"/>
          <w:szCs w:val="24"/>
        </w:rPr>
      </w:pPr>
      <w:r>
        <w:rPr>
          <w:rFonts w:hint="eastAsia" w:ascii="宋体" w:hAnsi="宋体" w:cs="宋体"/>
          <w:sz w:val="24"/>
          <w:szCs w:val="24"/>
        </w:rPr>
        <w:t>货物名称：</w:t>
      </w:r>
      <w:r>
        <w:rPr>
          <w:rFonts w:hint="eastAsia" w:ascii="宋体" w:hAnsi="宋体" w:cs="宋体"/>
          <w:sz w:val="24"/>
          <w:szCs w:val="24"/>
          <w:u w:val="single"/>
        </w:rPr>
        <w:t xml:space="preserve"> </w:t>
      </w:r>
      <w:r>
        <w:rPr>
          <w:rFonts w:hint="eastAsia" w:ascii="宋体" w:hAnsi="宋体" w:cs="宋体"/>
          <w:sz w:val="24"/>
          <w:szCs w:val="24"/>
          <w:u w:val="single"/>
          <w:lang w:eastAsia="zh-CN"/>
        </w:rPr>
        <w:t>角膜地形图仪</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89"/>
        <w:gridCol w:w="915"/>
        <w:gridCol w:w="6799"/>
      </w:tblGrid>
      <w:tr>
        <w:tblPrEx>
          <w:tblCellMar>
            <w:top w:w="0" w:type="dxa"/>
            <w:left w:w="108" w:type="dxa"/>
            <w:bottom w:w="0" w:type="dxa"/>
            <w:right w:w="108" w:type="dxa"/>
          </w:tblCellMar>
        </w:tblPrEx>
        <w:trPr>
          <w:trHeight w:val="212"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sz w:val="21"/>
                <w:szCs w:val="21"/>
              </w:rPr>
            </w:pPr>
            <w:r>
              <w:rPr>
                <w:rFonts w:hint="eastAsia" w:ascii="宋体" w:hAnsi="宋体" w:cs="宋体"/>
                <w:sz w:val="21"/>
                <w:szCs w:val="21"/>
              </w:rPr>
              <w:t>参数性质</w:t>
            </w:r>
          </w:p>
        </w:tc>
        <w:tc>
          <w:tcPr>
            <w:tcW w:w="91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sz w:val="21"/>
                <w:szCs w:val="21"/>
              </w:rPr>
            </w:pPr>
            <w:r>
              <w:rPr>
                <w:rFonts w:hint="eastAsia" w:ascii="宋体" w:hAnsi="宋体" w:cs="宋体"/>
                <w:sz w:val="21"/>
                <w:szCs w:val="21"/>
              </w:rPr>
              <w:t>编号</w:t>
            </w:r>
          </w:p>
        </w:tc>
        <w:tc>
          <w:tcPr>
            <w:tcW w:w="679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sz w:val="21"/>
                <w:szCs w:val="21"/>
              </w:rPr>
            </w:pPr>
            <w:r>
              <w:rPr>
                <w:rFonts w:hint="eastAsia" w:ascii="宋体" w:hAnsi="宋体" w:cs="宋体"/>
                <w:sz w:val="21"/>
                <w:szCs w:val="21"/>
              </w:rPr>
              <w:t>技术参数和性能指标</w:t>
            </w:r>
          </w:p>
        </w:tc>
      </w:tr>
      <w:tr>
        <w:tblPrEx>
          <w:tblCellMar>
            <w:top w:w="0" w:type="dxa"/>
            <w:left w:w="108" w:type="dxa"/>
            <w:bottom w:w="0" w:type="dxa"/>
            <w:right w:w="108" w:type="dxa"/>
          </w:tblCellMar>
        </w:tblPrEx>
        <w:trPr>
          <w:trHeight w:val="401"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kern w:val="0"/>
                <w:sz w:val="21"/>
                <w:szCs w:val="21"/>
                <w:lang w:bidi="lo-LA"/>
              </w:rPr>
            </w:pPr>
            <w:r>
              <w:rPr>
                <w:rFonts w:ascii="宋体" w:hAnsi="宋体"/>
                <w:kern w:val="0"/>
                <w:sz w:val="21"/>
                <w:szCs w:val="21"/>
                <w:lang w:bidi="lo-LA"/>
              </w:rPr>
              <w:t>1</w:t>
            </w:r>
          </w:p>
        </w:tc>
        <w:tc>
          <w:tcPr>
            <w:tcW w:w="6799" w:type="dxa"/>
            <w:tcBorders>
              <w:top w:val="single" w:color="auto" w:sz="4" w:space="0"/>
              <w:left w:val="nil"/>
              <w:bottom w:val="single" w:color="auto" w:sz="4" w:space="0"/>
              <w:right w:val="single" w:color="auto" w:sz="4" w:space="0"/>
            </w:tcBorders>
            <w:vAlign w:val="center"/>
          </w:tcPr>
          <w:p>
            <w:pPr>
              <w:widowControl/>
              <w:spacing w:line="240" w:lineRule="auto"/>
              <w:jc w:val="left"/>
              <w:rPr>
                <w:rFonts w:ascii="宋体" w:hAnsi="宋体" w:cs="宋体"/>
                <w:kern w:val="0"/>
                <w:sz w:val="21"/>
                <w:szCs w:val="21"/>
                <w:lang w:bidi="lo-LA"/>
              </w:rPr>
            </w:pPr>
            <w:r>
              <w:rPr>
                <w:rFonts w:hint="eastAsia" w:ascii="宋体" w:hAnsi="宋体" w:cs="宋体"/>
                <w:kern w:val="0"/>
                <w:sz w:val="21"/>
                <w:szCs w:val="21"/>
              </w:rPr>
              <w:t>适用范围</w:t>
            </w:r>
            <w:r>
              <w:rPr>
                <w:rFonts w:hint="eastAsia" w:ascii="宋体" w:hAnsi="宋体" w:cs="宋体"/>
                <w:kern w:val="0"/>
                <w:sz w:val="21"/>
                <w:szCs w:val="21"/>
                <w:lang w:val="en-US" w:eastAsia="zh-CN"/>
              </w:rPr>
              <w:t>:</w:t>
            </w:r>
            <w:r>
              <w:rPr>
                <w:rFonts w:hint="eastAsia" w:ascii="宋体" w:hAnsi="宋体" w:cs="宋体"/>
                <w:kern w:val="0"/>
                <w:sz w:val="21"/>
                <w:szCs w:val="21"/>
              </w:rPr>
              <w:t>测量角膜前表面曲率、高度、屈光力</w:t>
            </w:r>
            <w:r>
              <w:rPr>
                <w:rFonts w:hint="eastAsia" w:ascii="宋体" w:hAnsi="宋体" w:cs="宋体"/>
                <w:kern w:val="0"/>
                <w:sz w:val="21"/>
                <w:szCs w:val="21"/>
                <w:lang w:eastAsia="zh-CN"/>
              </w:rPr>
              <w:t>等</w:t>
            </w:r>
            <w:r>
              <w:rPr>
                <w:rFonts w:hint="eastAsia" w:ascii="宋体" w:hAnsi="宋体" w:cs="宋体"/>
                <w:kern w:val="0"/>
                <w:sz w:val="21"/>
                <w:szCs w:val="21"/>
              </w:rPr>
              <w:t>，角膜接触镜模拟配适</w:t>
            </w:r>
            <w:r>
              <w:rPr>
                <w:rFonts w:hint="eastAsia" w:ascii="宋体" w:hAnsi="宋体" w:eastAsia="宋体" w:cs="宋体"/>
                <w:color w:val="auto"/>
                <w:sz w:val="21"/>
                <w:szCs w:val="21"/>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kern w:val="0"/>
                <w:sz w:val="21"/>
                <w:szCs w:val="21"/>
                <w:lang w:bidi="lo-LA"/>
              </w:rPr>
            </w:pPr>
            <w:r>
              <w:rPr>
                <w:rFonts w:hint="eastAsia" w:ascii="宋体" w:hAnsi="宋体"/>
                <w:kern w:val="0"/>
                <w:sz w:val="21"/>
                <w:szCs w:val="21"/>
                <w:lang w:bidi="lo-LA"/>
              </w:rPr>
              <w:t>2</w:t>
            </w:r>
          </w:p>
        </w:tc>
        <w:tc>
          <w:tcPr>
            <w:tcW w:w="679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cs="宋体"/>
                <w:kern w:val="0"/>
                <w:sz w:val="21"/>
                <w:szCs w:val="21"/>
                <w:lang w:eastAsia="zh-CN"/>
              </w:rPr>
              <w:t>功能要求</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pStyle w:val="10"/>
              <w:widowControl/>
              <w:spacing w:line="240" w:lineRule="auto"/>
              <w:ind w:left="0" w:leftChars="0" w:right="0" w:rightChars="0" w:firstLine="0" w:firstLineChars="0"/>
              <w:jc w:val="center"/>
              <w:rPr>
                <w:rFonts w:hint="eastAsia" w:ascii="宋体" w:hAnsi="宋体" w:eastAsia="宋体"/>
                <w:kern w:val="0"/>
                <w:sz w:val="21"/>
                <w:szCs w:val="21"/>
                <w:lang w:val="en-US" w:eastAsia="zh-CN" w:bidi="lo-LA"/>
              </w:rPr>
            </w:pPr>
            <w:r>
              <w:rPr>
                <w:rFonts w:hint="eastAsia" w:ascii="宋体" w:hAnsi="宋体" w:eastAsia="宋体" w:cs="宋体"/>
                <w:color w:val="auto"/>
                <w:sz w:val="21"/>
                <w:szCs w:val="21"/>
                <w:lang w:val="en-US"/>
              </w:rPr>
              <w:t>2.1</w:t>
            </w:r>
          </w:p>
        </w:tc>
        <w:tc>
          <w:tcPr>
            <w:tcW w:w="6799" w:type="dxa"/>
            <w:tcBorders>
              <w:top w:val="single" w:color="auto" w:sz="4" w:space="0"/>
              <w:left w:val="nil"/>
              <w:bottom w:val="single" w:color="auto" w:sz="4" w:space="0"/>
              <w:right w:val="single" w:color="auto" w:sz="4" w:space="0"/>
            </w:tcBorders>
            <w:vAlign w:val="center"/>
          </w:tcPr>
          <w:p>
            <w:pPr>
              <w:pStyle w:val="10"/>
              <w:widowControl/>
              <w:spacing w:line="240" w:lineRule="auto"/>
              <w:ind w:left="0" w:leftChars="0" w:right="0" w:rightChars="0" w:firstLine="0" w:firstLineChars="0"/>
              <w:rPr>
                <w:rFonts w:ascii="宋体" w:hAnsi="宋体" w:cs="宋体"/>
                <w:kern w:val="0"/>
                <w:sz w:val="21"/>
                <w:szCs w:val="21"/>
                <w:lang w:bidi="lo-LA"/>
              </w:rPr>
            </w:pPr>
            <w:r>
              <w:rPr>
                <w:rFonts w:hint="eastAsia" w:ascii="宋体" w:hAnsi="宋体" w:cs="宋体"/>
                <w:kern w:val="0"/>
                <w:lang w:eastAsia="zh-CN"/>
              </w:rPr>
              <w:t>具备</w:t>
            </w:r>
            <w:r>
              <w:rPr>
                <w:rFonts w:hint="eastAsia" w:ascii="宋体" w:hAnsi="宋体"/>
                <w:bCs/>
                <w:sz w:val="21"/>
                <w:szCs w:val="21"/>
              </w:rPr>
              <w:t>角膜前表面</w:t>
            </w:r>
            <w:r>
              <w:rPr>
                <w:rFonts w:hint="eastAsia" w:ascii="宋体" w:hAnsi="宋体" w:cs="宋体"/>
                <w:kern w:val="0"/>
                <w:sz w:val="21"/>
                <w:szCs w:val="21"/>
              </w:rPr>
              <w:t>轴向/</w:t>
            </w:r>
            <w:r>
              <w:rPr>
                <w:rFonts w:hint="eastAsia" w:ascii="宋体" w:hAnsi="宋体"/>
                <w:bCs/>
                <w:sz w:val="21"/>
                <w:szCs w:val="21"/>
              </w:rPr>
              <w:t>切向</w:t>
            </w:r>
            <w:r>
              <w:rPr>
                <w:rFonts w:hint="eastAsia" w:ascii="宋体" w:hAnsi="宋体" w:cs="宋体"/>
                <w:kern w:val="0"/>
                <w:sz w:val="21"/>
                <w:szCs w:val="21"/>
              </w:rPr>
              <w:t>地形图</w:t>
            </w:r>
            <w:r>
              <w:rPr>
                <w:rFonts w:hint="eastAsia" w:ascii="宋体" w:hAnsi="宋体" w:eastAsia="宋体" w:cs="宋体"/>
                <w:color w:val="auto"/>
                <w:sz w:val="21"/>
                <w:szCs w:val="21"/>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ascii="宋体" w:hAnsi="宋体" w:eastAsia="宋体"/>
                <w:kern w:val="0"/>
                <w:sz w:val="21"/>
                <w:szCs w:val="21"/>
                <w:lang w:val="en-US" w:eastAsia="zh-CN" w:bidi="lo-LA"/>
              </w:rPr>
            </w:pPr>
            <w:r>
              <w:rPr>
                <w:rFonts w:hint="eastAsia" w:ascii="宋体" w:hAnsi="宋体" w:eastAsia="宋体" w:cs="宋体"/>
                <w:color w:val="auto"/>
                <w:kern w:val="2"/>
                <w:sz w:val="21"/>
                <w:szCs w:val="21"/>
                <w:lang w:val="en-US" w:eastAsia="zh-CN" w:bidi="ar"/>
              </w:rPr>
              <w:t>2.2</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kern w:val="0"/>
                <w:sz w:val="21"/>
                <w:szCs w:val="21"/>
                <w:lang w:val="en-US" w:eastAsia="zh-CN" w:bidi="lo-LA"/>
              </w:rPr>
            </w:pPr>
            <w:r>
              <w:rPr>
                <w:rFonts w:hint="eastAsia" w:ascii="宋体" w:hAnsi="宋体" w:cs="宋体"/>
                <w:kern w:val="0"/>
                <w:lang w:eastAsia="zh-CN"/>
              </w:rPr>
              <w:t>具备</w:t>
            </w:r>
            <w:r>
              <w:rPr>
                <w:rFonts w:hint="eastAsia" w:ascii="宋体" w:hAnsi="宋体"/>
                <w:bCs/>
                <w:sz w:val="21"/>
                <w:szCs w:val="21"/>
              </w:rPr>
              <w:t>角膜前表面高度图</w:t>
            </w:r>
            <w:r>
              <w:rPr>
                <w:rFonts w:hint="eastAsia" w:ascii="宋体" w:hAnsi="宋体"/>
                <w:bCs/>
                <w:sz w:val="21"/>
                <w:szCs w:val="21"/>
                <w:lang w:eastAsia="zh-CN"/>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ascii="宋体" w:hAnsi="宋体" w:eastAsia="宋体"/>
                <w:kern w:val="0"/>
                <w:sz w:val="21"/>
                <w:szCs w:val="21"/>
                <w:lang w:val="en-US" w:eastAsia="zh-CN" w:bidi="lo-LA"/>
              </w:rPr>
            </w:pPr>
            <w:r>
              <w:rPr>
                <w:rFonts w:hint="eastAsia" w:ascii="宋体" w:hAnsi="宋体" w:eastAsia="宋体" w:cs="宋体"/>
                <w:color w:val="auto"/>
                <w:kern w:val="2"/>
                <w:sz w:val="21"/>
                <w:szCs w:val="21"/>
                <w:lang w:val="en-US" w:eastAsia="zh-CN" w:bidi="ar"/>
              </w:rPr>
              <w:t>2.3</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ascii="宋体" w:hAnsi="宋体" w:cs="宋体"/>
                <w:kern w:val="0"/>
                <w:sz w:val="21"/>
                <w:szCs w:val="21"/>
                <w:lang w:bidi="lo-LA"/>
              </w:rPr>
            </w:pPr>
            <w:r>
              <w:rPr>
                <w:rFonts w:hint="eastAsia" w:ascii="宋体" w:hAnsi="宋体" w:cs="宋体"/>
                <w:kern w:val="0"/>
                <w:lang w:eastAsia="zh-CN"/>
              </w:rPr>
              <w:t>具备</w:t>
            </w:r>
            <w:r>
              <w:rPr>
                <w:rFonts w:hint="eastAsia" w:ascii="宋体" w:hAnsi="宋体"/>
                <w:bCs/>
                <w:sz w:val="21"/>
                <w:szCs w:val="21"/>
              </w:rPr>
              <w:t>角膜前表面屈光力图</w:t>
            </w:r>
            <w:r>
              <w:rPr>
                <w:rFonts w:hint="eastAsia" w:ascii="宋体" w:hAnsi="宋体"/>
                <w:bCs/>
                <w:sz w:val="21"/>
                <w:szCs w:val="21"/>
                <w:lang w:eastAsia="zh-CN"/>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ascii="宋体" w:hAnsi="宋体" w:eastAsia="宋体"/>
                <w:kern w:val="0"/>
                <w:sz w:val="21"/>
                <w:szCs w:val="21"/>
                <w:lang w:val="en-US" w:eastAsia="zh-CN" w:bidi="lo-LA"/>
              </w:rPr>
            </w:pPr>
            <w:r>
              <w:rPr>
                <w:rFonts w:hint="eastAsia" w:ascii="宋体" w:hAnsi="宋体" w:eastAsia="宋体" w:cs="宋体"/>
                <w:color w:val="auto"/>
                <w:kern w:val="2"/>
                <w:sz w:val="21"/>
                <w:szCs w:val="21"/>
                <w:lang w:val="en-US" w:eastAsia="zh-CN" w:bidi="ar"/>
              </w:rPr>
              <w:t>2.4</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ascii="宋体" w:hAnsi="宋体" w:cs="宋体"/>
                <w:kern w:val="0"/>
                <w:sz w:val="21"/>
                <w:szCs w:val="21"/>
                <w:lang w:bidi="lo-LA"/>
              </w:rPr>
            </w:pPr>
            <w:r>
              <w:rPr>
                <w:rFonts w:hint="eastAsia" w:ascii="宋体" w:hAnsi="宋体" w:cs="宋体"/>
                <w:kern w:val="0"/>
                <w:lang w:eastAsia="zh-CN"/>
              </w:rPr>
              <w:t>具备</w:t>
            </w:r>
            <w:r>
              <w:rPr>
                <w:rFonts w:hint="eastAsia" w:ascii="宋体" w:hAnsi="宋体"/>
                <w:bCs/>
                <w:sz w:val="21"/>
                <w:szCs w:val="21"/>
              </w:rPr>
              <w:t>波前像差图</w:t>
            </w:r>
            <w:r>
              <w:rPr>
                <w:rFonts w:hint="eastAsia" w:ascii="宋体" w:hAnsi="宋体"/>
                <w:bCs/>
                <w:sz w:val="21"/>
                <w:szCs w:val="21"/>
                <w:lang w:eastAsia="zh-CN"/>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ascii="宋体" w:hAnsi="宋体"/>
                <w:kern w:val="0"/>
                <w:sz w:val="21"/>
                <w:szCs w:val="21"/>
                <w:lang w:val="en-US" w:eastAsia="zh-CN" w:bidi="lo-LA"/>
              </w:rPr>
            </w:pPr>
            <w:r>
              <w:rPr>
                <w:rFonts w:hint="eastAsia" w:ascii="宋体" w:hAnsi="宋体" w:eastAsia="宋体" w:cs="宋体"/>
                <w:color w:val="auto"/>
                <w:kern w:val="2"/>
                <w:sz w:val="21"/>
                <w:szCs w:val="21"/>
                <w:lang w:val="en-US" w:eastAsia="zh-CN" w:bidi="ar"/>
              </w:rPr>
              <w:t>2.5</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ascii="宋体" w:hAnsi="宋体" w:cs="宋体"/>
                <w:kern w:val="0"/>
                <w:sz w:val="21"/>
                <w:szCs w:val="21"/>
                <w:lang w:bidi="lo-LA"/>
              </w:rPr>
            </w:pPr>
            <w:r>
              <w:rPr>
                <w:rFonts w:hint="eastAsia" w:ascii="宋体" w:hAnsi="宋体" w:cs="宋体"/>
                <w:kern w:val="0"/>
                <w:lang w:eastAsia="zh-CN"/>
              </w:rPr>
              <w:t>具备</w:t>
            </w:r>
            <w:r>
              <w:rPr>
                <w:rFonts w:hint="eastAsia" w:ascii="宋体" w:hAnsi="宋体"/>
                <w:bCs/>
                <w:sz w:val="21"/>
                <w:szCs w:val="21"/>
              </w:rPr>
              <w:t>泪膜表面质量分析</w:t>
            </w:r>
            <w:r>
              <w:rPr>
                <w:rFonts w:hint="eastAsia" w:ascii="宋体" w:hAnsi="宋体"/>
                <w:bCs/>
                <w:sz w:val="21"/>
                <w:szCs w:val="21"/>
                <w:lang w:eastAsia="zh-CN"/>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ascii="宋体" w:hAnsi="宋体"/>
                <w:kern w:val="0"/>
                <w:sz w:val="21"/>
                <w:szCs w:val="21"/>
                <w:lang w:val="en-US" w:eastAsia="zh-CN" w:bidi="lo-LA"/>
              </w:rPr>
            </w:pPr>
            <w:r>
              <w:rPr>
                <w:rFonts w:hint="eastAsia" w:ascii="宋体" w:hAnsi="宋体" w:eastAsia="宋体" w:cs="宋体"/>
                <w:color w:val="auto"/>
                <w:kern w:val="2"/>
                <w:sz w:val="21"/>
                <w:szCs w:val="21"/>
                <w:lang w:val="en-US" w:eastAsia="zh-CN" w:bidi="ar"/>
              </w:rPr>
              <w:t>2.6</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ascii="宋体" w:hAnsi="宋体" w:cs="宋体"/>
                <w:kern w:val="0"/>
                <w:sz w:val="21"/>
                <w:szCs w:val="21"/>
                <w:lang w:bidi="lo-LA"/>
              </w:rPr>
            </w:pPr>
            <w:r>
              <w:rPr>
                <w:rFonts w:hint="eastAsia" w:ascii="宋体" w:hAnsi="宋体" w:cs="宋体"/>
                <w:kern w:val="0"/>
                <w:lang w:eastAsia="zh-CN"/>
              </w:rPr>
              <w:t>具备</w:t>
            </w:r>
            <w:r>
              <w:rPr>
                <w:rFonts w:hint="eastAsia" w:ascii="宋体" w:hAnsi="宋体"/>
                <w:bCs/>
                <w:sz w:val="21"/>
                <w:szCs w:val="21"/>
              </w:rPr>
              <w:t>模拟角膜接触镜验配</w:t>
            </w:r>
            <w:r>
              <w:rPr>
                <w:rFonts w:hint="eastAsia" w:ascii="宋体" w:hAnsi="宋体"/>
                <w:bCs/>
                <w:sz w:val="21"/>
                <w:szCs w:val="21"/>
                <w:lang w:eastAsia="zh-CN"/>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ascii="宋体" w:hAnsi="宋体"/>
                <w:kern w:val="0"/>
                <w:sz w:val="21"/>
                <w:szCs w:val="21"/>
                <w:lang w:val="en-US" w:eastAsia="zh-CN" w:bidi="lo-LA"/>
              </w:rPr>
            </w:pPr>
            <w:r>
              <w:rPr>
                <w:rFonts w:hint="eastAsia" w:ascii="宋体" w:hAnsi="宋体" w:eastAsia="宋体" w:cs="宋体"/>
                <w:color w:val="auto"/>
                <w:kern w:val="2"/>
                <w:sz w:val="21"/>
                <w:szCs w:val="21"/>
                <w:lang w:val="en-US" w:eastAsia="zh-CN" w:bidi="ar"/>
              </w:rPr>
              <w:t>2.7</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ascii="宋体" w:hAnsi="宋体" w:cs="宋体"/>
                <w:kern w:val="0"/>
                <w:sz w:val="21"/>
                <w:szCs w:val="21"/>
                <w:lang w:bidi="lo-LA"/>
              </w:rPr>
            </w:pPr>
            <w:r>
              <w:rPr>
                <w:rFonts w:hint="eastAsia" w:ascii="宋体" w:hAnsi="宋体" w:cs="宋体"/>
                <w:kern w:val="0"/>
                <w:lang w:eastAsia="zh-CN"/>
              </w:rPr>
              <w:t>具备</w:t>
            </w:r>
            <w:r>
              <w:rPr>
                <w:rFonts w:hint="eastAsia" w:ascii="GE Inspira" w:hAnsi="GE Inspira"/>
                <w:bCs/>
              </w:rPr>
              <w:t>防尘罩</w:t>
            </w:r>
            <w:r>
              <w:rPr>
                <w:rFonts w:hint="eastAsia" w:ascii="宋体" w:hAnsi="宋体"/>
                <w:bCs/>
                <w:sz w:val="21"/>
                <w:szCs w:val="21"/>
                <w:lang w:eastAsia="zh-CN"/>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ascii="宋体" w:hAnsi="宋体"/>
                <w:kern w:val="0"/>
                <w:sz w:val="21"/>
                <w:szCs w:val="21"/>
                <w:lang w:val="en-US" w:eastAsia="zh-CN" w:bidi="lo-LA"/>
              </w:rPr>
            </w:pPr>
            <w:r>
              <w:rPr>
                <w:rFonts w:hint="eastAsia" w:ascii="宋体" w:hAnsi="宋体" w:eastAsia="宋体" w:cs="宋体"/>
                <w:color w:val="auto"/>
                <w:kern w:val="2"/>
                <w:sz w:val="21"/>
                <w:szCs w:val="21"/>
                <w:lang w:val="en-US" w:eastAsia="zh-CN" w:bidi="ar"/>
              </w:rPr>
              <w:t>2.8</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ascii="宋体" w:hAnsi="宋体" w:cs="宋体"/>
                <w:kern w:val="0"/>
                <w:sz w:val="21"/>
                <w:szCs w:val="21"/>
                <w:lang w:bidi="lo-LA"/>
              </w:rPr>
            </w:pPr>
            <w:r>
              <w:rPr>
                <w:rFonts w:hint="eastAsia" w:ascii="宋体" w:hAnsi="宋体" w:cs="宋体"/>
                <w:kern w:val="0"/>
                <w:lang w:eastAsia="zh-CN"/>
              </w:rPr>
              <w:t>具备</w:t>
            </w:r>
            <w:r>
              <w:rPr>
                <w:rFonts w:hint="eastAsia" w:ascii="GE Inspira" w:hAnsi="GE Inspira"/>
                <w:bCs/>
              </w:rPr>
              <w:t>球面模拟眼</w:t>
            </w:r>
            <w:r>
              <w:rPr>
                <w:rFonts w:hint="eastAsia" w:ascii="宋体" w:hAnsi="宋体"/>
                <w:bCs/>
                <w:sz w:val="21"/>
                <w:szCs w:val="21"/>
                <w:lang w:eastAsia="zh-CN"/>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ascii="宋体" w:hAnsi="宋体"/>
                <w:kern w:val="0"/>
                <w:sz w:val="21"/>
                <w:szCs w:val="21"/>
                <w:lang w:val="en-US" w:eastAsia="zh-CN" w:bidi="lo-LA"/>
              </w:rPr>
            </w:pPr>
            <w:r>
              <w:rPr>
                <w:rFonts w:hint="eastAsia" w:ascii="宋体" w:hAnsi="宋体" w:eastAsia="宋体" w:cs="宋体"/>
                <w:color w:val="auto"/>
                <w:kern w:val="2"/>
                <w:sz w:val="21"/>
                <w:szCs w:val="21"/>
                <w:lang w:val="en-US" w:eastAsia="zh-CN" w:bidi="ar"/>
              </w:rPr>
              <w:t>2.9</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ascii="宋体" w:hAnsi="宋体" w:cs="宋体"/>
                <w:kern w:val="0"/>
                <w:sz w:val="21"/>
                <w:szCs w:val="21"/>
                <w:lang w:bidi="lo-LA"/>
              </w:rPr>
            </w:pPr>
            <w:r>
              <w:rPr>
                <w:rFonts w:hint="eastAsia" w:ascii="宋体" w:hAnsi="宋体" w:cs="宋体"/>
                <w:kern w:val="0"/>
                <w:lang w:eastAsia="zh-CN"/>
              </w:rPr>
              <w:t>具备USB密钥含软件</w:t>
            </w:r>
            <w:r>
              <w:rPr>
                <w:rFonts w:hint="eastAsia" w:ascii="宋体" w:hAnsi="宋体"/>
                <w:bCs/>
                <w:sz w:val="21"/>
                <w:szCs w:val="21"/>
                <w:lang w:eastAsia="zh-CN"/>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ascii="宋体" w:hAnsi="宋体"/>
                <w:kern w:val="0"/>
                <w:sz w:val="21"/>
                <w:szCs w:val="21"/>
                <w:lang w:val="en-US" w:eastAsia="zh-CN" w:bidi="lo-LA"/>
              </w:rPr>
            </w:pPr>
            <w:r>
              <w:rPr>
                <w:rFonts w:hint="eastAsia" w:ascii="宋体" w:hAnsi="宋体" w:eastAsia="宋体" w:cs="宋体"/>
                <w:color w:val="auto"/>
                <w:kern w:val="2"/>
                <w:sz w:val="21"/>
                <w:szCs w:val="21"/>
                <w:lang w:val="en-US" w:eastAsia="zh-CN" w:bidi="ar"/>
              </w:rPr>
              <w:t>3</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ascii="宋体" w:hAnsi="宋体" w:cs="宋体"/>
                <w:kern w:val="0"/>
                <w:sz w:val="21"/>
                <w:szCs w:val="21"/>
                <w:lang w:bidi="lo-LA"/>
              </w:rPr>
            </w:pPr>
            <w:r>
              <w:rPr>
                <w:rFonts w:hint="eastAsia" w:ascii="宋体" w:hAnsi="宋体" w:eastAsia="宋体" w:cs="宋体"/>
                <w:color w:val="auto"/>
                <w:kern w:val="2"/>
                <w:sz w:val="21"/>
                <w:szCs w:val="21"/>
                <w:lang w:val="en-US" w:eastAsia="zh-CN" w:bidi="ar"/>
              </w:rPr>
              <w:t>技术参数要求</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r>
              <w:rPr>
                <w:rFonts w:hint="eastAsia" w:ascii="宋体" w:hAnsi="宋体" w:cs="宋体"/>
                <w:kern w:val="0"/>
                <w:sz w:val="21"/>
                <w:szCs w:val="21"/>
              </w:rPr>
              <w:t>*</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kern w:val="0"/>
                <w:sz w:val="21"/>
                <w:szCs w:val="21"/>
                <w:lang w:val="en-US" w:eastAsia="zh-CN" w:bidi="lo-LA"/>
              </w:rPr>
            </w:pPr>
            <w:r>
              <w:rPr>
                <w:rFonts w:hint="eastAsia" w:ascii="宋体" w:hAnsi="宋体" w:eastAsia="宋体" w:cs="宋体"/>
                <w:color w:val="auto"/>
                <w:kern w:val="2"/>
                <w:sz w:val="21"/>
                <w:szCs w:val="21"/>
                <w:lang w:val="en-US" w:eastAsia="zh-CN" w:bidi="ar"/>
              </w:rPr>
              <w:t>3.1</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ascii="宋体" w:hAnsi="宋体" w:cs="宋体"/>
                <w:kern w:val="0"/>
                <w:sz w:val="21"/>
                <w:szCs w:val="21"/>
                <w:lang w:bidi="lo-LA"/>
              </w:rPr>
            </w:pPr>
            <w:r>
              <w:rPr>
                <w:rFonts w:hint="eastAsia" w:ascii="宋体" w:hAnsi="宋体"/>
                <w:kern w:val="0"/>
                <w:sz w:val="21"/>
                <w:szCs w:val="21"/>
              </w:rPr>
              <w:t>测量屈光力范围：10-100D</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r>
              <w:rPr>
                <w:rFonts w:hint="eastAsia" w:ascii="宋体" w:hAnsi="宋体" w:cs="宋体"/>
                <w:kern w:val="0"/>
                <w:sz w:val="21"/>
                <w:szCs w:val="21"/>
              </w:rPr>
              <w:t>*</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kern w:val="0"/>
                <w:sz w:val="21"/>
                <w:szCs w:val="21"/>
                <w:lang w:val="en-US" w:eastAsia="zh-CN" w:bidi="lo-LA"/>
              </w:rPr>
            </w:pPr>
            <w:r>
              <w:rPr>
                <w:rFonts w:hint="eastAsia" w:ascii="宋体" w:hAnsi="宋体" w:eastAsia="宋体" w:cs="宋体"/>
                <w:color w:val="auto"/>
                <w:kern w:val="2"/>
                <w:sz w:val="21"/>
                <w:szCs w:val="21"/>
                <w:lang w:val="en-US" w:eastAsia="zh-CN" w:bidi="ar"/>
              </w:rPr>
              <w:t>3.2</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ascii="宋体" w:hAnsi="宋体" w:cs="宋体"/>
                <w:kern w:val="0"/>
                <w:sz w:val="21"/>
                <w:szCs w:val="21"/>
                <w:lang w:bidi="lo-LA"/>
              </w:rPr>
            </w:pPr>
            <w:r>
              <w:rPr>
                <w:rFonts w:hint="eastAsia" w:ascii="宋体" w:hAnsi="宋体"/>
                <w:kern w:val="0"/>
                <w:sz w:val="21"/>
                <w:szCs w:val="21"/>
              </w:rPr>
              <w:t>测量范围：0.25-11mm</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3.3</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olor w:val="000000"/>
                <w:sz w:val="21"/>
                <w:szCs w:val="21"/>
              </w:rPr>
              <w:t>测量视野范围:</w:t>
            </w:r>
            <w:r>
              <w:t xml:space="preserve"> </w:t>
            </w:r>
            <w:r>
              <w:rPr>
                <w:rFonts w:ascii="宋体" w:hAnsi="宋体"/>
                <w:color w:val="000000"/>
                <w:sz w:val="21"/>
                <w:szCs w:val="21"/>
              </w:rPr>
              <w:t>H12.5mm x V10.5mm</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3.4</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olor w:val="000000"/>
                <w:sz w:val="21"/>
                <w:szCs w:val="21"/>
              </w:rPr>
              <w:t>Placido环:32</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3.5</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olor w:val="000000"/>
                <w:sz w:val="21"/>
                <w:szCs w:val="21"/>
              </w:rPr>
              <w:t>分析点:</w:t>
            </w:r>
            <w:r>
              <w:rPr>
                <w:rFonts w:hint="eastAsia" w:ascii="宋体" w:hAnsi="宋体"/>
                <w:color w:val="000000"/>
                <w:sz w:val="21"/>
                <w:szCs w:val="21"/>
                <w:lang w:eastAsia="zh-CN"/>
              </w:rPr>
              <w:t>不少于</w:t>
            </w:r>
            <w:r>
              <w:rPr>
                <w:rFonts w:hint="eastAsia" w:ascii="宋体" w:hAnsi="宋体"/>
                <w:color w:val="000000"/>
                <w:sz w:val="21"/>
                <w:szCs w:val="21"/>
              </w:rPr>
              <w:t>10200</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3.6</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olor w:val="000000"/>
                <w:sz w:val="21"/>
                <w:szCs w:val="21"/>
              </w:rPr>
              <w:t>测量点：</w:t>
            </w:r>
            <w:r>
              <w:rPr>
                <w:rFonts w:hint="eastAsia" w:ascii="宋体" w:hAnsi="宋体"/>
                <w:color w:val="000000"/>
                <w:sz w:val="21"/>
                <w:szCs w:val="21"/>
                <w:lang w:eastAsia="zh-CN"/>
              </w:rPr>
              <w:t>不少于</w:t>
            </w:r>
            <w:r>
              <w:rPr>
                <w:rFonts w:hint="eastAsia" w:ascii="宋体" w:hAnsi="宋体"/>
                <w:color w:val="000000"/>
                <w:sz w:val="21"/>
                <w:szCs w:val="21"/>
              </w:rPr>
              <w:t>9600</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3.7</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olor w:val="000000"/>
                <w:sz w:val="21"/>
                <w:szCs w:val="21"/>
              </w:rPr>
              <w:t>视力焦点距离：6</w:t>
            </w:r>
            <w:r>
              <w:rPr>
                <w:rFonts w:hint="eastAsia" w:ascii="宋体" w:hAnsi="宋体"/>
                <w:color w:val="000000"/>
                <w:sz w:val="21"/>
                <w:szCs w:val="21"/>
                <w:lang w:val="en-US" w:eastAsia="zh-CN"/>
              </w:rPr>
              <w:t>2-67</w:t>
            </w:r>
            <w:r>
              <w:rPr>
                <w:rFonts w:hint="eastAsia" w:ascii="宋体" w:hAnsi="宋体"/>
                <w:color w:val="000000"/>
                <w:sz w:val="21"/>
                <w:szCs w:val="21"/>
              </w:rPr>
              <w:t>mm</w:t>
            </w:r>
            <w:r>
              <w:rPr>
                <w:rFonts w:hint="eastAsia" w:ascii="宋体" w:hAnsi="宋体"/>
                <w:color w:val="000000"/>
                <w:sz w:val="21"/>
                <w:szCs w:val="21"/>
                <w:lang w:val="en-US" w:eastAsia="zh-CN"/>
              </w:rPr>
              <w:t>之间均可</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3.8</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s="Arial"/>
                <w:color w:val="000000"/>
                <w:sz w:val="21"/>
                <w:szCs w:val="21"/>
                <w:lang w:eastAsia="zh-CN"/>
              </w:rPr>
              <w:t>具备</w:t>
            </w:r>
            <w:r>
              <w:rPr>
                <w:rFonts w:hint="eastAsia" w:ascii="宋体" w:hAnsi="宋体" w:cs="Arial"/>
                <w:color w:val="000000"/>
                <w:sz w:val="21"/>
                <w:szCs w:val="21"/>
              </w:rPr>
              <w:t>球面立体视图</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3.9</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s="Arial"/>
                <w:color w:val="000000"/>
                <w:sz w:val="21"/>
                <w:szCs w:val="21"/>
                <w:lang w:eastAsia="zh-CN"/>
              </w:rPr>
              <w:t>具备</w:t>
            </w:r>
            <w:r>
              <w:rPr>
                <w:rFonts w:hint="eastAsia" w:ascii="宋体" w:hAnsi="宋体" w:cs="Arial"/>
                <w:color w:val="000000"/>
                <w:sz w:val="21"/>
                <w:szCs w:val="21"/>
              </w:rPr>
              <w:t>波前像差图</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3.10</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s="Arial"/>
                <w:color w:val="000000"/>
                <w:sz w:val="21"/>
                <w:szCs w:val="21"/>
                <w:lang w:eastAsia="zh-CN"/>
              </w:rPr>
              <w:t>具备</w:t>
            </w:r>
            <w:r>
              <w:rPr>
                <w:rFonts w:hint="eastAsia" w:ascii="宋体" w:hAnsi="宋体" w:cs="Arial"/>
                <w:color w:val="000000"/>
                <w:sz w:val="21"/>
                <w:szCs w:val="21"/>
              </w:rPr>
              <w:t>Zernike拟合波前像差图</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3.11</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s="Arial"/>
                <w:color w:val="000000"/>
                <w:sz w:val="21"/>
                <w:szCs w:val="21"/>
                <w:lang w:eastAsia="zh-CN"/>
              </w:rPr>
              <w:t>具备</w:t>
            </w:r>
            <w:r>
              <w:rPr>
                <w:rFonts w:hint="eastAsia" w:ascii="宋体" w:hAnsi="宋体" w:cs="Arial"/>
                <w:color w:val="000000"/>
                <w:sz w:val="21"/>
                <w:szCs w:val="21"/>
              </w:rPr>
              <w:t>全景复合地形图</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3.12</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s="Arial"/>
                <w:color w:val="000000"/>
                <w:sz w:val="21"/>
                <w:szCs w:val="21"/>
                <w:lang w:eastAsia="zh-CN"/>
              </w:rPr>
              <w:t>具备</w:t>
            </w:r>
            <w:r>
              <w:rPr>
                <w:rFonts w:hint="eastAsia" w:ascii="宋体" w:hAnsi="宋体" w:cs="Arial"/>
                <w:color w:val="000000"/>
                <w:sz w:val="21"/>
                <w:szCs w:val="21"/>
              </w:rPr>
              <w:t>泪膜表面质量分析图像</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3.13</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s="Arial"/>
                <w:color w:val="000000"/>
                <w:sz w:val="21"/>
                <w:szCs w:val="21"/>
                <w:lang w:eastAsia="zh-CN"/>
              </w:rPr>
              <w:t>具备</w:t>
            </w:r>
            <w:r>
              <w:rPr>
                <w:rFonts w:hint="eastAsia" w:ascii="宋体" w:hAnsi="宋体" w:cs="Arial"/>
                <w:color w:val="000000"/>
                <w:sz w:val="21"/>
                <w:szCs w:val="21"/>
              </w:rPr>
              <w:t>泪膜表面质量分析视频</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3.14</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olor w:val="000000"/>
                <w:sz w:val="21"/>
                <w:szCs w:val="21"/>
              </w:rPr>
              <w:t>模拟接触镜验配</w:t>
            </w:r>
            <w:r>
              <w:rPr>
                <w:rFonts w:hint="eastAsia" w:ascii="宋体" w:hAnsi="宋体"/>
                <w:color w:val="000000"/>
                <w:sz w:val="21"/>
                <w:szCs w:val="21"/>
                <w:lang w:eastAsia="zh-CN"/>
              </w:rPr>
              <w:t>：</w:t>
            </w:r>
            <w:r>
              <w:rPr>
                <w:rFonts w:hint="eastAsia" w:ascii="宋体" w:hAnsi="宋体"/>
                <w:color w:val="000000"/>
                <w:sz w:val="21"/>
                <w:szCs w:val="21"/>
              </w:rPr>
              <w:t>多曲面镜片</w:t>
            </w:r>
            <w:r>
              <w:rPr>
                <w:rFonts w:hint="eastAsia" w:ascii="宋体" w:hAnsi="宋体"/>
                <w:color w:val="000000"/>
                <w:sz w:val="21"/>
                <w:szCs w:val="21"/>
                <w:lang w:eastAsia="zh-CN"/>
              </w:rPr>
              <w:t>、</w:t>
            </w:r>
            <w:r>
              <w:rPr>
                <w:rFonts w:hint="eastAsia" w:ascii="宋体" w:hAnsi="宋体"/>
                <w:color w:val="000000"/>
                <w:sz w:val="21"/>
                <w:szCs w:val="21"/>
              </w:rPr>
              <w:t>非球面镜片</w:t>
            </w:r>
            <w:r>
              <w:rPr>
                <w:rFonts w:hint="eastAsia" w:ascii="宋体" w:hAnsi="宋体"/>
                <w:color w:val="000000"/>
                <w:sz w:val="21"/>
                <w:szCs w:val="21"/>
                <w:lang w:eastAsia="zh-CN"/>
              </w:rPr>
              <w:t>、</w:t>
            </w:r>
            <w:r>
              <w:rPr>
                <w:rFonts w:hint="eastAsia" w:ascii="宋体" w:hAnsi="宋体"/>
                <w:color w:val="000000"/>
                <w:sz w:val="21"/>
                <w:szCs w:val="21"/>
              </w:rPr>
              <w:t>圆锥角膜镜片</w:t>
            </w:r>
            <w:r>
              <w:rPr>
                <w:rFonts w:hint="eastAsia" w:ascii="宋体" w:hAnsi="宋体"/>
                <w:color w:val="000000"/>
                <w:sz w:val="21"/>
                <w:szCs w:val="21"/>
                <w:lang w:eastAsia="zh-CN"/>
              </w:rPr>
              <w:t>、</w:t>
            </w:r>
            <w:r>
              <w:rPr>
                <w:rFonts w:hint="eastAsia" w:ascii="宋体" w:hAnsi="宋体"/>
                <w:color w:val="000000"/>
                <w:sz w:val="21"/>
                <w:szCs w:val="21"/>
              </w:rPr>
              <w:t>巩膜镜等</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3.15</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olor w:val="000000"/>
                <w:sz w:val="21"/>
                <w:szCs w:val="21"/>
                <w:lang w:eastAsia="zh-CN"/>
              </w:rPr>
              <w:t>具备</w:t>
            </w:r>
            <w:r>
              <w:rPr>
                <w:rFonts w:hint="eastAsia" w:ascii="宋体" w:hAnsi="宋体"/>
                <w:color w:val="000000"/>
                <w:sz w:val="21"/>
                <w:szCs w:val="21"/>
              </w:rPr>
              <w:t>角膜Q值</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3.16</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olor w:val="000000"/>
                <w:sz w:val="21"/>
                <w:szCs w:val="21"/>
                <w:lang w:eastAsia="zh-CN"/>
              </w:rPr>
              <w:t>具备</w:t>
            </w:r>
            <w:r>
              <w:rPr>
                <w:rFonts w:hint="eastAsia" w:ascii="宋体" w:hAnsi="宋体" w:cs="Arial"/>
                <w:color w:val="000000"/>
                <w:sz w:val="21"/>
                <w:szCs w:val="21"/>
              </w:rPr>
              <w:t>角膜p值</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3.17</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olor w:val="000000"/>
                <w:sz w:val="21"/>
                <w:szCs w:val="21"/>
                <w:lang w:eastAsia="zh-CN"/>
              </w:rPr>
              <w:t>具备</w:t>
            </w:r>
            <w:r>
              <w:rPr>
                <w:rFonts w:hint="eastAsia" w:ascii="宋体" w:hAnsi="宋体"/>
                <w:sz w:val="21"/>
                <w:szCs w:val="21"/>
              </w:rPr>
              <w:t>角膜e²值</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3.18</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s="Arial"/>
                <w:color w:val="000000"/>
                <w:sz w:val="21"/>
                <w:szCs w:val="21"/>
              </w:rPr>
              <w:t>地形图中信息标注</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3.19</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s="Arial"/>
                <w:color w:val="000000"/>
                <w:sz w:val="21"/>
                <w:szCs w:val="21"/>
              </w:rPr>
              <w:t>支持多用户操作</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3.20</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s="Arial"/>
                <w:color w:val="000000"/>
                <w:sz w:val="21"/>
                <w:szCs w:val="21"/>
              </w:rPr>
              <w:t>制定区域内的测量数据显示</w:t>
            </w:r>
            <w:r>
              <w:rPr>
                <w:rFonts w:hint="eastAsia" w:ascii="宋体" w:hAnsi="宋体" w:eastAsia="宋体" w:cs="宋体"/>
                <w:color w:val="auto"/>
                <w:kern w:val="2"/>
                <w:sz w:val="21"/>
                <w:szCs w:val="21"/>
                <w:lang w:val="en-US" w:eastAsia="zh-CN" w:bidi="ar"/>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4</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售后服务</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4.1</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s="宋体"/>
                <w:kern w:val="0"/>
              </w:rPr>
              <w:t>出现故障响应时间</w:t>
            </w:r>
            <w:r>
              <w:rPr>
                <w:rFonts w:hint="eastAsia" w:ascii="宋体" w:hAnsi="宋体" w:cs="宋体"/>
                <w:kern w:val="0"/>
                <w:lang w:eastAsia="zh-CN"/>
              </w:rPr>
              <w:t>不超过</w:t>
            </w:r>
            <w:r>
              <w:rPr>
                <w:rFonts w:ascii="宋体" w:hAnsi="宋体" w:cs="宋体"/>
                <w:kern w:val="0"/>
              </w:rPr>
              <w:t>4</w:t>
            </w:r>
            <w:r>
              <w:rPr>
                <w:rFonts w:hint="eastAsia" w:ascii="宋体" w:hAnsi="宋体" w:cs="宋体"/>
                <w:kern w:val="0"/>
              </w:rPr>
              <w:t>小时</w:t>
            </w:r>
            <w:r>
              <w:rPr>
                <w:rFonts w:hint="eastAsia" w:ascii="宋体" w:hAnsi="宋体" w:cs="宋体"/>
                <w:kern w:val="0"/>
                <w:lang w:eastAsia="zh-CN"/>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4.2</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s="宋体"/>
                <w:kern w:val="0"/>
                <w:lang w:eastAsia="zh-CN"/>
              </w:rPr>
              <w:t>提供</w:t>
            </w:r>
            <w:r>
              <w:rPr>
                <w:rFonts w:hint="eastAsia" w:ascii="宋体" w:hAnsi="宋体" w:cs="宋体"/>
                <w:kern w:val="0"/>
              </w:rPr>
              <w:t>维修资料</w:t>
            </w:r>
            <w:r>
              <w:rPr>
                <w:rFonts w:hint="eastAsia" w:ascii="宋体" w:hAnsi="宋体" w:cs="宋体"/>
                <w:kern w:val="0"/>
                <w:lang w:eastAsia="zh-CN"/>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4.3</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s="宋体"/>
                <w:kern w:val="0"/>
              </w:rPr>
              <w:t>预防性维修/定期维护保养</w:t>
            </w:r>
            <w:r>
              <w:rPr>
                <w:rFonts w:hint="eastAsia" w:ascii="宋体" w:hAnsi="宋体" w:cs="宋体"/>
                <w:kern w:val="0"/>
                <w:lang w:eastAsia="zh-CN"/>
              </w:rPr>
              <w:t>：</w:t>
            </w:r>
            <w:r>
              <w:rPr>
                <w:rFonts w:hint="eastAsia" w:ascii="宋体" w:hAnsi="宋体" w:cs="宋体"/>
                <w:kern w:val="0"/>
              </w:rPr>
              <w:t>一年</w:t>
            </w:r>
            <w:r>
              <w:rPr>
                <w:rFonts w:hint="eastAsia" w:ascii="宋体" w:hAnsi="宋体" w:cs="宋体"/>
                <w:kern w:val="0"/>
                <w:lang w:eastAsia="zh-CN"/>
              </w:rPr>
              <w:t>不少于</w:t>
            </w:r>
            <w:r>
              <w:rPr>
                <w:rFonts w:hint="eastAsia" w:ascii="宋体" w:hAnsi="宋体" w:cs="宋体"/>
                <w:kern w:val="0"/>
              </w:rPr>
              <w:t>2次</w:t>
            </w:r>
            <w:r>
              <w:rPr>
                <w:rFonts w:hint="eastAsia" w:ascii="宋体" w:hAnsi="宋体" w:cs="宋体"/>
                <w:kern w:val="0"/>
                <w:lang w:eastAsia="zh-CN"/>
              </w:rPr>
              <w:t>。</w:t>
            </w:r>
          </w:p>
        </w:tc>
      </w:tr>
      <w:tr>
        <w:tblPrEx>
          <w:tblCellMar>
            <w:top w:w="0" w:type="dxa"/>
            <w:left w:w="108" w:type="dxa"/>
            <w:bottom w:w="0" w:type="dxa"/>
            <w:right w:w="108" w:type="dxa"/>
          </w:tblCellMar>
        </w:tblPrEx>
        <w:trPr>
          <w:trHeight w:val="365"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21"/>
                <w:szCs w:val="21"/>
                <w:lang w:bidi="lo-LA"/>
              </w:rPr>
            </w:pP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4.4</w:t>
            </w:r>
          </w:p>
        </w:tc>
        <w:tc>
          <w:tcPr>
            <w:tcW w:w="67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
              </w:rPr>
            </w:pPr>
            <w:r>
              <w:rPr>
                <w:rFonts w:hint="eastAsia" w:ascii="宋体" w:hAnsi="宋体" w:cs="宋体"/>
                <w:kern w:val="0"/>
                <w:lang w:val="en-US" w:eastAsia="zh-CN"/>
              </w:rPr>
              <w:t>提供</w:t>
            </w:r>
            <w:r>
              <w:rPr>
                <w:rFonts w:hint="eastAsia" w:ascii="宋体" w:hAnsi="宋体" w:cs="宋体"/>
                <w:kern w:val="0"/>
              </w:rPr>
              <w:t>免费</w:t>
            </w:r>
            <w:r>
              <w:rPr>
                <w:rFonts w:hint="eastAsia" w:ascii="宋体" w:hAnsi="宋体" w:cs="宋体"/>
                <w:kern w:val="0"/>
                <w:lang w:eastAsia="zh-CN"/>
              </w:rPr>
              <w:t>的软件</w:t>
            </w:r>
            <w:r>
              <w:rPr>
                <w:rFonts w:hint="eastAsia" w:ascii="宋体" w:hAnsi="宋体" w:cs="宋体"/>
                <w:kern w:val="0"/>
              </w:rPr>
              <w:t>升级</w:t>
            </w:r>
            <w:r>
              <w:rPr>
                <w:rFonts w:hint="eastAsia" w:ascii="宋体" w:hAnsi="宋体" w:cs="宋体"/>
                <w:kern w:val="0"/>
                <w:lang w:eastAsia="zh-CN"/>
              </w:rPr>
              <w:t>服务。</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default" w:ascii="宋体" w:hAnsi="宋体" w:cs="宋体" w:eastAsiaTheme="minorEastAsia"/>
                <w:kern w:val="0"/>
                <w:sz w:val="21"/>
                <w:szCs w:val="21"/>
                <w:lang w:val="en-US" w:eastAsia="zh-CN"/>
              </w:rPr>
            </w:pPr>
            <w:r>
              <w:rPr>
                <w:rFonts w:hint="eastAsia" w:ascii="宋体" w:hAnsi="宋体" w:cs="宋体"/>
                <w:b/>
                <w:bCs/>
                <w:color w:val="FF0000"/>
                <w:kern w:val="0"/>
                <w:sz w:val="21"/>
                <w:szCs w:val="21"/>
              </w:rPr>
              <w:t>注：“参数性质”标“*”表示此参数为主要技术参数</w:t>
            </w:r>
            <w:r>
              <w:rPr>
                <w:rFonts w:hint="eastAsia" w:ascii="宋体" w:hAnsi="宋体" w:cs="宋体"/>
                <w:b/>
                <w:bCs/>
                <w:color w:val="FF0000"/>
                <w:kern w:val="0"/>
                <w:sz w:val="21"/>
                <w:szCs w:val="21"/>
                <w:lang w:eastAsia="zh-CN"/>
              </w:rPr>
              <w:t>，</w:t>
            </w:r>
            <w:r>
              <w:rPr>
                <w:rFonts w:hint="eastAsia" w:ascii="宋体" w:hAnsi="宋体" w:cs="宋体"/>
                <w:b/>
                <w:bCs/>
                <w:color w:val="FF0000"/>
                <w:kern w:val="0"/>
                <w:sz w:val="21"/>
                <w:szCs w:val="21"/>
                <w:lang w:val="en-US" w:eastAsia="zh-CN"/>
              </w:rPr>
              <w:t>必须满足，否则当废标论处</w:t>
            </w:r>
          </w:p>
        </w:tc>
      </w:tr>
    </w:tbl>
    <w:p>
      <w:pPr>
        <w:spacing w:line="360" w:lineRule="auto"/>
      </w:pPr>
    </w:p>
    <w:p/>
    <w:p>
      <w:pPr>
        <w:numPr>
          <w:ilvl w:val="0"/>
          <w:numId w:val="0"/>
        </w:numPr>
        <w:spacing w:line="360" w:lineRule="auto"/>
        <w:jc w:val="left"/>
        <w:rPr>
          <w:rFonts w:hint="eastAsia" w:hAnsi="宋体"/>
          <w:sz w:val="24"/>
          <w:szCs w:val="24"/>
        </w:rPr>
      </w:pPr>
    </w:p>
    <w:p>
      <w:pPr>
        <w:spacing w:line="360" w:lineRule="auto"/>
        <w:jc w:val="right"/>
        <w:rPr>
          <w:rFonts w:hint="eastAsia" w:asciiTheme="minorEastAsia" w:hAnsiTheme="minorEastAsia"/>
          <w:sz w:val="28"/>
          <w:szCs w:val="28"/>
        </w:rPr>
      </w:pPr>
      <w:r>
        <w:rPr>
          <w:rFonts w:hint="eastAsia" w:asciiTheme="minorEastAsia" w:hAnsiTheme="minorEastAsia"/>
          <w:sz w:val="28"/>
          <w:szCs w:val="28"/>
          <w:lang w:val="en-US" w:eastAsia="zh-CN"/>
        </w:rPr>
        <w:t>鄂尔多斯市中心医院</w:t>
      </w:r>
      <w:r>
        <w:rPr>
          <w:rFonts w:hint="eastAsia" w:asciiTheme="minorEastAsia" w:hAnsiTheme="minorEastAsia"/>
          <w:sz w:val="28"/>
          <w:szCs w:val="28"/>
        </w:rPr>
        <w:t xml:space="preserve">                                </w:t>
      </w:r>
    </w:p>
    <w:p>
      <w:pPr>
        <w:numPr>
          <w:ilvl w:val="0"/>
          <w:numId w:val="0"/>
        </w:numPr>
        <w:tabs>
          <w:tab w:val="left" w:pos="606"/>
        </w:tabs>
        <w:bidi w:val="0"/>
        <w:ind w:firstLine="6160" w:firstLineChars="2200"/>
        <w:jc w:val="left"/>
        <w:rPr>
          <w:rFonts w:hint="eastAsia" w:ascii="宋体" w:hAnsi="宋体" w:eastAsia="宋体" w:cs="宋体"/>
          <w:b/>
          <w:bCs/>
          <w:sz w:val="28"/>
          <w:szCs w:val="28"/>
          <w:lang w:val="en-US" w:eastAsia="zh-CN"/>
        </w:rPr>
      </w:pPr>
      <w:r>
        <w:rPr>
          <w:rFonts w:hint="eastAsia" w:asciiTheme="minorEastAsia" w:hAnsiTheme="minorEastAsia"/>
          <w:sz w:val="28"/>
          <w:szCs w:val="28"/>
          <w:lang w:val="en-US" w:eastAsia="zh-CN"/>
        </w:rPr>
        <w:t>2020</w:t>
      </w:r>
      <w:r>
        <w:rPr>
          <w:rFonts w:hint="eastAsia" w:asciiTheme="minorEastAsia" w:hAnsiTheme="minorEastAsia"/>
          <w:sz w:val="28"/>
          <w:szCs w:val="28"/>
        </w:rPr>
        <w:t>年</w:t>
      </w:r>
      <w:r>
        <w:rPr>
          <w:rFonts w:hint="eastAsia" w:asciiTheme="minorEastAsia" w:hAnsiTheme="minorEastAsia"/>
          <w:sz w:val="28"/>
          <w:szCs w:val="28"/>
          <w:lang w:val="en-US" w:eastAsia="zh-CN"/>
        </w:rPr>
        <w:t>3</w:t>
      </w:r>
      <w:r>
        <w:rPr>
          <w:rFonts w:hint="eastAsia" w:asciiTheme="minorEastAsia" w:hAnsiTheme="minorEastAsia"/>
          <w:sz w:val="28"/>
          <w:szCs w:val="28"/>
        </w:rPr>
        <w:t>月</w:t>
      </w:r>
      <w:r>
        <w:rPr>
          <w:rFonts w:hint="eastAsia" w:asciiTheme="minorEastAsia" w:hAnsiTheme="minorEastAsia"/>
          <w:sz w:val="28"/>
          <w:szCs w:val="28"/>
          <w:lang w:val="en-US" w:eastAsia="zh-CN"/>
        </w:rPr>
        <w:t>30</w:t>
      </w:r>
      <w:r>
        <w:rPr>
          <w:rFonts w:hint="eastAsia" w:asciiTheme="minorEastAsia" w:hAnsiTheme="minorEastAsia"/>
          <w:sz w:val="28"/>
          <w:szCs w:val="28"/>
        </w:rPr>
        <w:t>日</w:t>
      </w:r>
      <w:r>
        <w:rPr>
          <w:rFonts w:hint="eastAsia" w:asciiTheme="minorEastAsia" w:hAnsiTheme="minorEastAsia"/>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履约保证金为中标金额的5%。中标人中标后持履约保证金收据到903室换取中标通知书。履约保证金待产品验收合格后退还，履约金的退还需经器械科及财务科负责人签字后办理。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4.成功缴纳保证金后，需持银行出具的回执单到财务科811室换取收据。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一、投标供应商有如下行为的之一的，纳入黑名单目录。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黑名单记录内容：投标厂家名称、法人名称、报名联系人、联系电话等。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（一）提供、采用虚假报名材料进行投标报名；</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（二）报名成功后无故不参加开标或开标迟到；</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（三）在投标过程中存在陪标、串标、扰乱秩序等不良行为；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（四）中标后10个工作日内无正当理由未签订采购合同或拒绝签订采购合同；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（五）中标后不履行招标公告要求，例如不按时完工或交货、不履行质保条款、将项目私自转包等；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（六）所供货物低于参数要求、工程项目未按要求施工，未能通过验收，存在欺诈行为等；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（七）无故弃标，无故弃标的厂家不予退还投标保证金（对在规定时间内不供货、不弃标的厂家在合同条款中要设置院方强制解除合同条款）。</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（八）经我院认定的其他投标不良行为。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二、处罚措施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1.违反第1项、第2项、第3项条款的，自确定之日起，一年内不允许再次参加医院的招标采购活动。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2.违反第4项、第5项、第6项条款的，自确定之日起，三年内不允许再次参加医院的招标采购活动。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3.违反第7项、第8项条款的，自确定之日起，永久不允许参加医院的招标采购活动。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中标单位持中标通知书、投标文件及合同模板（一式六份，其中管理科室1份、审计科1份、财务科1份、招标办1份、中标供应商2份）同管理科室及分管院领导签订采购合同；合同签订后由招标办审核盖章。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总务科地址：门诊楼913室     联系电话：0477—8367264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bookmarkStart w:id="1" w:name="_GoBack"/>
      <w:bookmarkEnd w:id="1"/>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三、产品分项报价表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六、主要商务要求承诺书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七、报名产品情况介绍表</w:t>
      </w:r>
    </w:p>
    <w:p>
      <w:pPr>
        <w:numPr>
          <w:ilvl w:val="0"/>
          <w:numId w:val="0"/>
        </w:numPr>
        <w:spacing w:line="360" w:lineRule="auto"/>
        <w:jc w:val="lef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八、产品资质（注册证、备案凭证等）</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w:t>
      </w:r>
      <w:r>
        <w:rPr>
          <w:rFonts w:hint="default" w:ascii="宋体" w:hAnsi="宋体" w:eastAsia="宋体" w:cs="宋体"/>
          <w:b w:val="0"/>
          <w:bCs w:val="0"/>
          <w:color w:val="000000"/>
          <w:kern w:val="2"/>
          <w:sz w:val="24"/>
          <w:szCs w:val="24"/>
          <w:lang w:val="en-US" w:eastAsia="zh-CN" w:bidi="ar-SA"/>
        </w:rPr>
        <w:t>、产品质量保证书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十一、售后服务</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十二、产品彩页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十三、其他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2"/>
          <w:szCs w:val="32"/>
          <w:lang w:val="en-US" w:eastAsia="zh-CN"/>
        </w:rPr>
      </w:pPr>
      <w:r>
        <w:rPr>
          <w:rFonts w:hint="eastAsia" w:ascii="宋体" w:hAnsi="宋体" w:eastAsia="宋体" w:cs="宋体"/>
          <w:b/>
          <w:bCs/>
          <w:i w:val="0"/>
          <w:caps w:val="0"/>
          <w:color w:val="auto"/>
          <w:spacing w:val="0"/>
          <w:sz w:val="32"/>
          <w:szCs w:val="32"/>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28"/>
          <w:szCs w:val="28"/>
          <w:lang w:val="en-US" w:eastAsia="zh-CN" w:bidi="ar-SA"/>
        </w:rPr>
      </w:pPr>
      <w:r>
        <w:rPr>
          <w:rFonts w:hint="eastAsia" w:ascii="宋体" w:hAnsi="宋体" w:eastAsia="宋体" w:cs="宋体"/>
          <w:b w:val="0"/>
          <w:bCs w:val="0"/>
          <w:color w:val="000000"/>
          <w:kern w:val="2"/>
          <w:sz w:val="28"/>
          <w:szCs w:val="28"/>
          <w:lang w:val="en-US" w:eastAsia="zh-CN" w:bidi="ar-SA"/>
        </w:rPr>
        <w:t>开标一览表</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r>
        <w:rPr>
          <w:rFonts w:ascii="宋体" w:hAnsi="宋体" w:eastAsia="宋体"/>
          <w:sz w:val="24"/>
          <w:szCs w:val="24"/>
          <w:lang w:val="zh-CN"/>
        </w:rPr>
        <w:br w:type="page"/>
      </w:r>
    </w:p>
    <w:p>
      <w:pPr>
        <w:adjustRightInd w:val="0"/>
        <w:snapToGrid w:val="0"/>
        <w:spacing w:line="360" w:lineRule="auto"/>
        <w:jc w:val="left"/>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2"/>
          <w:sz w:val="32"/>
          <w:szCs w:val="32"/>
          <w:lang w:val="en-US" w:eastAsia="zh-CN" w:bidi="ar-SA"/>
        </w:rPr>
        <w:t>三、</w:t>
      </w:r>
      <w:r>
        <w:rPr>
          <w:rFonts w:hint="eastAsia" w:ascii="黑体" w:hAnsi="黑体" w:eastAsia="黑体" w:cs="黑体"/>
          <w:b w:val="0"/>
          <w:bCs w:val="0"/>
          <w:color w:val="000000"/>
          <w:kern w:val="0"/>
          <w:sz w:val="32"/>
          <w:szCs w:val="32"/>
          <w:lang w:eastAsia="zh-CN"/>
        </w:rPr>
        <w:t>报名产品</w:t>
      </w:r>
      <w:r>
        <w:rPr>
          <w:rFonts w:hint="eastAsia" w:ascii="黑体" w:hAnsi="黑体" w:eastAsia="黑体" w:cs="黑体"/>
          <w:b w:val="0"/>
          <w:bCs w:val="0"/>
          <w:color w:val="000000"/>
          <w:kern w:val="0"/>
          <w:sz w:val="32"/>
          <w:szCs w:val="32"/>
        </w:rPr>
        <w:t>分项报价明细表</w:t>
      </w:r>
      <w:r>
        <w:rPr>
          <w:rFonts w:hint="eastAsia" w:ascii="黑体" w:hAnsi="黑体" w:eastAsia="黑体" w:cs="黑体"/>
          <w:b w:val="0"/>
          <w:bCs w:val="0"/>
          <w:color w:val="000000"/>
          <w:kern w:val="0"/>
          <w:sz w:val="32"/>
          <w:szCs w:val="32"/>
          <w:lang w:eastAsia="zh-CN"/>
        </w:rPr>
        <w:t>（</w:t>
      </w:r>
      <w:r>
        <w:rPr>
          <w:rFonts w:hint="eastAsia" w:ascii="黑体" w:hAnsi="黑体" w:eastAsia="黑体" w:cs="黑体"/>
          <w:b w:val="0"/>
          <w:bCs w:val="0"/>
          <w:color w:val="000000"/>
          <w:kern w:val="0"/>
          <w:sz w:val="32"/>
          <w:szCs w:val="32"/>
          <w:lang w:val="en-US" w:eastAsia="zh-CN"/>
        </w:rPr>
        <w:t>如有分项产品</w:t>
      </w:r>
      <w:r>
        <w:rPr>
          <w:rFonts w:hint="eastAsia" w:ascii="黑体" w:hAnsi="黑体" w:eastAsia="黑体" w:cs="黑体"/>
          <w:b w:val="0"/>
          <w:bCs w:val="0"/>
          <w:color w:val="000000"/>
          <w:kern w:val="0"/>
          <w:sz w:val="32"/>
          <w:szCs w:val="32"/>
          <w:lang w:eastAsia="zh-CN"/>
        </w:rPr>
        <w:t>）</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adjustRightInd w:val="0"/>
        <w:snapToGrid w:val="0"/>
        <w:spacing w:line="360" w:lineRule="auto"/>
        <w:ind w:firstLine="3000" w:firstLineChars="1250"/>
        <w:jc w:val="left"/>
        <w:rPr>
          <w:rFonts w:ascii="宋体" w:hAnsi="宋体" w:eastAsia="宋体" w:cs="Courier New"/>
          <w:color w:val="000000"/>
          <w:kern w:val="0"/>
          <w:sz w:val="24"/>
          <w:szCs w:val="24"/>
        </w:rPr>
      </w:pPr>
      <w:r>
        <w:rPr>
          <w:rFonts w:hint="eastAsia" w:ascii="宋体" w:hAnsi="宋体" w:eastAsia="宋体" w:cs="Courier New"/>
          <w:color w:val="000000"/>
          <w:kern w:val="0"/>
          <w:sz w:val="24"/>
          <w:szCs w:val="24"/>
          <w:lang w:eastAsia="zh-CN"/>
        </w:rPr>
        <w:t>报名产品</w:t>
      </w:r>
      <w:r>
        <w:rPr>
          <w:rFonts w:hint="eastAsia" w:ascii="宋体" w:hAnsi="宋体" w:eastAsia="宋体" w:cs="Courier New"/>
          <w:color w:val="000000"/>
          <w:kern w:val="0"/>
          <w:sz w:val="24"/>
          <w:szCs w:val="24"/>
        </w:rPr>
        <w:t>分项报价明细表</w:t>
      </w:r>
    </w:p>
    <w:p>
      <w:pPr>
        <w:adjustRightInd w:val="0"/>
        <w:snapToGrid w:val="0"/>
        <w:spacing w:line="360" w:lineRule="auto"/>
        <w:ind w:firstLine="3000" w:firstLineChars="1250"/>
        <w:jc w:val="left"/>
        <w:rPr>
          <w:rFonts w:ascii="宋体" w:hAnsi="宋体" w:eastAsia="宋体"/>
          <w:bCs/>
          <w:color w:val="000000"/>
          <w:sz w:val="24"/>
          <w:szCs w:val="24"/>
        </w:rPr>
      </w:pPr>
    </w:p>
    <w:tbl>
      <w:tblPr>
        <w:tblStyle w:val="7"/>
        <w:tblW w:w="85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937"/>
        <w:gridCol w:w="1037"/>
        <w:gridCol w:w="1350"/>
        <w:gridCol w:w="950"/>
        <w:gridCol w:w="900"/>
        <w:gridCol w:w="913"/>
        <w:gridCol w:w="9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序号</w:t>
            </w:r>
          </w:p>
        </w:tc>
        <w:tc>
          <w:tcPr>
            <w:tcW w:w="1937" w:type="dxa"/>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lang w:eastAsia="zh-CN"/>
              </w:rPr>
              <w:t>产品</w:t>
            </w:r>
            <w:r>
              <w:rPr>
                <w:rFonts w:hint="eastAsia" w:ascii="宋体" w:hAnsi="宋体" w:eastAsia="宋体" w:cs="Courier New"/>
                <w:b/>
                <w:bCs/>
                <w:color w:val="000000"/>
                <w:kern w:val="0"/>
                <w:sz w:val="24"/>
                <w:szCs w:val="24"/>
              </w:rPr>
              <w:t>名称</w:t>
            </w:r>
          </w:p>
        </w:tc>
        <w:tc>
          <w:tcPr>
            <w:tcW w:w="1037" w:type="dxa"/>
            <w:tcBorders>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品牌</w:t>
            </w:r>
          </w:p>
        </w:tc>
        <w:tc>
          <w:tcPr>
            <w:tcW w:w="1350" w:type="dxa"/>
            <w:tcBorders>
              <w:lef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型号</w:t>
            </w:r>
          </w:p>
        </w:tc>
        <w:tc>
          <w:tcPr>
            <w:tcW w:w="950" w:type="dxa"/>
            <w:tcBorders>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数量及单位</w:t>
            </w:r>
          </w:p>
        </w:tc>
        <w:tc>
          <w:tcPr>
            <w:tcW w:w="900" w:type="dxa"/>
            <w:tcBorders>
              <w:left w:val="single" w:color="auto" w:sz="4" w:space="0"/>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单价（元）</w:t>
            </w:r>
          </w:p>
        </w:tc>
        <w:tc>
          <w:tcPr>
            <w:tcW w:w="913" w:type="dxa"/>
            <w:tcBorders>
              <w:lef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总价（元）</w:t>
            </w:r>
          </w:p>
        </w:tc>
        <w:tc>
          <w:tcPr>
            <w:tcW w:w="956"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lang w:eastAsia="zh-CN"/>
              </w:rPr>
            </w:pPr>
            <w:r>
              <w:rPr>
                <w:rFonts w:hint="eastAsia" w:ascii="宋体" w:hAnsi="宋体" w:eastAsia="宋体" w:cs="Courier New"/>
                <w:b/>
                <w:bCs/>
                <w:color w:val="000000"/>
                <w:kern w:val="0"/>
                <w:sz w:val="24"/>
                <w:szCs w:val="24"/>
                <w:lang w:eastAsia="zh-CN"/>
              </w:rPr>
              <w:t>质保期</w:t>
            </w:r>
          </w:p>
          <w:p>
            <w:pPr>
              <w:adjustRightInd w:val="0"/>
              <w:snapToGrid w:val="0"/>
              <w:spacing w:line="240" w:lineRule="auto"/>
              <w:jc w:val="center"/>
              <w:rPr>
                <w:rFonts w:hint="eastAsia" w:ascii="宋体" w:hAnsi="宋体" w:eastAsia="宋体" w:cs="Courier New"/>
                <w:b/>
                <w:bCs/>
                <w:color w:val="000000"/>
                <w:kern w:val="0"/>
                <w:sz w:val="24"/>
                <w:szCs w:val="24"/>
                <w:lang w:eastAsia="zh-CN"/>
              </w:rPr>
            </w:pPr>
            <w:r>
              <w:rPr>
                <w:rFonts w:hint="eastAsia" w:ascii="宋体" w:hAnsi="宋体" w:eastAsia="宋体" w:cs="Courier New"/>
                <w:b/>
                <w:bCs/>
                <w:color w:val="000000"/>
                <w:kern w:val="0"/>
                <w:sz w:val="24"/>
                <w:szCs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1</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2</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3</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4</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6631" w:type="dxa"/>
            <w:gridSpan w:val="6"/>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合计</w:t>
            </w: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bl>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四</w:t>
      </w:r>
      <w:r>
        <w:rPr>
          <w:rFonts w:hint="eastAsia" w:ascii="黑体" w:hAnsi="黑体" w:eastAsia="黑体" w:cs="黑体"/>
          <w:b/>
          <w:bCs/>
          <w:color w:val="000000"/>
          <w:kern w:val="2"/>
          <w:sz w:val="32"/>
          <w:szCs w:val="32"/>
          <w:lang w:val="en-US" w:eastAsia="zh-CN" w:bidi="ar-SA"/>
        </w:rPr>
        <w:t>、</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028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5824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131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32"/>
          <w:szCs w:val="32"/>
          <w:lang w:val="en-US" w:eastAsia="zh-CN"/>
        </w:rPr>
      </w:pPr>
    </w:p>
    <w:p>
      <w:pPr>
        <w:numPr>
          <w:ilvl w:val="0"/>
          <w:numId w:val="0"/>
        </w:numPr>
        <w:tabs>
          <w:tab w:val="left" w:pos="1326"/>
        </w:tabs>
        <w:bidi w:val="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i w:val="0"/>
          <w:iCs w:val="0"/>
          <w:sz w:val="32"/>
          <w:szCs w:val="32"/>
          <w:lang w:val="en-US" w:eastAsia="zh-CN"/>
        </w:rPr>
      </w:pPr>
      <w:r>
        <w:rPr>
          <w:rFonts w:hint="eastAsia" w:ascii="黑体" w:hAnsi="黑体" w:eastAsia="黑体" w:cs="黑体"/>
          <w:b w:val="0"/>
          <w:bCs w:val="0"/>
          <w:i w:val="0"/>
          <w:iCs w:val="0"/>
          <w:sz w:val="32"/>
          <w:szCs w:val="32"/>
          <w:lang w:val="en-US" w:eastAsia="zh-CN"/>
        </w:rPr>
        <w:t xml:space="preserve">六、主要商务要求承诺书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七、产品详细情况介绍</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序号</w:t>
            </w:r>
          </w:p>
        </w:tc>
        <w:tc>
          <w:tcPr>
            <w:tcW w:w="1423" w:type="dxa"/>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lang w:eastAsia="zh-CN"/>
              </w:rPr>
              <w:t>产品</w:t>
            </w:r>
            <w:r>
              <w:rPr>
                <w:rFonts w:hint="eastAsia" w:ascii="宋体" w:hAnsi="宋体" w:eastAsia="宋体" w:cs="Courier New"/>
                <w:b/>
                <w:bCs/>
                <w:color w:val="000000"/>
                <w:kern w:val="0"/>
                <w:sz w:val="24"/>
                <w:szCs w:val="24"/>
              </w:rPr>
              <w:t>名称</w:t>
            </w:r>
          </w:p>
        </w:tc>
        <w:tc>
          <w:tcPr>
            <w:tcW w:w="851" w:type="dxa"/>
            <w:tcBorders>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品牌</w:t>
            </w:r>
          </w:p>
        </w:tc>
        <w:tc>
          <w:tcPr>
            <w:tcW w:w="923"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型号</w:t>
            </w:r>
          </w:p>
        </w:tc>
        <w:tc>
          <w:tcPr>
            <w:tcW w:w="1775" w:type="dxa"/>
            <w:tcBorders>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产地</w:t>
            </w:r>
          </w:p>
        </w:tc>
        <w:tc>
          <w:tcPr>
            <w:tcW w:w="1337"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八、产品资质（注册证、备案凭证等）</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九、产品质量保证书</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十、技术偏离表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十一、售后服务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十二、产品彩页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十三、其他</w:t>
      </w: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（此页下发无内容）</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GE Inspira">
    <w:altName w:val="Trebuchet MS"/>
    <w:panose1 w:val="020F0603030400020203"/>
    <w:charset w:val="00"/>
    <w:family w:val="swiss"/>
    <w:pitch w:val="default"/>
    <w:sig w:usb0="00000000" w:usb1="00000000" w:usb2="00000000" w:usb3="00000000" w:csb0="0000009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1569FF27"/>
    <w:multiLevelType w:val="singleLevel"/>
    <w:tmpl w:val="1569FF27"/>
    <w:lvl w:ilvl="0" w:tentative="0">
      <w:start w:val="2"/>
      <w:numFmt w:val="chineseCounting"/>
      <w:lvlText w:val="%1."/>
      <w:lvlJc w:val="left"/>
      <w:pPr>
        <w:tabs>
          <w:tab w:val="left" w:pos="312"/>
        </w:tabs>
      </w:pPr>
      <w:rPr>
        <w:rFonts w:hint="eastAsia"/>
      </w:rPr>
    </w:lvl>
  </w:abstractNum>
  <w:abstractNum w:abstractNumId="3">
    <w:nsid w:val="470E70E4"/>
    <w:multiLevelType w:val="singleLevel"/>
    <w:tmpl w:val="470E70E4"/>
    <w:lvl w:ilvl="0" w:tentative="0">
      <w:start w:val="4"/>
      <w:numFmt w:val="chineseCounting"/>
      <w:suff w:val="space"/>
      <w:lvlText w:val="第%1章"/>
      <w:lvlJc w:val="left"/>
      <w:rPr>
        <w:rFonts w:hint="eastAsia"/>
      </w:rPr>
    </w:lvl>
  </w:abstractNum>
  <w:abstractNum w:abstractNumId="4">
    <w:nsid w:val="5AA96EAC"/>
    <w:multiLevelType w:val="singleLevel"/>
    <w:tmpl w:val="5AA96EAC"/>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27E2104"/>
    <w:rsid w:val="03257D30"/>
    <w:rsid w:val="036A0F34"/>
    <w:rsid w:val="069429D0"/>
    <w:rsid w:val="069D5FAD"/>
    <w:rsid w:val="08DB2790"/>
    <w:rsid w:val="0E280BA1"/>
    <w:rsid w:val="10D51590"/>
    <w:rsid w:val="141960BC"/>
    <w:rsid w:val="14511D5D"/>
    <w:rsid w:val="14A30191"/>
    <w:rsid w:val="1B031D68"/>
    <w:rsid w:val="1D6821D6"/>
    <w:rsid w:val="20A26CCD"/>
    <w:rsid w:val="225B4788"/>
    <w:rsid w:val="23C451C6"/>
    <w:rsid w:val="26283EB2"/>
    <w:rsid w:val="26E23DC6"/>
    <w:rsid w:val="29111AF1"/>
    <w:rsid w:val="295579BA"/>
    <w:rsid w:val="2C4241C8"/>
    <w:rsid w:val="2F534F90"/>
    <w:rsid w:val="2FE43113"/>
    <w:rsid w:val="31EE4882"/>
    <w:rsid w:val="333F7051"/>
    <w:rsid w:val="33F96FD6"/>
    <w:rsid w:val="39EF7A7C"/>
    <w:rsid w:val="3E843922"/>
    <w:rsid w:val="3FB454E1"/>
    <w:rsid w:val="3FDF22A2"/>
    <w:rsid w:val="43E1752F"/>
    <w:rsid w:val="4803283D"/>
    <w:rsid w:val="4ADF0ABA"/>
    <w:rsid w:val="4B645A8C"/>
    <w:rsid w:val="4B8219EB"/>
    <w:rsid w:val="4C0130D0"/>
    <w:rsid w:val="4C2B118A"/>
    <w:rsid w:val="4E1767A4"/>
    <w:rsid w:val="52F97BD0"/>
    <w:rsid w:val="56B63A7F"/>
    <w:rsid w:val="56D4087D"/>
    <w:rsid w:val="57224BDA"/>
    <w:rsid w:val="579546D8"/>
    <w:rsid w:val="5B6E25BC"/>
    <w:rsid w:val="5B7C6170"/>
    <w:rsid w:val="5CF27DD3"/>
    <w:rsid w:val="5E81009E"/>
    <w:rsid w:val="5F334CEB"/>
    <w:rsid w:val="607D4FEC"/>
    <w:rsid w:val="61B92F2D"/>
    <w:rsid w:val="64BB1E86"/>
    <w:rsid w:val="67426CB9"/>
    <w:rsid w:val="683C6BCF"/>
    <w:rsid w:val="69BC0519"/>
    <w:rsid w:val="6D320A99"/>
    <w:rsid w:val="6D901E35"/>
    <w:rsid w:val="6F6367E4"/>
    <w:rsid w:val="7006216A"/>
    <w:rsid w:val="731E024A"/>
    <w:rsid w:val="75CB3919"/>
    <w:rsid w:val="76437B2F"/>
    <w:rsid w:val="77246C60"/>
    <w:rsid w:val="77E46B25"/>
    <w:rsid w:val="791B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2020-03-30T06:52:09Z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