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2020年3月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cs="宋体"/>
                <w:i w:val="0"/>
                <w:caps w:val="0"/>
                <w:color w:val="333333"/>
                <w:spacing w:val="0"/>
                <w:sz w:val="24"/>
                <w:szCs w:val="24"/>
                <w:lang w:val="en-US" w:eastAsia="zh-CN"/>
              </w:rPr>
              <w:t>便携式彩色超声诊断仪</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套</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800000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产品产地</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国产</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质保期</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val="0"/>
                <w:bCs w:val="0"/>
                <w:sz w:val="24"/>
                <w:szCs w:val="24"/>
                <w:lang w:val="en-US" w:eastAsia="zh-CN"/>
              </w:rPr>
              <w:t>设备安装调试验收合格正常使用后，支付总货款的60%；使用一年后支付总货款的30%。质保金为总金额的10%，待质保期到期后若没有发生质量等问题一次性付清。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6</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交付地点</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采购人指定地点</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本项目包含一套便携式彩色超声诊断仪，用于康巴什部，为</w:t>
      </w:r>
      <w:r>
        <w:rPr>
          <w:rFonts w:hint="eastAsia" w:ascii="宋体" w:hAnsi="宋体"/>
          <w:sz w:val="24"/>
          <w:szCs w:val="24"/>
          <w:u w:val="single"/>
          <w:lang w:val="en-US" w:eastAsia="zh-CN"/>
        </w:rPr>
        <w:t>2019年年度采购计划中的设备。</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便携式彩色超声诊断仪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eastAsia="zh-CN"/>
        </w:rPr>
        <w:t>便携式彩色超声诊断仪</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441" w:type="dxa"/>
        <w:tblInd w:w="0" w:type="dxa"/>
        <w:tblLayout w:type="fixed"/>
        <w:tblCellMar>
          <w:top w:w="0" w:type="dxa"/>
          <w:left w:w="108" w:type="dxa"/>
          <w:bottom w:w="0" w:type="dxa"/>
          <w:right w:w="108" w:type="dxa"/>
        </w:tblCellMar>
      </w:tblPr>
      <w:tblGrid>
        <w:gridCol w:w="736"/>
        <w:gridCol w:w="914"/>
        <w:gridCol w:w="6791"/>
      </w:tblGrid>
      <w:tr>
        <w:tblPrEx>
          <w:tblCellMar>
            <w:top w:w="0" w:type="dxa"/>
            <w:left w:w="108" w:type="dxa"/>
            <w:bottom w:w="0" w:type="dxa"/>
            <w:right w:w="108" w:type="dxa"/>
          </w:tblCellMar>
        </w:tblPrEx>
        <w:trPr>
          <w:trHeight w:val="54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blPrEx>
          <w:tblCellMar>
            <w:top w:w="0" w:type="dxa"/>
            <w:left w:w="108" w:type="dxa"/>
            <w:bottom w:w="0" w:type="dxa"/>
            <w:right w:w="108" w:type="dxa"/>
          </w:tblCellMar>
        </w:tblPrEx>
        <w:trPr>
          <w:trHeight w:val="12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eastAsia="zh-CN" w:bidi="lo-LA"/>
              </w:rPr>
              <w:t>设备应用范围</w:t>
            </w:r>
          </w:p>
        </w:tc>
      </w:tr>
      <w:tr>
        <w:tblPrEx>
          <w:tblCellMar>
            <w:top w:w="0" w:type="dxa"/>
            <w:left w:w="108" w:type="dxa"/>
            <w:bottom w:w="0" w:type="dxa"/>
            <w:right w:w="108" w:type="dxa"/>
          </w:tblCellMar>
        </w:tblPrEx>
        <w:trPr>
          <w:trHeight w:val="10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腹部、妇科、产科、心脏、小器官与浅表组织、血管、颅脑, 泌尿等。</w:t>
            </w:r>
          </w:p>
        </w:tc>
      </w:tr>
      <w:tr>
        <w:tblPrEx>
          <w:tblCellMar>
            <w:top w:w="0" w:type="dxa"/>
            <w:left w:w="108" w:type="dxa"/>
            <w:bottom w:w="0" w:type="dxa"/>
            <w:right w:w="108" w:type="dxa"/>
          </w:tblCellMar>
        </w:tblPrEx>
        <w:trPr>
          <w:trHeight w:val="12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介入性超声、儿科、急诊、麻醉等全身应用。</w:t>
            </w:r>
          </w:p>
        </w:tc>
      </w:tr>
      <w:tr>
        <w:tblPrEx>
          <w:tblCellMar>
            <w:top w:w="0" w:type="dxa"/>
            <w:left w:w="108" w:type="dxa"/>
            <w:bottom w:w="0" w:type="dxa"/>
            <w:right w:w="108" w:type="dxa"/>
          </w:tblCellMar>
        </w:tblPrEx>
        <w:trPr>
          <w:trHeight w:val="18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eastAsia="zh-CN" w:bidi="lo-LA"/>
              </w:rPr>
            </w:pPr>
            <w:r>
              <w:rPr>
                <w:rFonts w:hint="eastAsia" w:ascii="宋体" w:hAnsi="宋体" w:eastAsia="宋体" w:cs="宋体"/>
                <w:kern w:val="0"/>
                <w:sz w:val="21"/>
                <w:szCs w:val="21"/>
                <w:lang w:eastAsia="zh-CN" w:bidi="lo-LA"/>
              </w:rPr>
              <w:t>功能要求</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bidi="lo-LA"/>
              </w:rPr>
            </w:pPr>
            <w:r>
              <w:rPr>
                <w:rFonts w:hint="eastAsia" w:ascii="宋体" w:hAnsi="宋体" w:eastAsia="宋体" w:cs="宋体"/>
                <w:i w:val="0"/>
                <w:color w:val="000000"/>
                <w:kern w:val="0"/>
                <w:sz w:val="21"/>
                <w:szCs w:val="21"/>
                <w:u w:val="none"/>
                <w:lang w:val="en-US" w:eastAsia="zh-CN" w:bidi="ar"/>
              </w:rPr>
              <w:t>全数字化彩色多普勒超声诊断系统主机。</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≥15寸高清晰、医用专业彩色LED显示屏。</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上掀式设计，手柄一体化机身。</w:t>
            </w:r>
          </w:p>
        </w:tc>
      </w:tr>
      <w:tr>
        <w:tblPrEx>
          <w:tblCellMar>
            <w:top w:w="0" w:type="dxa"/>
            <w:left w:w="108" w:type="dxa"/>
            <w:bottom w:w="0" w:type="dxa"/>
            <w:right w:w="108" w:type="dxa"/>
          </w:tblCellMar>
        </w:tblPrEx>
        <w:trPr>
          <w:trHeight w:val="15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多倍波束合成。</w:t>
            </w:r>
          </w:p>
        </w:tc>
      </w:tr>
      <w:tr>
        <w:tblPrEx>
          <w:tblCellMar>
            <w:top w:w="0" w:type="dxa"/>
            <w:left w:w="108" w:type="dxa"/>
            <w:bottom w:w="0" w:type="dxa"/>
            <w:right w:w="108" w:type="dxa"/>
          </w:tblCellMar>
        </w:tblPrEx>
        <w:trPr>
          <w:trHeight w:val="33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二维灰阶模式。</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组织谐波成像模式。</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组织特异性成像。</w:t>
            </w:r>
          </w:p>
        </w:tc>
      </w:tr>
      <w:tr>
        <w:tblPrEx>
          <w:tblCellMar>
            <w:top w:w="0" w:type="dxa"/>
            <w:left w:w="108" w:type="dxa"/>
            <w:bottom w:w="0" w:type="dxa"/>
            <w:right w:w="108" w:type="dxa"/>
          </w:tblCellMar>
        </w:tblPrEx>
        <w:trPr>
          <w:trHeight w:val="15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空间复合成像。</w:t>
            </w:r>
          </w:p>
        </w:tc>
      </w:tr>
      <w:tr>
        <w:tblPrEx>
          <w:tblCellMar>
            <w:top w:w="0" w:type="dxa"/>
            <w:left w:w="108" w:type="dxa"/>
            <w:bottom w:w="0" w:type="dxa"/>
            <w:right w:w="108" w:type="dxa"/>
          </w:tblCellMar>
        </w:tblPrEx>
        <w:trPr>
          <w:trHeight w:val="23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斑点抑制成像。</w:t>
            </w:r>
          </w:p>
        </w:tc>
      </w:tr>
      <w:tr>
        <w:tblPrEx>
          <w:tblCellMar>
            <w:top w:w="0" w:type="dxa"/>
            <w:left w:w="108" w:type="dxa"/>
            <w:bottom w:w="0" w:type="dxa"/>
            <w:right w:w="108" w:type="dxa"/>
          </w:tblCellMar>
        </w:tblPrEx>
        <w:trPr>
          <w:trHeight w:val="15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2.10</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频率复合成像。</w:t>
            </w:r>
          </w:p>
        </w:tc>
      </w:tr>
      <w:tr>
        <w:tblPrEx>
          <w:tblCellMar>
            <w:top w:w="0" w:type="dxa"/>
            <w:left w:w="108" w:type="dxa"/>
            <w:bottom w:w="0" w:type="dxa"/>
            <w:right w:w="108" w:type="dxa"/>
          </w:tblCellMar>
        </w:tblPrEx>
        <w:trPr>
          <w:trHeight w:val="19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回波增强技术。</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M型模式。</w:t>
            </w:r>
          </w:p>
        </w:tc>
      </w:tr>
      <w:tr>
        <w:tblPrEx>
          <w:tblCellMar>
            <w:top w:w="0" w:type="dxa"/>
            <w:left w:w="108" w:type="dxa"/>
            <w:bottom w:w="0" w:type="dxa"/>
            <w:right w:w="108" w:type="dxa"/>
          </w:tblCellMar>
        </w:tblPrEx>
        <w:trPr>
          <w:trHeight w:val="21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彩色M型模式。</w:t>
            </w:r>
          </w:p>
        </w:tc>
      </w:tr>
      <w:tr>
        <w:tblPrEx>
          <w:tblCellMar>
            <w:top w:w="0" w:type="dxa"/>
            <w:left w:w="108" w:type="dxa"/>
            <w:bottom w:w="0" w:type="dxa"/>
            <w:right w:w="108" w:type="dxa"/>
          </w:tblCellMar>
        </w:tblPrEx>
        <w:trPr>
          <w:trHeight w:val="17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彩色多普勒成像（包括彩色、能量、方向能量多普勒模式）。</w:t>
            </w:r>
          </w:p>
        </w:tc>
      </w:tr>
      <w:tr>
        <w:tblPrEx>
          <w:tblCellMar>
            <w:top w:w="0" w:type="dxa"/>
            <w:left w:w="108" w:type="dxa"/>
            <w:bottom w:w="0" w:type="dxa"/>
            <w:right w:w="108" w:type="dxa"/>
          </w:tblCellMar>
        </w:tblPrEx>
        <w:trPr>
          <w:trHeight w:val="12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超宽动态血流技术。</w:t>
            </w:r>
          </w:p>
        </w:tc>
      </w:tr>
      <w:tr>
        <w:tblPrEx>
          <w:tblCellMar>
            <w:top w:w="0" w:type="dxa"/>
            <w:left w:w="108" w:type="dxa"/>
            <w:bottom w:w="0" w:type="dxa"/>
            <w:right w:w="108" w:type="dxa"/>
          </w:tblCellMar>
        </w:tblPrEx>
        <w:trPr>
          <w:trHeight w:val="16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频谱多普勒成像（包括脉冲多普勒、高脉冲重复频率、连续波多普勒）。</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独立角度偏转。</w:t>
            </w:r>
          </w:p>
        </w:tc>
      </w:tr>
      <w:tr>
        <w:tblPrEx>
          <w:tblCellMar>
            <w:top w:w="0" w:type="dxa"/>
            <w:left w:w="108" w:type="dxa"/>
            <w:bottom w:w="0" w:type="dxa"/>
            <w:right w:w="108" w:type="dxa"/>
          </w:tblCellMar>
        </w:tblPrEx>
        <w:trPr>
          <w:trHeight w:val="14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扩展成像，要求凸阵、线阵探头可用。</w:t>
            </w:r>
          </w:p>
        </w:tc>
      </w:tr>
      <w:tr>
        <w:tblPrEx>
          <w:tblCellMar>
            <w:top w:w="0" w:type="dxa"/>
            <w:left w:w="108" w:type="dxa"/>
            <w:bottom w:w="0" w:type="dxa"/>
            <w:right w:w="108" w:type="dxa"/>
          </w:tblCellMar>
        </w:tblPrEx>
        <w:trPr>
          <w:trHeight w:val="18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2.19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实时双幅对比成像。</w:t>
            </w:r>
          </w:p>
        </w:tc>
      </w:tr>
      <w:tr>
        <w:tblPrEx>
          <w:tblCellMar>
            <w:top w:w="0" w:type="dxa"/>
            <w:left w:w="108" w:type="dxa"/>
            <w:bottom w:w="0" w:type="dxa"/>
            <w:right w:w="108" w:type="dxa"/>
          </w:tblCellMar>
        </w:tblPrEx>
        <w:trPr>
          <w:trHeight w:val="18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2.20</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高分辨率血流成像。</w:t>
            </w:r>
          </w:p>
        </w:tc>
      </w:tr>
      <w:tr>
        <w:tblPrEx>
          <w:tblCellMar>
            <w:top w:w="0" w:type="dxa"/>
            <w:left w:w="108" w:type="dxa"/>
            <w:bottom w:w="0" w:type="dxa"/>
            <w:right w:w="108" w:type="dxa"/>
          </w:tblCellMar>
        </w:tblPrEx>
        <w:trPr>
          <w:trHeight w:val="11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一键自动优化（包括应用于二维、彩色、频谱模式、TDI及造影）。</w:t>
            </w:r>
          </w:p>
        </w:tc>
      </w:tr>
      <w:tr>
        <w:tblPrEx>
          <w:tblCellMar>
            <w:top w:w="0" w:type="dxa"/>
            <w:left w:w="108" w:type="dxa"/>
            <w:bottom w:w="0" w:type="dxa"/>
            <w:right w:w="108" w:type="dxa"/>
          </w:tblCellMar>
        </w:tblPrEx>
        <w:trPr>
          <w:trHeight w:val="28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Smart Doppler自动优化频谱多普勒取样线角度，以及快速矫正取样角度。</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一键实现全屏放大。</w:t>
            </w:r>
          </w:p>
        </w:tc>
      </w:tr>
      <w:tr>
        <w:tblPrEx>
          <w:tblCellMar>
            <w:top w:w="0" w:type="dxa"/>
            <w:left w:w="108" w:type="dxa"/>
            <w:bottom w:w="0" w:type="dxa"/>
            <w:right w:w="108" w:type="dxa"/>
          </w:tblCellMar>
        </w:tblPrEx>
        <w:trPr>
          <w:trHeight w:val="15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局部放大（支持前端、后端放大）。</w:t>
            </w:r>
          </w:p>
        </w:tc>
      </w:tr>
      <w:tr>
        <w:tblPrEx>
          <w:tblCellMar>
            <w:top w:w="0" w:type="dxa"/>
            <w:left w:w="108" w:type="dxa"/>
            <w:bottom w:w="0" w:type="dxa"/>
            <w:right w:w="108" w:type="dxa"/>
          </w:tblCellMar>
        </w:tblPrEx>
        <w:trPr>
          <w:trHeight w:val="18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二维和彩色多谱勒双幅显示。</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支持超声教学软件。</w:t>
            </w:r>
          </w:p>
        </w:tc>
      </w:tr>
      <w:tr>
        <w:tblPrEx>
          <w:tblCellMar>
            <w:top w:w="0" w:type="dxa"/>
            <w:left w:w="108" w:type="dxa"/>
            <w:bottom w:w="0" w:type="dxa"/>
            <w:right w:w="108" w:type="dxa"/>
          </w:tblCellMar>
        </w:tblPrEx>
        <w:trPr>
          <w:trHeight w:val="10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自动工作流协议iworks。</w:t>
            </w:r>
          </w:p>
        </w:tc>
      </w:tr>
      <w:tr>
        <w:tblPrEx>
          <w:tblCellMar>
            <w:top w:w="0" w:type="dxa"/>
            <w:left w:w="108" w:type="dxa"/>
            <w:bottom w:w="0" w:type="dxa"/>
            <w:right w:w="108" w:type="dxa"/>
          </w:tblCellMar>
        </w:tblPrEx>
        <w:trPr>
          <w:trHeight w:val="15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支持DICOM 3.0。</w:t>
            </w:r>
          </w:p>
        </w:tc>
      </w:tr>
      <w:tr>
        <w:tblPrEx>
          <w:tblCellMar>
            <w:top w:w="0" w:type="dxa"/>
            <w:left w:w="108" w:type="dxa"/>
            <w:bottom w:w="0" w:type="dxa"/>
            <w:right w:w="108" w:type="dxa"/>
          </w:tblCellMar>
        </w:tblPrEx>
        <w:trPr>
          <w:trHeight w:val="14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2.29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支持语言，英语,中文（包括键盘输入、注释、操作面板等）。</w:t>
            </w:r>
          </w:p>
        </w:tc>
      </w:tr>
      <w:tr>
        <w:tblPrEx>
          <w:tblCellMar>
            <w:top w:w="0" w:type="dxa"/>
            <w:left w:w="108" w:type="dxa"/>
            <w:bottom w:w="0" w:type="dxa"/>
            <w:right w:w="108" w:type="dxa"/>
          </w:tblCellMar>
        </w:tblPrEx>
        <w:trPr>
          <w:trHeight w:val="14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测量和分析</w:t>
            </w:r>
          </w:p>
        </w:tc>
      </w:tr>
      <w:tr>
        <w:tblPrEx>
          <w:tblCellMar>
            <w:top w:w="0" w:type="dxa"/>
            <w:left w:w="108" w:type="dxa"/>
            <w:bottom w:w="0" w:type="dxa"/>
            <w:right w:w="108" w:type="dxa"/>
          </w:tblCellMar>
        </w:tblPrEx>
        <w:trPr>
          <w:trHeight w:val="25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default" w:ascii="宋体" w:hAnsi="宋体" w:eastAsia="宋体" w:cs="宋体"/>
                <w:kern w:val="0"/>
                <w:sz w:val="21"/>
                <w:szCs w:val="21"/>
                <w:lang w:val="en-US" w:bidi="lo-LA"/>
              </w:rPr>
            </w:pPr>
            <w:r>
              <w:rPr>
                <w:rFonts w:hint="eastAsia" w:ascii="宋体" w:hAnsi="宋体" w:eastAsia="宋体" w:cs="宋体"/>
                <w:i w:val="0"/>
                <w:color w:val="000000"/>
                <w:kern w:val="0"/>
                <w:sz w:val="21"/>
                <w:szCs w:val="21"/>
                <w:u w:val="none"/>
                <w:lang w:val="en-US" w:eastAsia="zh-CN" w:bidi="ar"/>
              </w:rPr>
              <w:t>常规测量。</w:t>
            </w:r>
          </w:p>
        </w:tc>
      </w:tr>
      <w:tr>
        <w:tblPrEx>
          <w:tblCellMar>
            <w:top w:w="0" w:type="dxa"/>
            <w:left w:w="108" w:type="dxa"/>
            <w:bottom w:w="0" w:type="dxa"/>
            <w:right w:w="108" w:type="dxa"/>
          </w:tblCellMar>
        </w:tblPrEx>
        <w:trPr>
          <w:trHeight w:val="25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距离测量、椭圆及描迹测量面积周长、体积测量。</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多普勒测量（自动或手动包络测量，自动计算测量参数）。</w:t>
            </w:r>
          </w:p>
        </w:tc>
      </w:tr>
      <w:tr>
        <w:tblPrEx>
          <w:tblCellMar>
            <w:top w:w="0" w:type="dxa"/>
            <w:left w:w="108" w:type="dxa"/>
            <w:bottom w:w="0" w:type="dxa"/>
            <w:right w:w="108" w:type="dxa"/>
          </w:tblCellMar>
        </w:tblPrEx>
        <w:trPr>
          <w:trHeight w:val="27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全科测量包，自动生成报告。</w:t>
            </w:r>
          </w:p>
        </w:tc>
      </w:tr>
      <w:tr>
        <w:tblPrEx>
          <w:tblCellMar>
            <w:top w:w="0" w:type="dxa"/>
            <w:left w:w="108" w:type="dxa"/>
            <w:bottom w:w="0" w:type="dxa"/>
            <w:right w:w="108" w:type="dxa"/>
          </w:tblCellMar>
        </w:tblPrEx>
        <w:trPr>
          <w:trHeight w:val="45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腹部、妇科、产科、心脏、泌尿、小器官、儿科、血管、神经、急诊科等。</w:t>
            </w:r>
          </w:p>
        </w:tc>
      </w:tr>
      <w:tr>
        <w:tblPrEx>
          <w:tblCellMar>
            <w:top w:w="0" w:type="dxa"/>
            <w:left w:w="108" w:type="dxa"/>
            <w:bottom w:w="0" w:type="dxa"/>
            <w:right w:w="108" w:type="dxa"/>
          </w:tblCellMar>
        </w:tblPrEx>
        <w:trPr>
          <w:trHeight w:val="30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妇科/产科专用测量及分析，含多胎测量、胎儿生理评分、中国人群产科公式。</w:t>
            </w:r>
          </w:p>
        </w:tc>
      </w:tr>
      <w:tr>
        <w:tblPrEx>
          <w:tblCellMar>
            <w:top w:w="0" w:type="dxa"/>
            <w:left w:w="108" w:type="dxa"/>
            <w:bottom w:w="0" w:type="dxa"/>
            <w:right w:w="108" w:type="dxa"/>
          </w:tblCellMar>
        </w:tblPrEx>
        <w:trPr>
          <w:trHeight w:val="51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bidi="lo-LA"/>
              </w:rPr>
            </w:pPr>
            <w:r>
              <w:rPr>
                <w:rFonts w:hint="eastAsia" w:ascii="宋体" w:hAnsi="宋体" w:eastAsia="宋体" w:cs="宋体"/>
                <w:i w:val="0"/>
                <w:color w:val="000000"/>
                <w:kern w:val="0"/>
                <w:sz w:val="21"/>
                <w:szCs w:val="21"/>
                <w:u w:val="none"/>
                <w:lang w:val="en-US" w:eastAsia="zh-CN" w:bidi="ar"/>
              </w:rPr>
              <w:t>心脏功能专用测量及分析，包括Simpson BP、Tei指数分析、PISA等。Auto-LV自动左心室收缩功能自动测量。</w:t>
            </w:r>
          </w:p>
        </w:tc>
      </w:tr>
      <w:tr>
        <w:tblPrEx>
          <w:tblCellMar>
            <w:top w:w="0" w:type="dxa"/>
            <w:left w:w="108" w:type="dxa"/>
            <w:bottom w:w="0" w:type="dxa"/>
            <w:right w:w="108" w:type="dxa"/>
          </w:tblCellMar>
        </w:tblPrEx>
        <w:trPr>
          <w:trHeight w:val="16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支持用户自定义测量项目以及公式编辑。</w:t>
            </w:r>
          </w:p>
        </w:tc>
      </w:tr>
      <w:tr>
        <w:tblPrEx>
          <w:tblCellMar>
            <w:top w:w="0" w:type="dxa"/>
            <w:left w:w="108" w:type="dxa"/>
            <w:bottom w:w="0" w:type="dxa"/>
            <w:right w:w="108" w:type="dxa"/>
          </w:tblCellMar>
        </w:tblPrEx>
        <w:trPr>
          <w:trHeight w:val="12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电影回放及原始数据处理</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bidi="lo-LA"/>
              </w:rPr>
            </w:pPr>
            <w:r>
              <w:rPr>
                <w:rFonts w:hint="eastAsia" w:ascii="宋体" w:hAnsi="宋体" w:eastAsia="宋体" w:cs="宋体"/>
                <w:i w:val="0"/>
                <w:color w:val="000000"/>
                <w:kern w:val="0"/>
                <w:sz w:val="21"/>
                <w:szCs w:val="21"/>
                <w:u w:val="none"/>
                <w:lang w:val="en-US" w:eastAsia="zh-CN" w:bidi="ar"/>
              </w:rPr>
              <w:t>所有模式下支持手动、自动回放；支持向后存储和向前存储，时间长度可预置，向后存储≥4分钟的电影。</w:t>
            </w:r>
          </w:p>
        </w:tc>
      </w:tr>
      <w:tr>
        <w:tblPrEx>
          <w:tblCellMar>
            <w:top w:w="0" w:type="dxa"/>
            <w:left w:w="108" w:type="dxa"/>
            <w:bottom w:w="0" w:type="dxa"/>
            <w:right w:w="108" w:type="dxa"/>
          </w:tblCellMar>
        </w:tblPrEx>
        <w:trPr>
          <w:trHeight w:val="237"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支持保存后的图像对比分析（动态、静态）。</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原始数据处理，可对回放图像进行参数调节。</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同步存储(支持单帧图像文件包含：DCM、TIFF、BMP、JEPG单帧，电影文件包括：CIN、AVI、DCM)，即后台存储或导出图像数据的同时前台可以完成实时扫描。直接一键存储至硬盘，突然关机或未结束检查关机资料不丢失。</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支持一键多功能输出，要求同一个自定义功能按键支持≥4个功能的输出。</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检查存储和管理</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≥240G硬盘，应为固态硬盘。</w:t>
            </w:r>
          </w:p>
        </w:tc>
      </w:tr>
      <w:tr>
        <w:tblPrEx>
          <w:tblCellMar>
            <w:top w:w="0" w:type="dxa"/>
            <w:left w:w="108" w:type="dxa"/>
            <w:bottom w:w="0" w:type="dxa"/>
            <w:right w:w="108" w:type="dxa"/>
          </w:tblCellMar>
        </w:tblPrEx>
        <w:trPr>
          <w:trHeight w:val="14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内置超声工作站。</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多种导出图像格式：动态图像、静态图像以PC格式直接导出，无需特殊软件即能在普通PC 机上直接观看图像。导出、备份图像数据资料同时，可进行实时检查，不影响检查操作。</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安全和认证：经CE、FDA及CFDA认证。</w:t>
            </w:r>
          </w:p>
        </w:tc>
      </w:tr>
      <w:tr>
        <w:tblPrEx>
          <w:tblCellMar>
            <w:top w:w="0" w:type="dxa"/>
            <w:left w:w="108" w:type="dxa"/>
            <w:bottom w:w="0" w:type="dxa"/>
            <w:right w:w="108" w:type="dxa"/>
          </w:tblCellMar>
        </w:tblPrEx>
        <w:trPr>
          <w:trHeight w:val="15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技术参数要求</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监视器:≥15寸高分辨率、医用专业彩色LED显示屏。</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探头接口选择：1个，可扩展到3个。</w:t>
            </w:r>
          </w:p>
        </w:tc>
      </w:tr>
      <w:tr>
        <w:tblPrEx>
          <w:tblCellMar>
            <w:top w:w="0" w:type="dxa"/>
            <w:left w:w="108" w:type="dxa"/>
            <w:bottom w:w="0" w:type="dxa"/>
            <w:right w:w="108" w:type="dxa"/>
          </w:tblCellMar>
        </w:tblPrEx>
        <w:trPr>
          <w:trHeight w:val="21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安全标准：符合商品安全质量要求。</w:t>
            </w:r>
          </w:p>
        </w:tc>
      </w:tr>
      <w:tr>
        <w:tblPrEx>
          <w:tblCellMar>
            <w:top w:w="0" w:type="dxa"/>
            <w:left w:w="108" w:type="dxa"/>
            <w:bottom w:w="0" w:type="dxa"/>
            <w:right w:w="108" w:type="dxa"/>
          </w:tblCellMar>
        </w:tblPrEx>
        <w:trPr>
          <w:trHeight w:val="10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整机重量≤6KG。</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支持用户自定义按键数量≥4个。</w:t>
            </w:r>
          </w:p>
        </w:tc>
      </w:tr>
      <w:tr>
        <w:tblPrEx>
          <w:tblCellMar>
            <w:top w:w="0" w:type="dxa"/>
            <w:left w:w="108" w:type="dxa"/>
            <w:bottom w:w="0" w:type="dxa"/>
            <w:right w:w="108" w:type="dxa"/>
          </w:tblCellMar>
        </w:tblPrEx>
        <w:trPr>
          <w:trHeight w:val="18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探头规格：支持单晶探头。</w:t>
            </w:r>
          </w:p>
        </w:tc>
      </w:tr>
      <w:tr>
        <w:tblPrEx>
          <w:tblCellMar>
            <w:top w:w="0" w:type="dxa"/>
            <w:left w:w="108" w:type="dxa"/>
            <w:bottom w:w="0" w:type="dxa"/>
            <w:right w:w="108" w:type="dxa"/>
          </w:tblCellMar>
        </w:tblPrEx>
        <w:trPr>
          <w:trHeight w:val="15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频率: 宽频带变频探头，两维和彩色独立变频。</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凸阵探头具有≥7种频率的变频范围，常规扫描角度≥61度，扫描角度最大扩展后≥100度。</w:t>
            </w:r>
          </w:p>
        </w:tc>
      </w:tr>
      <w:tr>
        <w:tblPrEx>
          <w:tblCellMar>
            <w:top w:w="0" w:type="dxa"/>
            <w:left w:w="108" w:type="dxa"/>
            <w:bottom w:w="0" w:type="dxa"/>
            <w:right w:w="108" w:type="dxa"/>
          </w:tblCellMar>
        </w:tblPrEx>
        <w:trPr>
          <w:trHeight w:val="23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线阵探头具有≥5种频率的变频范围，支持T型扩展显示。</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7.10</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相控阵探头具有≥5种频率的变频范围，扫描角度≥90度。</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支持专用介入探头。</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支持术中探头。</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支持矩阵探头。</w:t>
            </w:r>
          </w:p>
        </w:tc>
      </w:tr>
      <w:tr>
        <w:tblPrEx>
          <w:tblCellMar>
            <w:top w:w="0" w:type="dxa"/>
            <w:left w:w="108" w:type="dxa"/>
            <w:bottom w:w="0" w:type="dxa"/>
            <w:right w:w="108" w:type="dxa"/>
          </w:tblCellMar>
        </w:tblPrEx>
        <w:trPr>
          <w:trHeight w:val="27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二维灰阶模式。</w:t>
            </w:r>
          </w:p>
        </w:tc>
      </w:tr>
      <w:tr>
        <w:tblPrEx>
          <w:tblCellMar>
            <w:top w:w="0" w:type="dxa"/>
            <w:left w:w="108" w:type="dxa"/>
            <w:bottom w:w="0" w:type="dxa"/>
            <w:right w:w="108" w:type="dxa"/>
          </w:tblCellMar>
        </w:tblPrEx>
        <w:trPr>
          <w:trHeight w:val="238"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数字化声束形成器。</w:t>
            </w:r>
          </w:p>
        </w:tc>
      </w:tr>
      <w:tr>
        <w:tblPrEx>
          <w:tblCellMar>
            <w:top w:w="0" w:type="dxa"/>
            <w:left w:w="108" w:type="dxa"/>
            <w:bottom w:w="0" w:type="dxa"/>
            <w:right w:w="108" w:type="dxa"/>
          </w:tblCellMar>
        </w:tblPrEx>
        <w:trPr>
          <w:trHeight w:val="347"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数字化全程动态聚焦，数字化可变孔径及动态变迹，A/D≥12 bit。</w:t>
            </w:r>
          </w:p>
        </w:tc>
      </w:tr>
      <w:tr>
        <w:tblPrEx>
          <w:tblCellMar>
            <w:top w:w="0" w:type="dxa"/>
            <w:left w:w="108" w:type="dxa"/>
            <w:bottom w:w="0" w:type="dxa"/>
            <w:right w:w="108" w:type="dxa"/>
          </w:tblCellMar>
        </w:tblPrEx>
        <w:trPr>
          <w:trHeight w:val="15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接收方式：发射、接收通道≥1024，多倍信号并行处理。</w:t>
            </w:r>
          </w:p>
        </w:tc>
      </w:tr>
      <w:tr>
        <w:tblPrEx>
          <w:tblCellMar>
            <w:top w:w="0" w:type="dxa"/>
            <w:left w:w="108" w:type="dxa"/>
            <w:bottom w:w="0" w:type="dxa"/>
            <w:right w:w="108" w:type="dxa"/>
          </w:tblCellMar>
        </w:tblPrEx>
        <w:trPr>
          <w:trHeight w:val="10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扫描线：每帧线密度≥512超声线。</w:t>
            </w:r>
          </w:p>
        </w:tc>
      </w:tr>
      <w:tr>
        <w:tblPrEx>
          <w:tblCellMar>
            <w:top w:w="0" w:type="dxa"/>
            <w:left w:w="108" w:type="dxa"/>
            <w:bottom w:w="0" w:type="dxa"/>
            <w:right w:w="108" w:type="dxa"/>
          </w:tblCellMar>
        </w:tblPrEx>
        <w:trPr>
          <w:trHeight w:val="18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7.19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发射声束聚焦：发射≥8段。</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7.20</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扫描频率：</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电子凸阵：超声频率 1.3 - 6.0 MHz；</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电子线阵：超声频率 5.4 - 13.5MHz；</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高频电子线阵：超声频率 3.4 - 10.5MHz；</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电子相控阵：超声频率1.3 - 5.0 MHz。</w:t>
            </w:r>
          </w:p>
        </w:tc>
      </w:tr>
      <w:tr>
        <w:tblPrEx>
          <w:tblCellMar>
            <w:top w:w="0" w:type="dxa"/>
            <w:left w:w="108" w:type="dxa"/>
            <w:bottom w:w="0" w:type="dxa"/>
            <w:right w:w="108" w:type="dxa"/>
          </w:tblCellMar>
        </w:tblPrEx>
        <w:trPr>
          <w:trHeight w:val="19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凸阵线阵探头均配穿刺架。</w:t>
            </w:r>
          </w:p>
        </w:tc>
      </w:tr>
      <w:tr>
        <w:tblPrEx>
          <w:tblCellMar>
            <w:top w:w="0" w:type="dxa"/>
            <w:left w:w="108" w:type="dxa"/>
            <w:bottom w:w="0" w:type="dxa"/>
            <w:right w:w="108" w:type="dxa"/>
          </w:tblCellMar>
        </w:tblPrEx>
        <w:trPr>
          <w:trHeight w:val="10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预设条件：针对不同的检查脏器，预置最佳图像检查条件。</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eastAsia="宋体" w:cs="宋体"/>
                <w:sz w:val="21"/>
                <w:szCs w:val="21"/>
                <w:lang w:bidi="lo-LA"/>
              </w:rPr>
              <w:t>*</w:t>
            </w: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最大显示深度:≥38cm。</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最大帧率: ≥999 帧/秒。</w:t>
            </w:r>
          </w:p>
        </w:tc>
      </w:tr>
      <w:tr>
        <w:tblPrEx>
          <w:tblCellMar>
            <w:top w:w="0" w:type="dxa"/>
            <w:left w:w="108" w:type="dxa"/>
            <w:bottom w:w="0" w:type="dxa"/>
            <w:right w:w="108" w:type="dxa"/>
          </w:tblCellMar>
        </w:tblPrEx>
        <w:trPr>
          <w:trHeight w:val="14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TGC: ≥8段。</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LGC: ≥4段。</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体位标记：≥110种，可以自定义注释。</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扫描帧率：诊断深度18cm，相控阵探头全视野时≥61帧／秒。</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7.29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彩色多普勒成像。</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7.30</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包括速度、速度方差、能量、方向能量显示等。</w:t>
            </w:r>
          </w:p>
        </w:tc>
      </w:tr>
      <w:tr>
        <w:tblPrEx>
          <w:tblCellMar>
            <w:top w:w="0" w:type="dxa"/>
            <w:left w:w="108" w:type="dxa"/>
            <w:bottom w:w="0" w:type="dxa"/>
            <w:right w:w="108" w:type="dxa"/>
          </w:tblCellMar>
        </w:tblPrEx>
        <w:trPr>
          <w:trHeight w:val="12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显示方式：B/C、B/C/M、B/POWER、B/C/PW。</w:t>
            </w:r>
          </w:p>
        </w:tc>
      </w:tr>
      <w:tr>
        <w:tblPrEx>
          <w:tblCellMar>
            <w:top w:w="0" w:type="dxa"/>
            <w:left w:w="108" w:type="dxa"/>
            <w:bottom w:w="0" w:type="dxa"/>
            <w:right w:w="108" w:type="dxa"/>
          </w:tblCellMar>
        </w:tblPrEx>
        <w:trPr>
          <w:trHeight w:val="15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取样框偏转: ≥±30度 (线阵探头)。</w:t>
            </w:r>
          </w:p>
        </w:tc>
      </w:tr>
      <w:tr>
        <w:tblPrEx>
          <w:tblCellMar>
            <w:top w:w="0" w:type="dxa"/>
            <w:left w:w="108" w:type="dxa"/>
            <w:bottom w:w="0" w:type="dxa"/>
            <w:right w:w="108" w:type="dxa"/>
          </w:tblCellMar>
        </w:tblPrEx>
        <w:trPr>
          <w:trHeight w:val="19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最大帧率: ≥244 帧/秒。</w:t>
            </w:r>
          </w:p>
        </w:tc>
      </w:tr>
      <w:tr>
        <w:tblPrEx>
          <w:tblCellMar>
            <w:top w:w="0" w:type="dxa"/>
            <w:left w:w="108" w:type="dxa"/>
            <w:bottom w:w="0" w:type="dxa"/>
            <w:right w:w="108" w:type="dxa"/>
          </w:tblCellMar>
        </w:tblPrEx>
        <w:trPr>
          <w:trHeight w:val="17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支持B/C 同宽。</w:t>
            </w:r>
          </w:p>
        </w:tc>
      </w:tr>
      <w:tr>
        <w:tblPrEx>
          <w:tblCellMar>
            <w:top w:w="0" w:type="dxa"/>
            <w:left w:w="108" w:type="dxa"/>
            <w:bottom w:w="0" w:type="dxa"/>
            <w:right w:w="108" w:type="dxa"/>
          </w:tblCellMar>
        </w:tblPrEx>
        <w:trPr>
          <w:trHeight w:val="114"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频谱多普勒模式。</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包括脉冲多普勒、高脉冲重复频率、连续多普勒。</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显示方式：B, PW，B/PW, B/C/PW, B/CW, B/C/CW等等。</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显示控制：反转、零移位、B刷新、D扩展、B/D扩展等。</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7.39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最大速度: ≥9.21m/s（连续多普勒速度: ≥35m/s），最小速度: ≤1 mm /s（非噪声信号）。</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7.40</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取样容积: 0.5-20mm。</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7.41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偏转角度: ≥±30度 (线阵探头)。</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7.42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零位移动：≥8 级。</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7.43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快速角度校正。</w:t>
            </w:r>
          </w:p>
        </w:tc>
      </w:tr>
      <w:tr>
        <w:tblPrEx>
          <w:tblCellMar>
            <w:top w:w="0" w:type="dxa"/>
            <w:left w:w="108" w:type="dxa"/>
            <w:bottom w:w="0" w:type="dxa"/>
            <w:right w:w="108" w:type="dxa"/>
          </w:tblCellMar>
        </w:tblPrEx>
        <w:trPr>
          <w:trHeight w:val="11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7.44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支持频谱自动测量。</w:t>
            </w:r>
          </w:p>
        </w:tc>
      </w:tr>
      <w:tr>
        <w:tblPrEx>
          <w:tblCellMar>
            <w:top w:w="0" w:type="dxa"/>
            <w:left w:w="108" w:type="dxa"/>
            <w:bottom w:w="0" w:type="dxa"/>
            <w:right w:w="108" w:type="dxa"/>
          </w:tblCellMar>
        </w:tblPrEx>
        <w:trPr>
          <w:trHeight w:val="11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7.45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至少配备凸阵探头、线阵探头各一把。</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连通性</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参考信号: 心电，呼吸波，并支持心电触发控制。</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输入/输出信号:</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输入: VCR, 外部视频, RGB彩色视频；</w:t>
            </w:r>
          </w:p>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输出: 高清影视频接口，复合视频, RGB彩色视频, S---视频。</w:t>
            </w:r>
          </w:p>
        </w:tc>
      </w:tr>
      <w:tr>
        <w:tblPrEx>
          <w:tblCellMar>
            <w:top w:w="0" w:type="dxa"/>
            <w:left w:w="108" w:type="dxa"/>
            <w:bottom w:w="0" w:type="dxa"/>
            <w:right w:w="108" w:type="dxa"/>
          </w:tblCellMar>
        </w:tblPrEx>
        <w:trPr>
          <w:trHeight w:val="27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支持数据无线传输。</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支持USB储存介质一键存储普通PC格式文件，无需转换。</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8.5</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支持DICOM。</w:t>
            </w:r>
          </w:p>
        </w:tc>
      </w:tr>
      <w:tr>
        <w:tblPrEx>
          <w:tblCellMar>
            <w:top w:w="0" w:type="dxa"/>
            <w:left w:w="108" w:type="dxa"/>
            <w:bottom w:w="0" w:type="dxa"/>
            <w:right w:w="108" w:type="dxa"/>
          </w:tblCellMar>
        </w:tblPrEx>
        <w:trPr>
          <w:trHeight w:val="18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8.6</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USB3.0接口。</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8.7</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外设数据模块：包含下列接口：1 S---视频、2 VGA视频接口、高清音视频接口。</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8.8</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音频接口。</w:t>
            </w:r>
          </w:p>
        </w:tc>
      </w:tr>
      <w:tr>
        <w:tblPrEx>
          <w:tblCellMar>
            <w:top w:w="0" w:type="dxa"/>
            <w:left w:w="108" w:type="dxa"/>
            <w:bottom w:w="0" w:type="dxa"/>
            <w:right w:w="108" w:type="dxa"/>
          </w:tblCellMar>
        </w:tblPrEx>
        <w:trPr>
          <w:trHeight w:val="237"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可升降多功能专用台车。</w:t>
            </w:r>
          </w:p>
        </w:tc>
      </w:tr>
      <w:tr>
        <w:tblPrEx>
          <w:tblCellMar>
            <w:top w:w="0" w:type="dxa"/>
            <w:left w:w="108" w:type="dxa"/>
            <w:bottom w:w="0" w:type="dxa"/>
            <w:right w:w="108" w:type="dxa"/>
          </w:tblCellMar>
        </w:tblPrEx>
        <w:trPr>
          <w:trHeight w:val="114"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8.10</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支持机器防盗锁控制。</w:t>
            </w:r>
          </w:p>
        </w:tc>
      </w:tr>
      <w:tr>
        <w:tblPrEx>
          <w:tblCellMar>
            <w:top w:w="0" w:type="dxa"/>
            <w:left w:w="108" w:type="dxa"/>
            <w:bottom w:w="0" w:type="dxa"/>
            <w:right w:w="108" w:type="dxa"/>
          </w:tblCellMar>
        </w:tblPrEx>
        <w:trPr>
          <w:trHeight w:val="12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8.11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支持扩展USB接口。</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8.12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可装卸探头扩展槽。</w:t>
            </w:r>
          </w:p>
        </w:tc>
      </w:tr>
      <w:tr>
        <w:tblPrEx>
          <w:tblCellMar>
            <w:top w:w="0" w:type="dxa"/>
            <w:left w:w="108" w:type="dxa"/>
            <w:bottom w:w="0" w:type="dxa"/>
            <w:right w:w="108" w:type="dxa"/>
          </w:tblCellMar>
        </w:tblPrEx>
        <w:trPr>
          <w:trHeight w:val="115"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8.13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储物设备。</w:t>
            </w:r>
          </w:p>
        </w:tc>
      </w:tr>
      <w:tr>
        <w:tblPrEx>
          <w:tblCellMar>
            <w:top w:w="0" w:type="dxa"/>
            <w:left w:w="108" w:type="dxa"/>
            <w:bottom w:w="0" w:type="dxa"/>
            <w:right w:w="108" w:type="dxa"/>
          </w:tblCellMar>
        </w:tblPrEx>
        <w:trPr>
          <w:trHeight w:val="9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8.14</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val="en-US" w:eastAsia="zh-CN" w:bidi="lo-LA"/>
              </w:rPr>
            </w:pPr>
            <w:r>
              <w:rPr>
                <w:rFonts w:hint="eastAsia" w:ascii="宋体" w:hAnsi="宋体" w:eastAsia="宋体" w:cs="宋体"/>
                <w:i w:val="0"/>
                <w:color w:val="000000"/>
                <w:kern w:val="0"/>
                <w:sz w:val="21"/>
                <w:szCs w:val="21"/>
                <w:u w:val="none"/>
                <w:lang w:val="en-US" w:eastAsia="zh-CN" w:bidi="ar"/>
              </w:rPr>
              <w:t>专用旅行箱，可装载主机、探头及相关备件。</w:t>
            </w:r>
          </w:p>
        </w:tc>
      </w:tr>
      <w:tr>
        <w:tblPrEx>
          <w:tblCellMar>
            <w:top w:w="0" w:type="dxa"/>
            <w:left w:w="108" w:type="dxa"/>
            <w:bottom w:w="0" w:type="dxa"/>
            <w:right w:w="108" w:type="dxa"/>
          </w:tblCellMar>
        </w:tblPrEx>
        <w:trPr>
          <w:trHeight w:val="10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备件、技术及维修服务，培训要求</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9.1</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投标方应在用户当地或省会中心城市设置备件库，存入所有必须的备件，保证必要时可以及时供应。</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9.2</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在用户当地或省会中心城市，投标方应配置多名工程技术人员，随时提供开箱验货、安装、调试或维修等服务。</w:t>
            </w:r>
          </w:p>
        </w:tc>
      </w:tr>
      <w:tr>
        <w:tblPrEx>
          <w:tblCellMar>
            <w:top w:w="0" w:type="dxa"/>
            <w:left w:w="108" w:type="dxa"/>
            <w:bottom w:w="0" w:type="dxa"/>
            <w:right w:w="108" w:type="dxa"/>
          </w:tblCellMar>
        </w:tblPrEx>
        <w:trPr>
          <w:trHeight w:val="493"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14"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9.3</w:t>
            </w:r>
          </w:p>
        </w:tc>
        <w:tc>
          <w:tcPr>
            <w:tcW w:w="679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kern w:val="0"/>
                <w:sz w:val="21"/>
                <w:szCs w:val="21"/>
                <w:lang w:bidi="lo-LA"/>
              </w:rPr>
            </w:pPr>
            <w:r>
              <w:rPr>
                <w:rFonts w:hint="eastAsia" w:ascii="宋体" w:hAnsi="宋体" w:eastAsia="宋体" w:cs="宋体"/>
                <w:i w:val="0"/>
                <w:color w:val="000000"/>
                <w:kern w:val="0"/>
                <w:sz w:val="21"/>
                <w:szCs w:val="21"/>
                <w:u w:val="none"/>
                <w:lang w:val="en-US" w:eastAsia="zh-CN" w:bidi="ar"/>
              </w:rPr>
              <w:t>在用户当地或省会中心城市，投标方应配置专业技术人员提供现场技术培训，保证使用人员正常操作设备的各种功能。</w:t>
            </w:r>
          </w:p>
        </w:tc>
      </w:tr>
      <w:tr>
        <w:tblPrEx>
          <w:tblCellMar>
            <w:top w:w="0" w:type="dxa"/>
            <w:left w:w="108" w:type="dxa"/>
            <w:bottom w:w="0" w:type="dxa"/>
            <w:right w:w="108" w:type="dxa"/>
          </w:tblCellMar>
        </w:tblPrEx>
        <w:trPr>
          <w:trHeight w:val="493" w:hRule="atLeast"/>
        </w:trPr>
        <w:tc>
          <w:tcPr>
            <w:tcW w:w="84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b/>
                <w:bCs/>
                <w:color w:val="FF0000"/>
                <w:kern w:val="0"/>
                <w:sz w:val="21"/>
                <w:szCs w:val="21"/>
              </w:rPr>
              <w:t>注：“参数性质”标“*”表示此参数为主要技术参数</w:t>
            </w:r>
            <w:r>
              <w:rPr>
                <w:rFonts w:hint="eastAsia" w:ascii="宋体" w:hAnsi="宋体" w:cs="宋体"/>
                <w:b/>
                <w:bCs/>
                <w:color w:val="FF0000"/>
                <w:kern w:val="0"/>
                <w:sz w:val="21"/>
                <w:szCs w:val="21"/>
                <w:lang w:eastAsia="zh-CN"/>
              </w:rPr>
              <w:t>，</w:t>
            </w:r>
            <w:r>
              <w:rPr>
                <w:rFonts w:hint="eastAsia" w:ascii="宋体" w:hAnsi="宋体" w:cs="宋体"/>
                <w:b/>
                <w:bCs/>
                <w:color w:val="FF0000"/>
                <w:kern w:val="0"/>
                <w:sz w:val="21"/>
                <w:szCs w:val="21"/>
                <w:lang w:val="en-US" w:eastAsia="zh-CN"/>
              </w:rPr>
              <w:t>必须满足，否则当废标论处。</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w:t>
      </w:r>
    </w:p>
    <w:p>
      <w:pPr>
        <w:spacing w:line="360" w:lineRule="auto"/>
        <w:ind w:firstLine="482" w:firstLineChars="200"/>
        <w:rPr>
          <w:rFonts w:hint="eastAsia" w:asciiTheme="minorEastAsia" w:hAnsiTheme="minorEastAsia" w:eastAsiaTheme="minorEastAsia"/>
          <w:b/>
          <w:bCs/>
          <w:color w:val="FF0000"/>
          <w:sz w:val="24"/>
          <w:szCs w:val="24"/>
          <w:lang w:eastAsia="zh-CN"/>
        </w:rPr>
      </w:pPr>
      <w:r>
        <w:rPr>
          <w:rFonts w:hint="eastAsia" w:asciiTheme="minorEastAsia" w:hAnsiTheme="minorEastAsia"/>
          <w:b/>
          <w:bCs/>
          <w:color w:val="FF0000"/>
          <w:sz w:val="24"/>
          <w:szCs w:val="24"/>
          <w:lang w:eastAsia="zh-CN"/>
        </w:rPr>
        <w:t>采用综合评分法。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符合性审查</w:t>
            </w:r>
          </w:p>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报名及保证金缴纳情况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18"/>
                <w:szCs w:val="18"/>
              </w:rPr>
            </w:pPr>
            <w:r>
              <w:rPr>
                <w:rFonts w:hint="eastAsia" w:ascii="宋体" w:hAnsi="宋体" w:eastAsia="宋体" w:cs="宋体"/>
                <w:sz w:val="18"/>
                <w:szCs w:val="18"/>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1965"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295"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Calibri" w:eastAsia="宋体"/>
                <w:b w:val="0"/>
                <w:w w:val="100"/>
                <w:sz w:val="21"/>
                <w:lang w:eastAsia="zh-CN"/>
              </w:rPr>
            </w:pPr>
            <w:r>
              <w:rPr>
                <w:rFonts w:hint="eastAsia" w:ascii="宋体" w:hAnsi="Calibri" w:eastAsia="宋体"/>
                <w:b w:val="0"/>
                <w:w w:val="100"/>
                <w:sz w:val="21"/>
                <w:lang w:val="en-US" w:eastAsia="zh-CN"/>
              </w:rPr>
              <w:t>售后</w:t>
            </w:r>
            <w:r>
              <w:rPr>
                <w:rFonts w:ascii="宋体" w:hAnsi="Calibri" w:eastAsia="宋体"/>
                <w:b w:val="0"/>
                <w:w w:val="100"/>
                <w:sz w:val="21"/>
              </w:rPr>
              <w:t>服务</w:t>
            </w:r>
            <w:r>
              <w:rPr>
                <w:rFonts w:hint="eastAsia" w:ascii="宋体" w:hAnsi="Calibri"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w:t>
            </w:r>
            <w:r>
              <w:rPr>
                <w:rFonts w:hint="eastAsia" w:ascii="宋体" w:hAnsi="Calibri" w:eastAsia="宋体"/>
                <w:b w:val="0"/>
                <w:w w:val="100"/>
                <w:sz w:val="21"/>
                <w:lang w:val="en-US" w:eastAsia="zh-CN"/>
              </w:rPr>
              <w:t>5</w:t>
            </w:r>
            <w:r>
              <w:rPr>
                <w:rFonts w:ascii="宋体" w:hAnsi="Calibri"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质保期（4分）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根据</w:t>
            </w:r>
            <w:r>
              <w:rPr>
                <w:rFonts w:ascii="宋体" w:hAnsi="宋体" w:eastAsia="宋体"/>
                <w:b w:val="0"/>
                <w:w w:val="100"/>
                <w:sz w:val="21"/>
              </w:rPr>
              <w:t>招标文件</w:t>
            </w:r>
            <w:r>
              <w:rPr>
                <w:rFonts w:hint="eastAsia" w:ascii="宋体" w:hAnsi="宋体" w:eastAsia="宋体"/>
                <w:b w:val="0"/>
                <w:w w:val="100"/>
                <w:sz w:val="21"/>
                <w:lang w:eastAsia="zh-CN"/>
              </w:rPr>
              <w:t>要求</w:t>
            </w:r>
            <w:r>
              <w:rPr>
                <w:rFonts w:ascii="宋体" w:hAnsi="宋体" w:eastAsia="宋体"/>
                <w:b w:val="0"/>
                <w:w w:val="100"/>
                <w:sz w:val="21"/>
              </w:rPr>
              <w:t>,质保期每超出一年加</w:t>
            </w:r>
            <w:r>
              <w:rPr>
                <w:rFonts w:hint="eastAsia" w:ascii="宋体" w:hAnsi="宋体" w:eastAsia="宋体"/>
                <w:b w:val="0"/>
                <w:w w:val="100"/>
                <w:sz w:val="21"/>
                <w:lang w:eastAsia="zh-CN"/>
              </w:rPr>
              <w:t>2</w:t>
            </w:r>
            <w:r>
              <w:rPr>
                <w:rFonts w:ascii="宋体" w:hAnsi="宋体" w:eastAsia="宋体"/>
                <w:b w:val="0"/>
                <w:w w:val="100"/>
                <w:sz w:val="21"/>
              </w:rPr>
              <w:t>分（不足一年的不加分）,满分4分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五、其他要求</w:t>
      </w:r>
    </w:p>
    <w:p>
      <w:pPr>
        <w:spacing w:line="360" w:lineRule="auto"/>
        <w:ind w:firstLine="4620" w:firstLineChars="1650"/>
        <w:rPr>
          <w:rFonts w:hint="eastAsia" w:asciiTheme="minorEastAsia" w:hAnsiTheme="minorEastAsia"/>
          <w:sz w:val="28"/>
          <w:szCs w:val="28"/>
        </w:rPr>
      </w:pPr>
    </w:p>
    <w:p>
      <w:pPr>
        <w:spacing w:line="360" w:lineRule="auto"/>
        <w:jc w:val="right"/>
        <w:rPr>
          <w:rFonts w:hint="eastAsia" w:asciiTheme="minorEastAsia" w:hAnsiTheme="minorEastAsia"/>
          <w:sz w:val="28"/>
          <w:szCs w:val="28"/>
        </w:rPr>
      </w:pPr>
      <w:r>
        <w:rPr>
          <w:rFonts w:hint="eastAsia" w:asciiTheme="minorEastAsia" w:hAnsiTheme="minorEastAsia"/>
          <w:sz w:val="28"/>
          <w:szCs w:val="28"/>
          <w:lang w:val="en-US" w:eastAsia="zh-CN"/>
        </w:rPr>
        <w:t>鄂尔多斯市中心医院</w:t>
      </w:r>
      <w:r>
        <w:rPr>
          <w:rFonts w:hint="eastAsia" w:asciiTheme="minorEastAsia" w:hAnsiTheme="minorEastAsia"/>
          <w:sz w:val="28"/>
          <w:szCs w:val="28"/>
        </w:rPr>
        <w:t xml:space="preserve">                                </w:t>
      </w: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2020</w:t>
      </w:r>
      <w:r>
        <w:rPr>
          <w:rFonts w:hint="eastAsia" w:asciiTheme="minorEastAsia" w:hAnsiTheme="minorEastAsia"/>
          <w:sz w:val="28"/>
          <w:szCs w:val="28"/>
        </w:rPr>
        <w:t>年</w:t>
      </w:r>
      <w:r>
        <w:rPr>
          <w:rFonts w:hint="eastAsia" w:asciiTheme="minorEastAsia" w:hAnsiTheme="minorEastAsia"/>
          <w:sz w:val="28"/>
          <w:szCs w:val="28"/>
          <w:lang w:val="en-US" w:eastAsia="zh-CN"/>
        </w:rPr>
        <w:t>3</w:t>
      </w:r>
      <w:r>
        <w:rPr>
          <w:rFonts w:hint="eastAsia" w:asciiTheme="minorEastAsia" w:hAnsiTheme="minorEastAsia"/>
          <w:sz w:val="28"/>
          <w:szCs w:val="28"/>
        </w:rPr>
        <w:t>月</w:t>
      </w:r>
      <w:r>
        <w:rPr>
          <w:rFonts w:hint="eastAsia" w:asciiTheme="minorEastAsia" w:hAnsiTheme="minorEastAsia"/>
          <w:sz w:val="28"/>
          <w:szCs w:val="28"/>
          <w:lang w:val="en-US" w:eastAsia="zh-CN"/>
        </w:rPr>
        <w:t>30</w:t>
      </w:r>
      <w:r>
        <w:rPr>
          <w:rFonts w:hint="eastAsia" w:asciiTheme="minorEastAsia" w:hAnsiTheme="minorEastAsia"/>
          <w:sz w:val="28"/>
          <w:szCs w:val="28"/>
        </w:rPr>
        <w:t>日</w:t>
      </w:r>
      <w:r>
        <w:rPr>
          <w:rFonts w:hint="eastAsia" w:asciiTheme="minorEastAsia" w:hAnsiTheme="minorEastAsia"/>
          <w:sz w:val="28"/>
          <w:szCs w:val="28"/>
          <w:lang w:val="en-US" w:eastAsia="zh-CN"/>
        </w:rPr>
        <w:t xml:space="preserve"> </w:t>
      </w: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p>
    <w:p>
      <w:pPr>
        <w:numPr>
          <w:ilvl w:val="0"/>
          <w:numId w:val="0"/>
        </w:numPr>
        <w:tabs>
          <w:tab w:val="left" w:pos="606"/>
        </w:tabs>
        <w:bidi w:val="0"/>
        <w:ind w:firstLine="6160" w:firstLineChars="2200"/>
        <w:jc w:val="left"/>
        <w:rPr>
          <w:rFonts w:hint="eastAsia" w:asciiTheme="minorEastAsia" w:hAnsi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履约保证金为中标金额的5%。中标人中标后持履约保证金收据到903室换取中标通知书。履约保证金待产品验收合格后退还，履约金的退还需经器械科及财务科负责人签字后办理。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黑名单记录内容：投标厂家名称、法人名称、报名联系人、联系电话等。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（三）在投标过程中存在陪标、串标、扰乱秩序等不良行为；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（四）中标后10个工作日内无正当理由未签订采购合同或拒绝签订采购合同；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（八）经我院认定的其他投标不良行为。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二、处罚措施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2.违反第4项、第5项、第6项条款的，自确定之日起，三年内不允许再次参加医院的招标采购活动。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3.违反第7项、第8项条款的，自确定之日起，永久不允许参加医院的招标采购活动。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五、提供具有独立承担民事责任的能力的证明材料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三、</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五、提供具有独立承担民事责任的能力的证明材料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九、业绩证明材料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十一、主要商务要求承诺书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十二、技术偏离表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十三、售后服务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十四、其他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7E2104"/>
    <w:rsid w:val="036A0F34"/>
    <w:rsid w:val="04D74F47"/>
    <w:rsid w:val="069429D0"/>
    <w:rsid w:val="069D5FAD"/>
    <w:rsid w:val="08DB2790"/>
    <w:rsid w:val="0E280BA1"/>
    <w:rsid w:val="10D51590"/>
    <w:rsid w:val="141960BC"/>
    <w:rsid w:val="14511D5D"/>
    <w:rsid w:val="14A30191"/>
    <w:rsid w:val="18803BFB"/>
    <w:rsid w:val="1B031D68"/>
    <w:rsid w:val="225B4788"/>
    <w:rsid w:val="23C451C6"/>
    <w:rsid w:val="26283EB2"/>
    <w:rsid w:val="26E23DC6"/>
    <w:rsid w:val="29111AF1"/>
    <w:rsid w:val="295579BA"/>
    <w:rsid w:val="2C4241C8"/>
    <w:rsid w:val="2F534F90"/>
    <w:rsid w:val="2FE43113"/>
    <w:rsid w:val="31EE4882"/>
    <w:rsid w:val="333F7051"/>
    <w:rsid w:val="33F96FD6"/>
    <w:rsid w:val="39EF7A7C"/>
    <w:rsid w:val="3E843922"/>
    <w:rsid w:val="3FB454E1"/>
    <w:rsid w:val="43E1752F"/>
    <w:rsid w:val="4803283D"/>
    <w:rsid w:val="4B645A8C"/>
    <w:rsid w:val="4B8219EB"/>
    <w:rsid w:val="4C0130D0"/>
    <w:rsid w:val="4C2B118A"/>
    <w:rsid w:val="4DE61182"/>
    <w:rsid w:val="52F97BD0"/>
    <w:rsid w:val="56B63A7F"/>
    <w:rsid w:val="56D4087D"/>
    <w:rsid w:val="57224BDA"/>
    <w:rsid w:val="5B6E25BC"/>
    <w:rsid w:val="5B7C6170"/>
    <w:rsid w:val="5CF27DD3"/>
    <w:rsid w:val="5F334CEB"/>
    <w:rsid w:val="64BB1E86"/>
    <w:rsid w:val="683C6BCF"/>
    <w:rsid w:val="69BC0519"/>
    <w:rsid w:val="6D320A99"/>
    <w:rsid w:val="6D901E35"/>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2020-03-30T08:26:37Z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