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东胜部住院楼顶户外发光字维修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2021年6月18日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spacing w:line="240" w:lineRule="auto"/>
        <w:jc w:val="left"/>
        <w:outlineLvl w:val="0"/>
        <w:rPr>
          <w:rFonts w:ascii="宋体" w:hAnsi="宋体" w:cs="宋体"/>
          <w:sz w:val="28"/>
          <w:szCs w:val="28"/>
        </w:rPr>
      </w:pPr>
      <w:r>
        <w:rPr>
          <w:rFonts w:hint="eastAsia" w:ascii="宋体" w:hAnsi="宋体" w:cs="宋体"/>
          <w:sz w:val="28"/>
          <w:szCs w:val="28"/>
        </w:rPr>
        <w:t>一.主要商务要求</w:t>
      </w:r>
    </w:p>
    <w:tbl>
      <w:tblPr>
        <w:tblStyle w:val="11"/>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343"/>
        <w:gridCol w:w="1080"/>
        <w:gridCol w:w="1171"/>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343"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108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171"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3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w:t>
            </w:r>
          </w:p>
        </w:tc>
        <w:tc>
          <w:tcPr>
            <w:tcW w:w="159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343" w:type="dxa"/>
            <w:vAlign w:val="center"/>
          </w:tcPr>
          <w:p>
            <w:pPr>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东胜部住院楼顶户外发光字维修</w:t>
            </w:r>
          </w:p>
        </w:tc>
        <w:tc>
          <w:tcPr>
            <w:tcW w:w="1080"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1171"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110000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p>
        </w:tc>
        <w:tc>
          <w:tcPr>
            <w:tcW w:w="5932" w:type="dxa"/>
            <w:gridSpan w:val="4"/>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2343"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51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w:t>
            </w:r>
            <w:r>
              <w:rPr>
                <w:rFonts w:hint="eastAsia" w:ascii="宋体" w:hAnsi="宋体" w:eastAsia="宋体" w:cs="宋体"/>
                <w:sz w:val="24"/>
                <w:szCs w:val="24"/>
              </w:rPr>
              <w:t>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343"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51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灯珠5年、防锈3年、连接电线和穿线管5年、钢架3年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343"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1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安装</w:t>
            </w:r>
            <w:r>
              <w:rPr>
                <w:rFonts w:hint="eastAsia" w:ascii="宋体" w:hAnsi="宋体" w:eastAsia="宋体" w:cs="宋体"/>
                <w:sz w:val="24"/>
                <w:szCs w:val="24"/>
              </w:rPr>
              <w:t>验收合格后支付总货款的</w:t>
            </w:r>
            <w:r>
              <w:rPr>
                <w:rFonts w:hint="eastAsia" w:ascii="宋体" w:hAnsi="宋体" w:eastAsia="宋体" w:cs="宋体"/>
                <w:sz w:val="24"/>
                <w:szCs w:val="24"/>
                <w:lang w:val="en-US" w:eastAsia="zh-CN"/>
              </w:rPr>
              <w:t>6</w:t>
            </w:r>
            <w:r>
              <w:rPr>
                <w:rFonts w:hint="eastAsia" w:ascii="宋体" w:hAnsi="宋体" w:eastAsia="宋体" w:cs="宋体"/>
                <w:sz w:val="24"/>
                <w:szCs w:val="24"/>
              </w:rPr>
              <w:t>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半年后付合同</w:t>
            </w:r>
            <w:r>
              <w:rPr>
                <w:rFonts w:hint="eastAsia" w:ascii="宋体" w:hAnsi="宋体" w:eastAsia="宋体" w:cs="宋体"/>
                <w:sz w:val="24"/>
                <w:szCs w:val="24"/>
              </w:rPr>
              <w:t>总金额的</w:t>
            </w:r>
            <w:r>
              <w:rPr>
                <w:rFonts w:hint="eastAsia" w:ascii="宋体" w:hAnsi="宋体" w:eastAsia="宋体" w:cs="宋体"/>
                <w:sz w:val="24"/>
                <w:szCs w:val="24"/>
                <w:lang w:val="en-US" w:eastAsia="zh-CN"/>
              </w:rPr>
              <w:t>3</w:t>
            </w:r>
            <w:r>
              <w:rPr>
                <w:rFonts w:hint="eastAsia" w:ascii="宋体" w:hAnsi="宋体" w:eastAsia="宋体" w:cs="宋体"/>
                <w:sz w:val="24"/>
                <w:szCs w:val="24"/>
              </w:rPr>
              <w:t>0%，</w:t>
            </w:r>
            <w:r>
              <w:rPr>
                <w:rFonts w:hint="eastAsia" w:ascii="宋体" w:hAnsi="宋体" w:eastAsia="宋体" w:cs="宋体"/>
                <w:sz w:val="24"/>
                <w:szCs w:val="24"/>
                <w:lang w:val="en-US" w:eastAsia="zh-CN"/>
              </w:rPr>
              <w:t>5年</w:t>
            </w:r>
            <w:r>
              <w:rPr>
                <w:rFonts w:hint="eastAsia" w:ascii="宋体" w:hAnsi="宋体" w:eastAsia="宋体" w:cs="宋体"/>
                <w:sz w:val="24"/>
                <w:szCs w:val="24"/>
              </w:rPr>
              <w:t>质保期到期后若没有发生质量等问题一次性付清</w:t>
            </w:r>
            <w:r>
              <w:rPr>
                <w:rFonts w:hint="eastAsia" w:ascii="宋体" w:hAnsi="宋体" w:eastAsia="宋体" w:cs="宋体"/>
                <w:sz w:val="24"/>
                <w:szCs w:val="24"/>
                <w:lang w:val="en-US" w:eastAsia="zh-CN"/>
              </w:rPr>
              <w:t>剩余10%款项</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34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5185"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营业执照经营范围包含发光字、楼宇亮化、亮化工程</w:t>
            </w:r>
            <w:bookmarkStart w:id="1" w:name="_GoBack"/>
            <w:bookmarkEnd w:id="1"/>
            <w:r>
              <w:rPr>
                <w:rFonts w:hint="eastAsia" w:ascii="宋体" w:hAnsi="宋体" w:eastAsia="宋体" w:cs="宋体"/>
                <w:sz w:val="24"/>
                <w:szCs w:val="24"/>
                <w:lang w:val="en-US" w:eastAsia="zh-CN"/>
              </w:rPr>
              <w:t>等相关</w:t>
            </w:r>
          </w:p>
        </w:tc>
      </w:tr>
    </w:tbl>
    <w:p>
      <w:pPr>
        <w:jc w:val="left"/>
        <w:outlineLvl w:val="0"/>
        <w:rPr>
          <w:rFonts w:hint="eastAsia" w:ascii="宋体" w:hAnsi="宋体" w:eastAsia="宋体" w:cs="宋体"/>
          <w:sz w:val="24"/>
          <w:szCs w:val="24"/>
        </w:rPr>
      </w:pPr>
    </w:p>
    <w:p>
      <w:pPr>
        <w:jc w:val="left"/>
        <w:outlineLvl w:val="0"/>
        <w:rPr>
          <w:rFonts w:hint="eastAsia" w:ascii="宋体" w:hAnsi="宋体" w:eastAsia="宋体" w:cs="宋体"/>
          <w:sz w:val="24"/>
          <w:szCs w:val="24"/>
        </w:rPr>
      </w:pPr>
      <w:r>
        <w:rPr>
          <w:rFonts w:hint="eastAsia" w:ascii="宋体" w:hAnsi="宋体" w:eastAsia="宋体" w:cs="宋体"/>
          <w:sz w:val="24"/>
          <w:szCs w:val="24"/>
        </w:rPr>
        <w:t>二.技术标准与要求：</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0" w:right="0" w:firstLine="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1.对现有钢架结构做除锈处理，重新加固，重新做防锈处理；</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0" w:right="0" w:firstLine="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2.总平米数345平米，替换全部灯珠，单色灯珠。</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0" w:right="0" w:firstLine="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3.灯珠品牌：日上、锐高、蓝景、晶格任选其一。</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0" w:right="0" w:firstLine="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大型户外发光字工艺要求：</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0" w:right="0" w:firstLine="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1.修补铝板使用铸铝成型实际厚度2.5mm厚铝板，数码激光切割冲孔，表面沙面处理，特种底漆，2遍汽车面漆，分色处理，漆面防氧化防日照保护层处理，漆面不开裂、不脱落、不褪色，质保5年以上；</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0" w:right="0" w:firstLine="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2.替换光源采用20mm定制LED点光，用蓝景、日上、晶圆等同类优质产品，防水等级不低于IP67，质保3年以上，安装间距10cm，连接线使用YJV国标铜线，各大字之间连接线套国标pvc电力施工阻燃管；</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0" w:right="0" w:firstLine="0"/>
        <w:jc w:val="both"/>
        <w:textAlignment w:val="auto"/>
        <w:rPr>
          <w:rFonts w:hint="eastAsia" w:ascii="宋体" w:hAnsi="宋体" w:eastAsia="宋体" w:cs="宋体"/>
          <w:b/>
          <w:sz w:val="28"/>
          <w:szCs w:val="28"/>
          <w:lang w:val="en-US" w:eastAsia="zh-CN"/>
        </w:rPr>
      </w:pPr>
      <w:r>
        <w:rPr>
          <w:rFonts w:hint="eastAsia" w:ascii="宋体" w:hAnsi="宋体" w:eastAsia="宋体" w:cs="宋体"/>
          <w:b w:val="0"/>
          <w:bCs/>
          <w:sz w:val="24"/>
          <w:szCs w:val="24"/>
          <w:lang w:val="en-US" w:eastAsia="zh-CN"/>
        </w:rPr>
        <w:t>3.所有使用钢料，要求为厚壁国标热镀锌角钢，并做二次防锈处理。</w:t>
      </w:r>
      <w:r>
        <w:rPr>
          <w:rFonts w:hint="eastAsia" w:ascii="宋体" w:hAnsi="宋体" w:eastAsia="宋体" w:cs="宋体"/>
          <w:b/>
          <w:sz w:val="28"/>
          <w:szCs w:val="28"/>
          <w:lang w:val="en-US" w:eastAsia="zh-CN"/>
        </w:rPr>
        <w:t xml:space="preserve"> </w:t>
      </w: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2811" w:firstLineChars="1000"/>
        <w:jc w:val="both"/>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履约保证金待工程验收合格后退还。履约金的退还需先经综合办负责人审核签字，然后持产品验收单及保证金收据到招标办签字或盖章，最后经财务科负责人签字后办理退还。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 xml:space="preserve">、技术偏离表....................................................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六</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宋体" w:hAnsi="宋体" w:eastAsia="宋体"/>
          <w:sz w:val="24"/>
          <w:szCs w:val="24"/>
          <w:lang w:val="zh-CN"/>
        </w:rPr>
      </w:pPr>
    </w:p>
    <w:p>
      <w:pPr>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五、技术偏离表 </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六、其他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2E06FD5"/>
    <w:rsid w:val="1D3A1EA0"/>
    <w:rsid w:val="1DCF2D87"/>
    <w:rsid w:val="23507ADC"/>
    <w:rsid w:val="254444F7"/>
    <w:rsid w:val="2BD72A5D"/>
    <w:rsid w:val="33AC6AE9"/>
    <w:rsid w:val="37FC75FC"/>
    <w:rsid w:val="3ADD74A0"/>
    <w:rsid w:val="3B665BD0"/>
    <w:rsid w:val="4B7B7050"/>
    <w:rsid w:val="64FE513F"/>
    <w:rsid w:val="6DCE2E9E"/>
    <w:rsid w:val="6E113CCF"/>
    <w:rsid w:val="719B7B32"/>
    <w:rsid w:val="74F6154F"/>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2021-06-18T02:36:58Z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B0C8F34B19F7434B8D3BCF3C0101B12D</vt:lpwstr>
  </property>
</Properties>
</file>