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jc w:val="center"/>
        <w:rPr>
          <w:rFonts w:hint="eastAsia"/>
          <w:b/>
          <w:sz w:val="28"/>
          <w:szCs w:val="28"/>
          <w:lang w:val="en-US" w:eastAsia="zh-CN"/>
        </w:rPr>
      </w:pPr>
      <w:r>
        <w:rPr>
          <w:rFonts w:hint="eastAsia"/>
          <w:b/>
          <w:sz w:val="28"/>
          <w:szCs w:val="28"/>
          <w:lang w:val="en-US" w:eastAsia="zh-CN"/>
        </w:rPr>
        <w:drawing>
          <wp:inline distT="0" distB="0" distL="114300" distR="114300">
            <wp:extent cx="3981450" cy="1257935"/>
            <wp:effectExtent l="0" t="0" r="0" b="18415"/>
            <wp:docPr id="1" name="图片 1" descr="微信图片_20220616095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616095721"/>
                    <pic:cNvPicPr>
                      <a:picLocks noChangeAspect="1"/>
                    </pic:cNvPicPr>
                  </pic:nvPicPr>
                  <pic:blipFill>
                    <a:blip r:embed="rId4"/>
                    <a:stretch>
                      <a:fillRect/>
                    </a:stretch>
                  </pic:blipFill>
                  <pic:spPr>
                    <a:xfrm>
                      <a:off x="0" y="0"/>
                      <a:ext cx="3981450" cy="125793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r>
        <w:rPr>
          <w:rFonts w:hint="eastAsia" w:ascii="Tahoma"/>
          <w:b/>
          <w:bCs/>
          <w:i w:val="0"/>
          <w:color w:val="333333"/>
          <w:spacing w:val="0"/>
          <w:sz w:val="36"/>
          <w:szCs w:val="36"/>
          <w:lang w:val="en-US" w:eastAsia="zh-CN"/>
        </w:rPr>
        <w:t>东胜部水暖阀门项目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2022年6月16日</w:t>
      </w:r>
    </w:p>
    <w:p>
      <w:pPr>
        <w:numPr>
          <w:ilvl w:val="0"/>
          <w:numId w:val="0"/>
        </w:numPr>
        <w:ind w:left="0" w:right="0" w:firstLine="0"/>
        <w:jc w:val="center"/>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第一章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470" w:firstLineChars="195"/>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履约保证金待供货品目达80%以后进行退还。退还时需提供由总务科库管及科室负责人签字确认的供货清单。然后到招标办签字或盖章，最后经财务科负责人签字后到出纳室办理退还。</w:t>
      </w:r>
    </w:p>
    <w:p>
      <w:pPr>
        <w:pageBreakBefore w:val="0"/>
        <w:numPr>
          <w:ilvl w:val="0"/>
          <w:numId w:val="0"/>
        </w:numPr>
        <w:wordWrap w:val="0"/>
        <w:autoSpaceDE/>
        <w:autoSpaceDN/>
        <w:bidi w:val="0"/>
        <w:snapToGrid/>
        <w:spacing w:line="360" w:lineRule="auto"/>
        <w:ind w:right="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 xml:space="preserve">总务科地址：门诊楼913室      </w:t>
      </w:r>
    </w:p>
    <w:p>
      <w:pPr>
        <w:pageBreakBefore w:val="0"/>
        <w:numPr>
          <w:ilvl w:val="0"/>
          <w:numId w:val="0"/>
        </w:numPr>
        <w:wordWrap w:val="0"/>
        <w:autoSpaceDE/>
        <w:autoSpaceDN/>
        <w:bidi w:val="0"/>
        <w:snapToGrid/>
        <w:spacing w:line="360" w:lineRule="auto"/>
        <w:ind w:right="0"/>
        <w:rPr>
          <w:rFonts w:hint="default"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财务科地址：门诊楼804室       出纳室地址：门诊楼811室</w:t>
      </w:r>
    </w:p>
    <w:p>
      <w:pPr>
        <w:pageBreakBefore w:val="0"/>
        <w:numPr>
          <w:ilvl w:val="0"/>
          <w:numId w:val="0"/>
        </w:numPr>
        <w:wordWrap w:val="0"/>
        <w:autoSpaceDE/>
        <w:autoSpaceDN/>
        <w:bidi w:val="0"/>
        <w:snapToGrid/>
        <w:spacing w:line="360" w:lineRule="auto"/>
        <w:ind w:right="0"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5.履约保证金账户信息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（5）不同供应商存在控股或参股及管理等关系的；</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三</w:t>
      </w:r>
      <w:r>
        <w:rPr>
          <w:rFonts w:ascii="宋体" w:hAnsi="宋体" w:eastAsia="宋体" w:cs="宋体"/>
          <w:b w:val="0"/>
          <w:color w:val="000000"/>
          <w:sz w:val="24"/>
          <w:szCs w:val="24"/>
        </w:rPr>
        <w:t>、授权委托书.....................................................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四</w:t>
      </w:r>
      <w:r>
        <w:rPr>
          <w:rFonts w:ascii="宋体" w:hAnsi="宋体" w:eastAsia="宋体" w:cs="宋体"/>
          <w:b w:val="0"/>
          <w:color w:val="000000"/>
          <w:sz w:val="24"/>
          <w:szCs w:val="24"/>
        </w:rPr>
        <w:t>、投标人基本情况表...............................................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hint="eastAsia" w:ascii="宋体" w:hAnsi="宋体" w:eastAsia="宋体" w:cs="宋体"/>
          <w:b w:val="0"/>
          <w:color w:val="000000"/>
          <w:sz w:val="24"/>
          <w:szCs w:val="24"/>
          <w:lang w:val="en-US" w:eastAsia="zh-CN"/>
        </w:rPr>
        <w:t>五</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报价单</w:t>
      </w:r>
      <w:r>
        <w:rPr>
          <w:rFonts w:ascii="宋体" w:hAnsi="宋体" w:eastAsia="宋体" w:cs="宋体"/>
          <w:b w:val="0"/>
          <w:color w:val="000000"/>
          <w:sz w:val="24"/>
          <w:szCs w:val="24"/>
        </w:rPr>
        <w:t xml:space="preserve">....................... </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9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09"/>
        <w:gridCol w:w="2649"/>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490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64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40" w:type="dxa"/>
            <w:vAlign w:val="center"/>
          </w:tcPr>
          <w:p>
            <w:pPr>
              <w:spacing w:line="360" w:lineRule="auto"/>
              <w:jc w:val="center"/>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合同有效期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649"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4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649" w:type="dxa"/>
            <w:vMerge w:val="continue"/>
            <w:vAlign w:val="center"/>
          </w:tcPr>
          <w:p/>
        </w:tc>
        <w:tc>
          <w:tcPr>
            <w:tcW w:w="2040"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4228" w:firstLineChars="1762"/>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5040" w:firstLineChars="21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四、投标人基本情况表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210" w:leftChars="0" w:right="0" w:rightChars="0"/>
        <w:jc w:val="left"/>
        <w:rPr>
          <w:rFonts w:ascii="Tahoma"/>
          <w:b/>
          <w:i w:val="0"/>
          <w:color w:val="333333"/>
          <w:spacing w:val="0"/>
          <w:sz w:val="36"/>
          <w:szCs w:val="36"/>
        </w:rPr>
      </w:pPr>
      <w:r>
        <w:rPr>
          <w:rFonts w:hint="eastAsia" w:ascii="宋体" w:hAnsi="宋体" w:eastAsia="宋体" w:cs="宋体"/>
          <w:b/>
          <w:sz w:val="32"/>
          <w:szCs w:val="32"/>
          <w:lang w:val="en-US" w:eastAsia="zh-CN"/>
        </w:rPr>
        <w:t>五、报价单</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Tahoma"/>
          <w:b/>
          <w:i w:val="0"/>
          <w:color w:val="333333"/>
          <w:spacing w:val="0"/>
          <w:sz w:val="36"/>
          <w:szCs w:val="36"/>
          <w:lang w:val="en-US" w:eastAsia="zh-CN"/>
        </w:rPr>
      </w:pPr>
      <w:r>
        <w:rPr>
          <w:rFonts w:ascii="Tahoma"/>
          <w:b/>
          <w:i w:val="0"/>
          <w:color w:val="333333"/>
          <w:spacing w:val="0"/>
          <w:sz w:val="36"/>
          <w:szCs w:val="36"/>
        </w:rPr>
        <w:t>鄂尔多斯市中心医院采购</w:t>
      </w:r>
      <w:r>
        <w:rPr>
          <w:rFonts w:hint="eastAsia" w:ascii="Tahoma" w:eastAsia="宋体"/>
          <w:b/>
          <w:i w:val="0"/>
          <w:color w:val="333333"/>
          <w:spacing w:val="0"/>
          <w:sz w:val="36"/>
          <w:szCs w:val="36"/>
          <w:lang w:val="en-US" w:eastAsia="zh-CN"/>
        </w:rPr>
        <w:t>东胜部水暖阀门</w:t>
      </w:r>
      <w:r>
        <w:rPr>
          <w:rFonts w:hint="eastAsia" w:ascii="Tahoma"/>
          <w:b/>
          <w:i w:val="0"/>
          <w:color w:val="333333"/>
          <w:spacing w:val="0"/>
          <w:sz w:val="36"/>
          <w:szCs w:val="36"/>
          <w:lang w:val="en-US" w:eastAsia="zh-CN"/>
        </w:rPr>
        <w:t>项目</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Tahoma"/>
          <w:b/>
          <w:i w:val="0"/>
          <w:color w:val="333333"/>
          <w:spacing w:val="0"/>
          <w:sz w:val="36"/>
          <w:szCs w:val="36"/>
          <w:lang w:val="en-US" w:eastAsia="zh-CN"/>
        </w:rPr>
      </w:pPr>
      <w:r>
        <w:rPr>
          <w:rFonts w:hint="eastAsia" w:ascii="Tahoma"/>
          <w:b/>
          <w:i w:val="0"/>
          <w:color w:val="333333"/>
          <w:spacing w:val="0"/>
          <w:sz w:val="36"/>
          <w:szCs w:val="36"/>
          <w:lang w:val="en-US" w:eastAsia="zh-CN"/>
        </w:rPr>
        <w:t>投标人报价单</w:t>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val="0"/>
          <w:bCs/>
          <w:sz w:val="32"/>
          <w:szCs w:val="32"/>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r>
        <w:rPr>
          <w:rFonts w:hint="eastAsia" w:ascii="宋体" w:hAnsi="宋体" w:eastAsia="宋体" w:cs="宋体"/>
          <w:b w:val="0"/>
          <w:bCs/>
          <w:sz w:val="32"/>
          <w:szCs w:val="32"/>
          <w:lang w:val="en-US" w:eastAsia="zh-CN"/>
        </w:rPr>
        <w:t>投标人名称：</w:t>
      </w:r>
      <w:r>
        <w:rPr>
          <w:rFonts w:hint="eastAsia" w:ascii="宋体" w:hAnsi="宋体" w:eastAsia="宋体" w:cs="宋体"/>
          <w:b/>
          <w:sz w:val="32"/>
          <w:szCs w:val="32"/>
          <w:lang w:val="en-US" w:eastAsia="zh-CN"/>
        </w:rPr>
        <w:t xml:space="preserve">  </w:t>
      </w:r>
      <w:bookmarkStart w:id="1" w:name="_GoBack"/>
      <w:bookmarkEnd w:id="1"/>
      <w:r>
        <w:rPr>
          <w:rFonts w:hint="eastAsia" w:ascii="宋体" w:hAnsi="宋体" w:eastAsia="宋体" w:cs="宋体"/>
          <w:b/>
          <w:sz w:val="32"/>
          <w:szCs w:val="32"/>
          <w:lang w:val="en-US" w:eastAsia="zh-CN"/>
        </w:rPr>
        <w:t xml:space="preserve">                      </w:t>
      </w:r>
      <w:r>
        <w:rPr>
          <w:rFonts w:hint="eastAsia" w:ascii="宋体" w:hAnsi="宋体" w:eastAsia="宋体" w:cs="宋体"/>
          <w:b w:val="0"/>
          <w:bCs/>
          <w:sz w:val="32"/>
          <w:szCs w:val="32"/>
          <w:lang w:val="en-US" w:eastAsia="zh-CN"/>
        </w:rPr>
        <w:t xml:space="preserve">   货币单位：元</w:t>
      </w:r>
    </w:p>
    <w:tbl>
      <w:tblPr>
        <w:tblStyle w:val="10"/>
        <w:tblpPr w:leftFromText="180" w:rightFromText="180" w:vertAnchor="text" w:horzAnchor="page" w:tblpX="735" w:tblpY="869"/>
        <w:tblOverlap w:val="never"/>
        <w:tblW w:w="10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5"/>
        <w:gridCol w:w="1425"/>
        <w:gridCol w:w="2040"/>
        <w:gridCol w:w="1110"/>
        <w:gridCol w:w="795"/>
        <w:gridCol w:w="1110"/>
        <w:gridCol w:w="1440"/>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 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规格型号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单价报价</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暖气温控调节阀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60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暖气温控调节阀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60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三通调节阀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80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铜球阀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铜球阀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15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铜球阀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铜球阀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铜球阀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铜球阀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铜球阀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DN25-16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铜闸阀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60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铜闸阀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50-16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铜闸阀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20-16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铜闸阀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DN32-16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铜闸阀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25-16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60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铜闸阀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DN40-16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铜闸阀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液位浮球阀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铸钢法兰安全阀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65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2"/>
                <w:szCs w:val="22"/>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铸钢法兰安全阀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2"/>
                <w:szCs w:val="22"/>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铸钢法兰安全阀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2"/>
                <w:szCs w:val="22"/>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铸钢法兰减压阀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40-16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铸钢法兰截止阀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65*2.5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铸钢法兰截止阀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铸钢法兰截止阀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80*2.5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铸钢法兰截止阀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20*2.5mp</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铸钢法兰截止阀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100*2.5MP</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铸钢法兰截止阀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25*2.5MP</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2"/>
                <w:szCs w:val="22"/>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铸钢法兰截止阀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2"/>
                <w:szCs w:val="22"/>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铸钢法兰截止阀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40*2.5MP</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铸钢法兰排污阀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40-16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铸钢法兰排污阀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50-16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2"/>
                <w:szCs w:val="22"/>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铸钢法兰硬密封涡轮蝶阀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100*1.6mp</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铸钢法兰硬密封涡轮蝶阀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65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铸钢法兰硬密封涡轮蝶阀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150*1.6MP</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铸钢法兰硬密封涡轮蝶阀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125*1.6MP</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铸钢法兰硬密封涡轮蝶阀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2"/>
                <w:szCs w:val="22"/>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铸钢法兰硬密封涡轮蝶阀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50*1.6MP</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2"/>
                <w:szCs w:val="22"/>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铸钢法兰闸阀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铸钢法兰闸阀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200*1.6MP</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铸钢法兰闸阀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65*1.6MP</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铸钢法兰闸阀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100*1.6MP</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铸钢法兰闸阀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50*1.6mp</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2"/>
                <w:szCs w:val="22"/>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铸钢法兰闸阀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150*1.6MP</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2"/>
                <w:szCs w:val="22"/>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铸钢法兰闸阀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80*1.6MP</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2"/>
                <w:szCs w:val="22"/>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铸钢法兰止回阀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100-16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1"/>
                <w:szCs w:val="21"/>
                <w:u w:val="none"/>
                <w:lang w:val="en-US" w:eastAsia="zh-CN" w:bidi="ar"/>
              </w:rPr>
              <w:t>铸钢法兰止回阀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40-16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2"/>
                <w:szCs w:val="22"/>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铸钢法兰止回阀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80-16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铸钢法兰止回阀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65-16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铸钢法兰止回阀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50-16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自动浮球阀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自动浮球阀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自动浮球阀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名盾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9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总价合计：（大写）</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小写：</w:t>
            </w:r>
          </w:p>
        </w:tc>
      </w:tr>
    </w:tbl>
    <w:p>
      <w:pPr>
        <w:pageBreakBefore w:val="0"/>
        <w:numPr>
          <w:ilvl w:val="0"/>
          <w:numId w:val="0"/>
        </w:numPr>
        <w:tabs>
          <w:tab w:val="left" w:pos="606"/>
        </w:tabs>
        <w:wordWrap w:val="0"/>
        <w:autoSpaceDE/>
        <w:autoSpaceDN/>
        <w:bidi w:val="0"/>
        <w:snapToGrid/>
        <w:spacing w:line="360" w:lineRule="auto"/>
        <w:ind w:leftChars="0" w:right="0" w:rightChars="0"/>
        <w:jc w:val="both"/>
        <w:rPr>
          <w:rFonts w:hint="eastAsia" w:ascii="Tahoma"/>
          <w:b/>
          <w:i w:val="0"/>
          <w:color w:val="333333"/>
          <w:spacing w:val="0"/>
          <w:sz w:val="36"/>
          <w:szCs w:val="36"/>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center"/>
        <w:rPr>
          <w:rFonts w:hint="default" w:ascii="Tahoma"/>
          <w:b/>
          <w:i w:val="0"/>
          <w:color w:val="333333"/>
          <w:spacing w:val="0"/>
          <w:sz w:val="36"/>
          <w:szCs w:val="36"/>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val="0"/>
          <w:bCs/>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5956B"/>
    <w:multiLevelType w:val="multilevel"/>
    <w:tmpl w:val="FD15956B"/>
    <w:lvl w:ilvl="0" w:tentative="0">
      <w:start w:val="2"/>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6" w:hanging="576"/>
      </w:pPr>
      <w:rPr>
        <w:rFonts w:hint="default"/>
      </w:r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2I5YmQyM2VlMzIyNzg3MTM0MjMzMjczYWU0N2U3MTcifQ=="/>
  </w:docVars>
  <w:rsids>
    <w:rsidRoot w:val="00000000"/>
    <w:rsid w:val="002C273F"/>
    <w:rsid w:val="03E53481"/>
    <w:rsid w:val="05257EA7"/>
    <w:rsid w:val="05FC1CE9"/>
    <w:rsid w:val="0764437A"/>
    <w:rsid w:val="0ED51CF2"/>
    <w:rsid w:val="0FAD27CD"/>
    <w:rsid w:val="112E01E0"/>
    <w:rsid w:val="1D9E6F49"/>
    <w:rsid w:val="1DEB4BA3"/>
    <w:rsid w:val="1E3658A0"/>
    <w:rsid w:val="1EAA2CB1"/>
    <w:rsid w:val="216A28E8"/>
    <w:rsid w:val="23507ADC"/>
    <w:rsid w:val="23AB5115"/>
    <w:rsid w:val="26040372"/>
    <w:rsid w:val="26FE41B7"/>
    <w:rsid w:val="33876B2D"/>
    <w:rsid w:val="3395797A"/>
    <w:rsid w:val="35DB3CAE"/>
    <w:rsid w:val="37FC75FC"/>
    <w:rsid w:val="3ADD74A0"/>
    <w:rsid w:val="3E284040"/>
    <w:rsid w:val="42252C04"/>
    <w:rsid w:val="44A52555"/>
    <w:rsid w:val="470A0F76"/>
    <w:rsid w:val="479B42FF"/>
    <w:rsid w:val="4FC02B8B"/>
    <w:rsid w:val="55B6404F"/>
    <w:rsid w:val="56965226"/>
    <w:rsid w:val="598F704B"/>
    <w:rsid w:val="60CE31D6"/>
    <w:rsid w:val="611E7242"/>
    <w:rsid w:val="64FE513F"/>
    <w:rsid w:val="66336764"/>
    <w:rsid w:val="69FA25B3"/>
    <w:rsid w:val="6A2B0AD0"/>
    <w:rsid w:val="6A3B113E"/>
    <w:rsid w:val="6B9F6436"/>
    <w:rsid w:val="6F18636D"/>
    <w:rsid w:val="719B7B32"/>
    <w:rsid w:val="75A51424"/>
    <w:rsid w:val="777B64FD"/>
    <w:rsid w:val="779A7183"/>
    <w:rsid w:val="7CC10D3A"/>
    <w:rsid w:val="7D9507D2"/>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5"/>
    <w:qFormat/>
    <w:uiPriority w:val="0"/>
    <w:pPr>
      <w:keepNext/>
      <w:widowControl/>
      <w:numPr>
        <w:ilvl w:val="2"/>
        <w:numId w:val="1"/>
      </w:numPr>
      <w:spacing w:before="60" w:after="60" w:line="413" w:lineRule="auto"/>
      <w:outlineLvl w:val="2"/>
    </w:pPr>
    <w:rPr>
      <w:b/>
      <w:bCs/>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5">
    <w:name w:val="Body Text First Indent 2"/>
    <w:basedOn w:val="6"/>
    <w:unhideWhenUsed/>
    <w:qFormat/>
    <w:uiPriority w:val="0"/>
    <w:pPr>
      <w:spacing w:after="0"/>
      <w:ind w:firstLine="200" w:firstLineChars="200"/>
    </w:p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5">
    <w:name w:val="Style1"/>
    <w:basedOn w:val="1"/>
    <w:qFormat/>
    <w:uiPriority w:val="0"/>
    <w:pPr>
      <w:widowControl/>
      <w:tabs>
        <w:tab w:val="left" w:pos="-720"/>
      </w:tabs>
      <w:spacing w:after="120"/>
    </w:pPr>
    <w:rPr>
      <w:spacing w:val="-3"/>
      <w:lang w:val="en-AU" w:eastAsia="en-US"/>
    </w:rPr>
  </w:style>
  <w:style w:type="paragraph" w:customStyle="1" w:styleId="16">
    <w:name w:val="正文文本缩进2"/>
    <w:basedOn w:val="1"/>
    <w:qFormat/>
    <w:uiPriority w:val="0"/>
    <w:pPr>
      <w:widowControl/>
      <w:spacing w:before="100" w:beforeAutospacing="1" w:after="100" w:afterAutospacing="1"/>
      <w:jc w:val="left"/>
    </w:pPr>
    <w:rPr>
      <w:rFonts w:ascii="宋体" w:hAnsi="宋体" w:cs="宋体"/>
      <w:szCs w:val="24"/>
    </w:rPr>
  </w:style>
  <w:style w:type="character" w:customStyle="1" w:styleId="17">
    <w:name w:val="font81"/>
    <w:basedOn w:val="12"/>
    <w:qFormat/>
    <w:uiPriority w:val="0"/>
    <w:rPr>
      <w:rFonts w:hint="eastAsia" w:ascii="宋体" w:hAnsi="宋体" w:eastAsia="宋体" w:cs="宋体"/>
      <w:color w:val="000000"/>
      <w:sz w:val="20"/>
      <w:szCs w:val="20"/>
      <w:u w:val="none"/>
    </w:rPr>
  </w:style>
  <w:style w:type="character" w:customStyle="1" w:styleId="18">
    <w:name w:val="font21"/>
    <w:basedOn w:val="12"/>
    <w:qFormat/>
    <w:uiPriority w:val="0"/>
    <w:rPr>
      <w:rFonts w:hint="default" w:ascii="Times New Roman" w:hAnsi="Times New Roman" w:cs="Times New Roman"/>
      <w:color w:val="000000"/>
      <w:sz w:val="22"/>
      <w:szCs w:val="22"/>
      <w:u w:val="none"/>
    </w:rPr>
  </w:style>
  <w:style w:type="character" w:customStyle="1" w:styleId="19">
    <w:name w:val="font31"/>
    <w:basedOn w:val="12"/>
    <w:qFormat/>
    <w:uiPriority w:val="0"/>
    <w:rPr>
      <w:rFonts w:hint="eastAsia" w:ascii="宋体" w:hAnsi="宋体" w:eastAsia="宋体" w:cs="宋体"/>
      <w:color w:val="000000"/>
      <w:sz w:val="22"/>
      <w:szCs w:val="22"/>
      <w:u w:val="none"/>
    </w:rPr>
  </w:style>
  <w:style w:type="character" w:customStyle="1" w:styleId="20">
    <w:name w:val="font11"/>
    <w:basedOn w:val="12"/>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4308</Words>
  <Characters>5096</Characters>
  <Lines>0</Lines>
  <Paragraphs>0</Paragraphs>
  <TotalTime>0</TotalTime>
  <ScaleCrop>false</ScaleCrop>
  <LinksUpToDate>false</LinksUpToDate>
  <CharactersWithSpaces>5342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2022-06-16T02:04:38Z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6529E3FA4D8C42F49540603618537AB0</vt:lpwstr>
  </property>
</Properties>
</file>