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bookmarkStart w:id="1" w:name="_GoBack"/>
      <w:r>
        <w:rPr>
          <w:rFonts w:hint="eastAsia" w:ascii="宋体" w:hAnsi="宋体" w:eastAsia="宋体" w:cs="宋体"/>
          <w:b/>
          <w:i w:val="0"/>
          <w:caps/>
          <w:color w:val="333333"/>
          <w:spacing w:val="0"/>
          <w:sz w:val="32"/>
          <w:szCs w:val="32"/>
          <w:lang w:val="en-US" w:eastAsia="zh-CN"/>
        </w:rPr>
        <w:t>心电遥测盒项目</w:t>
      </w:r>
    </w:p>
    <w:bookmarkEnd w:id="1"/>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心电遥测盒</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1）甲方在设备安装调试验收合格正常使用后，支付总货款的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0%（质保金除外）；</w:t>
            </w:r>
          </w:p>
          <w:p>
            <w:pPr>
              <w:rPr>
                <w:rFonts w:hint="eastAsia" w:ascii="宋体" w:hAnsi="宋体" w:eastAsia="宋体" w:cs="宋体"/>
                <w:sz w:val="24"/>
                <w:szCs w:val="24"/>
              </w:rPr>
            </w:pPr>
            <w:r>
              <w:rPr>
                <w:rFonts w:hint="eastAsia" w:ascii="宋体" w:hAnsi="宋体" w:eastAsia="宋体" w:cs="宋体"/>
                <w:sz w:val="24"/>
                <w:szCs w:val="24"/>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15套心电遥测盒，用于常规心电监测</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心电遥测盒</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15</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心电遥测盒</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67"/>
        <w:gridCol w:w="658"/>
        <w:gridCol w:w="7178"/>
      </w:tblGrid>
      <w:tr>
        <w:tblPrEx>
          <w:tblCellMar>
            <w:top w:w="0" w:type="dxa"/>
            <w:left w:w="108" w:type="dxa"/>
            <w:bottom w:w="0" w:type="dxa"/>
            <w:right w:w="108" w:type="dxa"/>
          </w:tblCellMar>
        </w:tblPrEx>
        <w:trPr>
          <w:trHeight w:val="212"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参数性质</w:t>
            </w: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编号</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技术参数和性能指标</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val="en-US" w:eastAsia="zh-CN" w:bidi="lo-LA"/>
              </w:rPr>
              <w:t>1</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防护等级≥IPX3</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394"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2</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电池使用时间：ECG≥90小时，待机休眠时间≥24天</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val="en-US" w:eastAsia="zh-CN" w:bidi="lo-LA"/>
              </w:rPr>
              <w:t>3</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发射盒与接收装置之间明视距离≥95米</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4</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心率（HR）监测范围：15～300bpm</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5</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心律失常分析种类≥2</w:t>
            </w:r>
            <w:r>
              <w:rPr>
                <w:rFonts w:hint="eastAsia" w:asciiTheme="minorEastAsia" w:hAnsiTheme="minorEastAsia" w:eastAsiaTheme="minorEastAsia" w:cstheme="minorEastAsia"/>
                <w:kern w:val="0"/>
                <w:sz w:val="21"/>
                <w:szCs w:val="21"/>
                <w:lang w:val="en-US" w:eastAsia="zh-CN" w:bidi="lo-LA"/>
              </w:rPr>
              <w:t>2</w:t>
            </w:r>
            <w:r>
              <w:rPr>
                <w:rFonts w:hint="eastAsia" w:asciiTheme="minorEastAsia" w:hAnsiTheme="minorEastAsia" w:eastAsiaTheme="minorEastAsia" w:cstheme="minorEastAsia"/>
                <w:kern w:val="0"/>
                <w:sz w:val="21"/>
                <w:szCs w:val="21"/>
                <w:lang w:bidi="lo-LA"/>
              </w:rPr>
              <w:t>种</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6</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S-T段监测范围：-2.0～2.0</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7</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提供ST实时片段和参考片段对比显示及记录功能，支持临床中病人心肌缺血病症的诊断</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val="en-US" w:eastAsia="zh-CN" w:bidi="lo-LA"/>
              </w:rPr>
              <w:t>8</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病人心电波形支持卡规测量，支持对于病人PR</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QRS</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RR</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QT和QTC值进行测量，并支持报告打印</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15"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9</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心电波形增益档位</w:t>
            </w:r>
            <w:r>
              <w:rPr>
                <w:rFonts w:hint="eastAsia" w:asciiTheme="minorEastAsia" w:hAnsiTheme="minorEastAsia" w:cstheme="minorEastAsia"/>
                <w:kern w:val="0"/>
                <w:sz w:val="21"/>
                <w:szCs w:val="21"/>
                <w:lang w:val="en-US" w:eastAsia="zh-CN" w:bidi="lo-LA"/>
              </w:rPr>
              <w:t>至少</w:t>
            </w:r>
            <w:r>
              <w:rPr>
                <w:rFonts w:hint="eastAsia" w:asciiTheme="minorEastAsia" w:hAnsiTheme="minorEastAsia" w:eastAsiaTheme="minorEastAsia" w:cstheme="minorEastAsia"/>
                <w:kern w:val="0"/>
                <w:sz w:val="21"/>
                <w:szCs w:val="21"/>
                <w:lang w:bidi="lo-LA"/>
              </w:rPr>
              <w:t>分为×0.125</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×0.25</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×0.5</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×1</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×2</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×4</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574"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10</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支持每个在线监护病人</w:t>
            </w:r>
            <w:r>
              <w:rPr>
                <w:rFonts w:hint="eastAsia" w:asciiTheme="minorEastAsia" w:hAnsiTheme="minorEastAsia" w:cstheme="minorEastAsia"/>
                <w:kern w:val="0"/>
                <w:sz w:val="21"/>
                <w:szCs w:val="21"/>
                <w:lang w:val="en-US" w:eastAsia="zh-CN" w:bidi="lo-LA"/>
              </w:rPr>
              <w:t>至少</w:t>
            </w:r>
            <w:r>
              <w:rPr>
                <w:rFonts w:hint="eastAsia" w:asciiTheme="minorEastAsia" w:hAnsiTheme="minorEastAsia" w:eastAsiaTheme="minorEastAsia" w:cstheme="minorEastAsia"/>
                <w:kern w:val="0"/>
                <w:sz w:val="21"/>
                <w:szCs w:val="21"/>
                <w:lang w:bidi="lo-LA"/>
              </w:rPr>
              <w:t>最近240小时的ST 片段数据存储</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回顾</w:t>
            </w:r>
            <w:r>
              <w:rPr>
                <w:rFonts w:hint="eastAsia" w:asciiTheme="minorEastAsia" w:hAnsiTheme="minorEastAsia" w:cstheme="minorEastAsia"/>
                <w:kern w:val="0"/>
                <w:sz w:val="21"/>
                <w:szCs w:val="21"/>
                <w:lang w:eastAsia="zh-CN" w:bidi="lo-LA"/>
              </w:rPr>
              <w:t>、</w:t>
            </w:r>
            <w:r>
              <w:rPr>
                <w:rFonts w:hint="eastAsia" w:asciiTheme="minorEastAsia" w:hAnsiTheme="minorEastAsia" w:eastAsiaTheme="minorEastAsia" w:cstheme="minorEastAsia"/>
                <w:kern w:val="0"/>
                <w:sz w:val="21"/>
                <w:szCs w:val="21"/>
                <w:lang w:bidi="lo-LA"/>
              </w:rPr>
              <w:t>记录和打印</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11</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bidi="lo-LA"/>
              </w:rPr>
              <w:t>具有LED指示灯指示：工作/休眠状态、导联脱落、电池电量低、按键响应、发射盒故障</w:t>
            </w:r>
            <w:r>
              <w:rPr>
                <w:rFonts w:hint="eastAsia" w:asciiTheme="minorEastAsia" w:hAnsiTheme="minorEastAsia" w:cstheme="minorEastAsia"/>
                <w:kern w:val="0"/>
                <w:sz w:val="21"/>
                <w:szCs w:val="21"/>
                <w:lang w:val="en-US" w:eastAsia="zh-CN" w:bidi="lo-LA"/>
              </w:rPr>
              <w:t>等。</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12</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支持病人血氧饱和度监测功能</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13</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采用基于TCP/IP协议的以太网方式的信息传输，</w:t>
            </w:r>
            <w:r>
              <w:rPr>
                <w:rFonts w:hint="eastAsia" w:asciiTheme="minorEastAsia" w:hAnsiTheme="minorEastAsia" w:cstheme="minorEastAsia"/>
                <w:kern w:val="0"/>
                <w:sz w:val="21"/>
                <w:szCs w:val="21"/>
                <w:lang w:val="en-US" w:eastAsia="zh-CN" w:bidi="lo-LA"/>
              </w:rPr>
              <w:t>应</w:t>
            </w:r>
            <w:r>
              <w:rPr>
                <w:rFonts w:hint="eastAsia" w:asciiTheme="minorEastAsia" w:hAnsiTheme="minorEastAsia" w:eastAsiaTheme="minorEastAsia" w:cstheme="minorEastAsia"/>
                <w:kern w:val="0"/>
                <w:sz w:val="21"/>
                <w:szCs w:val="21"/>
                <w:lang w:bidi="lo-LA"/>
              </w:rPr>
              <w:t>能有效避免监测过程易断网、较长传输距离信号严重衰减失真等问题</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14</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asciiTheme="minorEastAsia" w:hAnsiTheme="minorEastAsia" w:eastAsiaTheme="minorEastAsia" w:cstheme="minorEastAsia"/>
                <w:kern w:val="0"/>
                <w:sz w:val="21"/>
                <w:szCs w:val="21"/>
                <w:lang w:bidi="lo-LA"/>
              </w:rPr>
              <w:t>重量≤140g</w:t>
            </w:r>
            <w:r>
              <w:rPr>
                <w:rFonts w:hint="eastAsia" w:asciiTheme="minorEastAsia" w:hAnsiTheme="minorEastAsia" w:cstheme="minorEastAsia"/>
                <w:kern w:val="0"/>
                <w:sz w:val="21"/>
                <w:szCs w:val="21"/>
                <w:lang w:eastAsia="zh-CN" w:bidi="lo-LA"/>
              </w:rPr>
              <w:t>。</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val="en-US" w:eastAsia="zh-CN" w:bidi="lo-LA"/>
              </w:rPr>
              <w:t>▲</w:t>
            </w: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15</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应与在用中央监护系统配套使用，否则须分别为两个病区各配置1套中央监护站。</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asciiTheme="minorEastAsia" w:hAnsiTheme="minorEastAsia" w:eastAsiaTheme="minorEastAsia" w:cstheme="minorEastAsia"/>
                <w:kern w:val="0"/>
                <w:sz w:val="21"/>
                <w:szCs w:val="21"/>
                <w:lang w:bidi="lo-LA"/>
              </w:rPr>
              <w:t>*</w:t>
            </w:r>
          </w:p>
        </w:tc>
        <w:tc>
          <w:tcPr>
            <w:tcW w:w="6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16</w:t>
            </w:r>
          </w:p>
        </w:tc>
        <w:tc>
          <w:tcPr>
            <w:tcW w:w="717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注：1.“参数性质”标“*”表示此参数为主要技术参数；</w:t>
            </w:r>
          </w:p>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2.“参数性质”标“▲”表示此参数为重要技术参数。</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rPr>
          <w:rFonts w:hint="eastAsia" w:eastAsia="宋体" w:asciiTheme="minorEastAsia" w:hAnsiTheme="minorEastAsia"/>
          <w:b/>
          <w:sz w:val="24"/>
          <w:szCs w:val="24"/>
          <w:lang w:val="en-US" w:eastAsia="zh-CN"/>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B07F83"/>
    <w:rsid w:val="0DA07F51"/>
    <w:rsid w:val="11AB1717"/>
    <w:rsid w:val="11EF4694"/>
    <w:rsid w:val="150E71F6"/>
    <w:rsid w:val="19545A30"/>
    <w:rsid w:val="19BD2CB7"/>
    <w:rsid w:val="20341AF8"/>
    <w:rsid w:val="224C6733"/>
    <w:rsid w:val="23507ADC"/>
    <w:rsid w:val="25757733"/>
    <w:rsid w:val="267A5F90"/>
    <w:rsid w:val="281659F6"/>
    <w:rsid w:val="293A1937"/>
    <w:rsid w:val="2B8A6B32"/>
    <w:rsid w:val="2D1D3BDB"/>
    <w:rsid w:val="2DFB03C5"/>
    <w:rsid w:val="2FC378C6"/>
    <w:rsid w:val="302671DA"/>
    <w:rsid w:val="30D15875"/>
    <w:rsid w:val="3281623F"/>
    <w:rsid w:val="32944704"/>
    <w:rsid w:val="37FC75FC"/>
    <w:rsid w:val="383D56F7"/>
    <w:rsid w:val="393C0F46"/>
    <w:rsid w:val="3E650D1D"/>
    <w:rsid w:val="3E9002A8"/>
    <w:rsid w:val="44AA028A"/>
    <w:rsid w:val="47C04769"/>
    <w:rsid w:val="489F057B"/>
    <w:rsid w:val="4AED3729"/>
    <w:rsid w:val="4E473895"/>
    <w:rsid w:val="557D67C8"/>
    <w:rsid w:val="571E5CB6"/>
    <w:rsid w:val="59137211"/>
    <w:rsid w:val="5C344BB6"/>
    <w:rsid w:val="5DFF20EB"/>
    <w:rsid w:val="5ED418C8"/>
    <w:rsid w:val="616C33F6"/>
    <w:rsid w:val="62E24E32"/>
    <w:rsid w:val="64E47B74"/>
    <w:rsid w:val="6585763E"/>
    <w:rsid w:val="661108EC"/>
    <w:rsid w:val="669049D8"/>
    <w:rsid w:val="67D14995"/>
    <w:rsid w:val="6D267465"/>
    <w:rsid w:val="6D4F63E7"/>
    <w:rsid w:val="6F5104C0"/>
    <w:rsid w:val="719B7B32"/>
    <w:rsid w:val="75DB3658"/>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font11"/>
    <w:basedOn w:val="9"/>
    <w:qFormat/>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6008</Words>
  <Characters>6914</Characters>
  <Lines>0</Lines>
  <Paragraphs>0</Paragraphs>
  <TotalTime>1</TotalTime>
  <ScaleCrop>false</ScaleCrop>
  <LinksUpToDate>false</LinksUpToDate>
  <CharactersWithSpaces>7192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2022-09-19T01:34:41Z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9E5602695FFC4F2889928DA1807F1B56</vt:lpwstr>
  </property>
  <property fmtid="{D5CDD505-2E9C-101B-9397-08002B2CF9AE}" pid="4" name="commondata">
    <vt:lpwstr>eyJoZGlkIjoiM2I5YmQyM2VlMzIyNzg3MTM0MjMzMjczYWU0N2U3MTcifQ==</vt:lpwstr>
  </property>
</Properties>
</file>