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2361565" cy="2361565"/>
            <wp:effectExtent l="0" t="0" r="0"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4"/>
                    <a:stretch>
                      <a:fillRect/>
                    </a:stretch>
                  </pic:blipFill>
                  <pic:spPr>
                    <a:xfrm>
                      <a:off x="0" y="0"/>
                      <a:ext cx="2361565" cy="236156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pStyle w:val="4"/>
        <w:rPr>
          <w:rFonts w:hint="eastAsia"/>
          <w:b w:val="0"/>
          <w:sz w:val="28"/>
          <w:szCs w:val="28"/>
          <w:lang w:val="en-US" w:eastAsia="zh-CN"/>
        </w:rPr>
      </w:pPr>
    </w:p>
    <w:p>
      <w:pPr>
        <w:rPr>
          <w:rFonts w:hint="eastAsia"/>
          <w:b w:val="0"/>
          <w:sz w:val="28"/>
          <w:szCs w:val="28"/>
          <w:lang w:val="en-US" w:eastAsia="zh-CN"/>
        </w:rPr>
      </w:pPr>
    </w:p>
    <w:p>
      <w:pPr>
        <w:pStyle w:val="4"/>
        <w:rPr>
          <w:rFonts w:hint="eastAsia"/>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黑体" w:hAnsi="黑体" w:eastAsia="黑体" w:cs="黑体"/>
          <w:b/>
          <w:sz w:val="36"/>
          <w:szCs w:val="36"/>
          <w:lang w:val="en-US" w:eastAsia="zh-CN"/>
        </w:rPr>
      </w:pPr>
      <w:r>
        <w:rPr>
          <w:rFonts w:hint="eastAsia" w:ascii="黑体" w:hAnsi="黑体" w:eastAsia="黑体" w:cs="黑体"/>
          <w:b/>
          <w:sz w:val="36"/>
          <w:szCs w:val="36"/>
          <w:lang w:val="en-US" w:eastAsia="zh-CN"/>
        </w:rPr>
        <w:t xml:space="preserve">显微镜 </w:t>
      </w:r>
    </w:p>
    <w:p>
      <w:pPr>
        <w:numPr>
          <w:ilvl w:val="0"/>
          <w:numId w:val="0"/>
        </w:numPr>
        <w:ind w:left="0" w:right="0" w:firstLine="0"/>
        <w:jc w:val="center"/>
        <w:rPr>
          <w:rFonts w:hint="eastAsia" w:ascii="黑体" w:hAnsi="黑体" w:eastAsia="黑体" w:cs="黑体"/>
          <w:b/>
          <w:sz w:val="36"/>
          <w:szCs w:val="36"/>
          <w:lang w:val="en-US" w:eastAsia="zh-CN"/>
        </w:rPr>
      </w:pPr>
      <w:r>
        <w:rPr>
          <w:rFonts w:hint="eastAsia" w:ascii="黑体" w:hAnsi="黑体" w:eastAsia="黑体" w:cs="黑体"/>
          <w:b/>
          <w:sz w:val="36"/>
          <w:szCs w:val="36"/>
          <w:lang w:val="en-US" w:eastAsia="zh-CN"/>
        </w:rPr>
        <w:t>2024年3月22</w:t>
      </w:r>
      <w:bookmarkStart w:id="1" w:name="_GoBack"/>
      <w:bookmarkEnd w:id="1"/>
      <w:r>
        <w:rPr>
          <w:rFonts w:hint="eastAsia" w:ascii="黑体" w:hAnsi="黑体" w:eastAsia="黑体" w:cs="黑体"/>
          <w:b/>
          <w:sz w:val="36"/>
          <w:szCs w:val="36"/>
          <w:lang w:val="en-US" w:eastAsia="zh-CN"/>
        </w:rPr>
        <w:t>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default" w:ascii="宋体" w:hAnsi="宋体" w:eastAsia="宋体"/>
          <w:bCs/>
          <w:kern w:val="44"/>
          <w:sz w:val="24"/>
          <w:szCs w:val="24"/>
          <w:lang w:val="en-US" w:eastAsia="zh-CN"/>
        </w:rPr>
      </w:pPr>
      <w:r>
        <w:rPr>
          <w:rFonts w:hint="eastAsia" w:ascii="宋体" w:hAnsi="宋体"/>
          <w:bCs/>
          <w:kern w:val="44"/>
          <w:sz w:val="24"/>
          <w:szCs w:val="24"/>
          <w:lang w:val="zh-CN"/>
        </w:rPr>
        <w:t>一.主要商务要求</w:t>
      </w:r>
      <w:r>
        <w:rPr>
          <w:rFonts w:hint="eastAsia" w:ascii="宋体" w:hAnsi="宋体" w:eastAsia="宋体"/>
          <w:bCs/>
          <w:kern w:val="44"/>
          <w:sz w:val="24"/>
          <w:szCs w:val="24"/>
          <w:lang w:val="en-US" w:eastAsia="zh-CN"/>
        </w:rPr>
        <w:t xml:space="preserve">                                          金额：元</w:t>
      </w:r>
    </w:p>
    <w:tbl>
      <w:tblPr>
        <w:tblStyle w:val="10"/>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显微镜</w:t>
            </w:r>
          </w:p>
        </w:tc>
        <w:tc>
          <w:tcPr>
            <w:tcW w:w="903"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p>
        </w:tc>
        <w:tc>
          <w:tcPr>
            <w:tcW w:w="5932" w:type="dxa"/>
            <w:gridSpan w:val="4"/>
            <w:vAlign w:val="center"/>
          </w:tcPr>
          <w:p>
            <w:pPr>
              <w:ind w:firstLine="2400" w:firstLineChars="10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总价合计</w:t>
            </w:r>
          </w:p>
        </w:tc>
        <w:tc>
          <w:tcPr>
            <w:tcW w:w="159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30日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default" w:ascii="宋体" w:hAnsi="宋体" w:eastAsia="宋体" w:cs="宋体"/>
                <w:sz w:val="24"/>
                <w:szCs w:val="24"/>
                <w:lang w:val="en-US"/>
              </w:rPr>
            </w:pPr>
            <w:r>
              <w:rPr>
                <w:rFonts w:hint="eastAsia" w:ascii="宋体" w:hAnsi="宋体" w:eastAsia="宋体" w:cs="宋体"/>
                <w:sz w:val="21"/>
                <w:szCs w:val="21"/>
                <w:lang w:val="en-US" w:eastAsia="zh-CN" w:bidi="ar-SA"/>
              </w:rPr>
              <w:t>甲方在设备验收通过后，支付总货款的90%，验收通过使用一年后支付剩余</w:t>
            </w:r>
            <w:r>
              <w:rPr>
                <w:rFonts w:hint="eastAsia" w:ascii="宋体" w:hAnsi="宋体" w:cs="宋体"/>
                <w:sz w:val="21"/>
                <w:szCs w:val="21"/>
                <w:lang w:val="en-US" w:eastAsia="zh-CN" w:bidi="ar-SA"/>
              </w:rPr>
              <w:t>1</w:t>
            </w:r>
            <w:r>
              <w:rPr>
                <w:rFonts w:hint="eastAsia" w:ascii="宋体" w:hAnsi="宋体" w:eastAsia="宋体" w:cs="宋体"/>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tbl>
      <w:tblPr>
        <w:tblStyle w:val="9"/>
        <w:tblW w:w="8539" w:type="dxa"/>
        <w:tblInd w:w="0" w:type="dxa"/>
        <w:tblLayout w:type="fixed"/>
        <w:tblCellMar>
          <w:top w:w="0" w:type="dxa"/>
          <w:left w:w="108" w:type="dxa"/>
          <w:bottom w:w="0" w:type="dxa"/>
          <w:right w:w="108" w:type="dxa"/>
        </w:tblCellMar>
      </w:tblPr>
      <w:tblGrid>
        <w:gridCol w:w="697"/>
        <w:gridCol w:w="757"/>
        <w:gridCol w:w="7085"/>
      </w:tblGrid>
      <w:tr>
        <w:tblPrEx>
          <w:tblCellMar>
            <w:top w:w="0" w:type="dxa"/>
            <w:left w:w="108" w:type="dxa"/>
            <w:bottom w:w="0" w:type="dxa"/>
            <w:right w:w="108" w:type="dxa"/>
          </w:tblCellMar>
        </w:tblPrEx>
        <w:trPr>
          <w:trHeight w:val="668"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75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08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w:t>
            </w:r>
          </w:p>
        </w:tc>
        <w:tc>
          <w:tcPr>
            <w:tcW w:w="7085" w:type="dxa"/>
            <w:tcBorders>
              <w:top w:val="single" w:color="auto" w:sz="4" w:space="0"/>
              <w:left w:val="nil"/>
              <w:bottom w:val="single" w:color="auto" w:sz="4" w:space="0"/>
              <w:right w:val="single" w:color="auto" w:sz="4" w:space="0"/>
            </w:tcBorders>
            <w:vAlign w:val="top"/>
          </w:tcPr>
          <w:p>
            <w:pPr>
              <w:spacing w:line="240" w:lineRule="auto"/>
              <w:rPr>
                <w:rFonts w:hint="eastAsia" w:ascii="宋体" w:hAnsi="宋体" w:eastAsia="宋体" w:cs="宋体"/>
                <w:kern w:val="0"/>
                <w:sz w:val="21"/>
                <w:szCs w:val="21"/>
                <w:lang w:eastAsia="zh-CN" w:bidi="lo-LA"/>
              </w:rPr>
            </w:pPr>
            <w:r>
              <w:rPr>
                <w:rFonts w:hint="eastAsia" w:ascii="宋体" w:hAnsi="宋体" w:eastAsia="宋体" w:cs="宋体"/>
                <w:sz w:val="21"/>
                <w:szCs w:val="21"/>
                <w:lang w:val="en-US" w:eastAsia="zh-CN"/>
              </w:rPr>
              <w:t>配备</w:t>
            </w:r>
            <w:r>
              <w:rPr>
                <w:rFonts w:hint="eastAsia" w:ascii="宋体" w:hAnsi="宋体" w:eastAsia="宋体" w:cs="宋体"/>
                <w:sz w:val="21"/>
                <w:szCs w:val="21"/>
              </w:rPr>
              <w:t>无限远校正光学系统，齐焦距离</w:t>
            </w:r>
            <w:r>
              <w:rPr>
                <w:rFonts w:hint="eastAsia" w:ascii="宋体" w:hAnsi="宋体" w:eastAsia="宋体" w:cs="宋体"/>
                <w:sz w:val="21"/>
                <w:szCs w:val="21"/>
                <w:lang w:val="en-US" w:eastAsia="zh-CN"/>
              </w:rPr>
              <w:t>应</w:t>
            </w:r>
            <w:r>
              <w:rPr>
                <w:rFonts w:hint="eastAsia" w:ascii="宋体" w:hAnsi="宋体" w:eastAsia="宋体" w:cs="宋体"/>
                <w:sz w:val="21"/>
                <w:szCs w:val="21"/>
              </w:rPr>
              <w:t>为国际标准≤50mm</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sz w:val="21"/>
                <w:szCs w:val="21"/>
                <w:lang w:bidi="lo-LA"/>
              </w:rPr>
              <w:t>*</w:t>
            </w:r>
          </w:p>
        </w:tc>
        <w:tc>
          <w:tcPr>
            <w:tcW w:w="75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bidi="lo-LA"/>
              </w:rPr>
              <w:t>2</w:t>
            </w:r>
          </w:p>
        </w:tc>
        <w:tc>
          <w:tcPr>
            <w:tcW w:w="7085" w:type="dxa"/>
            <w:tcBorders>
              <w:top w:val="single" w:color="auto" w:sz="4" w:space="0"/>
              <w:left w:val="nil"/>
              <w:bottom w:val="single" w:color="auto" w:sz="4" w:space="0"/>
              <w:right w:val="single" w:color="auto" w:sz="4" w:space="0"/>
            </w:tcBorders>
            <w:vAlign w:val="top"/>
          </w:tcPr>
          <w:p>
            <w:pPr>
              <w:spacing w:line="240" w:lineRule="auto"/>
              <w:rPr>
                <w:rFonts w:hint="eastAsia" w:ascii="宋体" w:hAnsi="宋体" w:eastAsia="宋体" w:cs="宋体"/>
                <w:kern w:val="0"/>
                <w:sz w:val="21"/>
                <w:szCs w:val="21"/>
                <w:lang w:val="en-US" w:eastAsia="zh-CN" w:bidi="lo-LA"/>
              </w:rPr>
            </w:pPr>
            <w:r>
              <w:rPr>
                <w:rFonts w:hint="eastAsia" w:ascii="宋体" w:hAnsi="宋体" w:eastAsia="宋体" w:cs="宋体"/>
                <w:sz w:val="21"/>
                <w:szCs w:val="21"/>
              </w:rPr>
              <w:t>目镜：10X宽视野目镜，带屈光度校准，目镜视野数≥25.5mm</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val="en-US" w:eastAsia="zh-CN" w:bidi="lo-LA"/>
              </w:rPr>
              <w:t>*</w:t>
            </w:r>
          </w:p>
        </w:tc>
        <w:tc>
          <w:tcPr>
            <w:tcW w:w="75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bidi="lo-LA"/>
              </w:rPr>
              <w:t>3</w:t>
            </w:r>
          </w:p>
        </w:tc>
        <w:tc>
          <w:tcPr>
            <w:tcW w:w="7085" w:type="dxa"/>
            <w:tcBorders>
              <w:top w:val="single" w:color="auto" w:sz="4" w:space="0"/>
              <w:left w:val="nil"/>
              <w:bottom w:val="single" w:color="auto" w:sz="4" w:space="0"/>
              <w:right w:val="single" w:color="auto" w:sz="4" w:space="0"/>
            </w:tcBorders>
            <w:vAlign w:val="top"/>
          </w:tcPr>
          <w:p>
            <w:pPr>
              <w:spacing w:line="240" w:lineRule="auto"/>
              <w:rPr>
                <w:rFonts w:hint="eastAsia" w:ascii="宋体" w:hAnsi="宋体" w:eastAsia="宋体" w:cs="宋体"/>
                <w:kern w:val="0"/>
                <w:sz w:val="21"/>
                <w:szCs w:val="21"/>
                <w:lang w:eastAsia="zh-CN" w:bidi="lo-LA"/>
              </w:rPr>
            </w:pPr>
            <w:r>
              <w:rPr>
                <w:rFonts w:hint="eastAsia" w:ascii="宋体" w:hAnsi="宋体" w:eastAsia="宋体" w:cs="宋体"/>
                <w:sz w:val="21"/>
                <w:szCs w:val="21"/>
              </w:rPr>
              <w:t xml:space="preserve">照明装置要求：内置透射光柯勒照明器，LED光源，亮度≥13.5W </w:t>
            </w:r>
            <w:r>
              <w:rPr>
                <w:rFonts w:hint="eastAsia" w:ascii="宋体" w:hAnsi="宋体" w:eastAsia="宋体" w:cs="宋体"/>
                <w:sz w:val="21"/>
                <w:szCs w:val="21"/>
                <w:lang w:eastAsia="zh-CN"/>
              </w:rPr>
              <w:t>，</w:t>
            </w:r>
            <w:r>
              <w:rPr>
                <w:rFonts w:hint="eastAsia" w:ascii="宋体" w:hAnsi="宋体" w:eastAsia="宋体" w:cs="宋体"/>
                <w:sz w:val="21"/>
                <w:szCs w:val="21"/>
              </w:rPr>
              <w:t>保证镜下视野清晰</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bidi="lo-LA"/>
              </w:rPr>
              <w:t>4</w:t>
            </w:r>
          </w:p>
        </w:tc>
        <w:tc>
          <w:tcPr>
            <w:tcW w:w="7085" w:type="dxa"/>
            <w:tcBorders>
              <w:top w:val="single" w:color="auto" w:sz="4" w:space="0"/>
              <w:left w:val="nil"/>
              <w:bottom w:val="single" w:color="auto" w:sz="4" w:space="0"/>
              <w:right w:val="single" w:color="auto" w:sz="4" w:space="0"/>
            </w:tcBorders>
            <w:vAlign w:val="top"/>
          </w:tcPr>
          <w:p>
            <w:pPr>
              <w:spacing w:line="240" w:lineRule="auto"/>
              <w:rPr>
                <w:rFonts w:hint="eastAsia" w:ascii="宋体" w:hAnsi="宋体" w:eastAsia="宋体" w:cs="宋体"/>
                <w:sz w:val="21"/>
                <w:szCs w:val="21"/>
              </w:rPr>
            </w:pPr>
            <w:r>
              <w:rPr>
                <w:rFonts w:hint="eastAsia" w:ascii="宋体" w:hAnsi="宋体" w:eastAsia="宋体" w:cs="宋体"/>
                <w:sz w:val="21"/>
                <w:szCs w:val="21"/>
              </w:rPr>
              <w:t>调焦：载物台垂直方式距离≤25mm，带聚焦粗调限位器，粗调旋钮扭矩可调，最小微</w:t>
            </w:r>
          </w:p>
          <w:p>
            <w:pPr>
              <w:spacing w:line="240" w:lineRule="auto"/>
              <w:rPr>
                <w:rFonts w:hint="eastAsia" w:ascii="宋体" w:hAnsi="宋体" w:eastAsia="宋体" w:cs="宋体"/>
                <w:kern w:val="0"/>
                <w:sz w:val="21"/>
                <w:szCs w:val="21"/>
                <w:lang w:eastAsia="zh-CN" w:bidi="lo-LA"/>
              </w:rPr>
            </w:pPr>
            <w:r>
              <w:rPr>
                <w:rFonts w:hint="eastAsia" w:ascii="宋体" w:hAnsi="宋体" w:eastAsia="宋体" w:cs="宋体"/>
                <w:sz w:val="21"/>
                <w:szCs w:val="21"/>
              </w:rPr>
              <w:t>调刻度单位≤1微米</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138"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bidi="lo-LA"/>
              </w:rPr>
              <w:t>5</w:t>
            </w:r>
          </w:p>
        </w:tc>
        <w:tc>
          <w:tcPr>
            <w:tcW w:w="7085" w:type="dxa"/>
            <w:tcBorders>
              <w:top w:val="single" w:color="auto" w:sz="4" w:space="0"/>
              <w:left w:val="nil"/>
              <w:bottom w:val="single" w:color="auto" w:sz="4" w:space="0"/>
              <w:right w:val="single" w:color="auto" w:sz="4" w:space="0"/>
            </w:tcBorders>
            <w:vAlign w:val="top"/>
          </w:tcPr>
          <w:p>
            <w:pPr>
              <w:spacing w:line="240" w:lineRule="auto"/>
              <w:rPr>
                <w:rFonts w:hint="eastAsia" w:ascii="宋体" w:hAnsi="宋体" w:eastAsia="宋体" w:cs="宋体"/>
                <w:kern w:val="0"/>
                <w:sz w:val="21"/>
                <w:szCs w:val="21"/>
                <w:lang w:eastAsia="zh-CN" w:bidi="lo-LA"/>
              </w:rPr>
            </w:pPr>
            <w:r>
              <w:rPr>
                <w:rFonts w:hint="eastAsia" w:ascii="宋体" w:hAnsi="宋体" w:eastAsia="宋体" w:cs="宋体"/>
                <w:sz w:val="21"/>
                <w:szCs w:val="21"/>
              </w:rPr>
              <w:t>人机学观察镜筒：三目观察筒，倾角30°可调，宽视≤30度</w:t>
            </w:r>
            <w:r>
              <w:rPr>
                <w:rFonts w:hint="eastAsia" w:ascii="宋体" w:hAnsi="宋体" w:eastAsia="宋体" w:cs="宋体"/>
                <w:sz w:val="21"/>
                <w:szCs w:val="21"/>
                <w:lang w:eastAsia="zh-CN"/>
              </w:rPr>
              <w:t>，</w:t>
            </w:r>
            <w:r>
              <w:rPr>
                <w:rFonts w:hint="eastAsia" w:ascii="宋体" w:hAnsi="宋体" w:eastAsia="宋体" w:cs="宋体"/>
                <w:sz w:val="21"/>
                <w:szCs w:val="21"/>
              </w:rPr>
              <w:t>瞳间距调节范围50-76mm</w:t>
            </w:r>
            <w:r>
              <w:rPr>
                <w:rFonts w:hint="eastAsia" w:ascii="宋体" w:hAnsi="宋体" w:eastAsia="宋体" w:cs="宋体"/>
                <w:sz w:val="21"/>
                <w:szCs w:val="21"/>
                <w:lang w:eastAsia="zh-CN"/>
              </w:rPr>
              <w:t>，</w:t>
            </w:r>
            <w:r>
              <w:rPr>
                <w:rFonts w:hint="eastAsia" w:ascii="宋体" w:hAnsi="宋体" w:eastAsia="宋体" w:cs="宋体"/>
                <w:sz w:val="21"/>
                <w:szCs w:val="21"/>
              </w:rPr>
              <w:t xml:space="preserve">分光比为双目/摄像：100%/0、20%/80%、0/100% </w:t>
            </w:r>
            <w:r>
              <w:rPr>
                <w:rFonts w:hint="eastAsia" w:ascii="宋体" w:hAnsi="宋体" w:eastAsia="宋体" w:cs="宋体"/>
                <w:sz w:val="21"/>
                <w:szCs w:val="21"/>
                <w:lang w:val="en-US" w:eastAsia="zh-CN"/>
              </w:rPr>
              <w:t>观察视野数</w:t>
            </w:r>
            <w:r>
              <w:rPr>
                <w:rFonts w:hint="eastAsia" w:ascii="宋体" w:hAnsi="宋体" w:eastAsia="宋体" w:cs="宋体"/>
                <w:sz w:val="21"/>
                <w:szCs w:val="21"/>
              </w:rPr>
              <w:t>≥</w:t>
            </w:r>
            <w:r>
              <w:rPr>
                <w:rFonts w:hint="eastAsia" w:ascii="宋体" w:hAnsi="宋体" w:eastAsia="宋体" w:cs="宋体"/>
                <w:sz w:val="21"/>
                <w:szCs w:val="21"/>
                <w:lang w:val="en-US" w:eastAsia="zh-CN"/>
              </w:rPr>
              <w:t>25.5mm。</w:t>
            </w:r>
          </w:p>
        </w:tc>
      </w:tr>
      <w:tr>
        <w:tblPrEx>
          <w:tblCellMar>
            <w:top w:w="0" w:type="dxa"/>
            <w:left w:w="108" w:type="dxa"/>
            <w:bottom w:w="0" w:type="dxa"/>
            <w:right w:w="108" w:type="dxa"/>
          </w:tblCellMar>
        </w:tblPrEx>
        <w:trPr>
          <w:trHeight w:val="25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bidi="lo-LA"/>
              </w:rPr>
              <w:t>6</w:t>
            </w:r>
          </w:p>
        </w:tc>
        <w:tc>
          <w:tcPr>
            <w:tcW w:w="7085" w:type="dxa"/>
            <w:tcBorders>
              <w:top w:val="single" w:color="auto" w:sz="4" w:space="0"/>
              <w:left w:val="nil"/>
              <w:bottom w:val="single" w:color="auto" w:sz="4" w:space="0"/>
              <w:right w:val="single" w:color="auto" w:sz="4" w:space="0"/>
            </w:tcBorders>
            <w:vAlign w:val="top"/>
          </w:tcPr>
          <w:p>
            <w:pPr>
              <w:spacing w:line="240" w:lineRule="auto"/>
              <w:rPr>
                <w:rFonts w:hint="default" w:ascii="宋体" w:hAnsi="宋体" w:eastAsia="宋体" w:cs="宋体"/>
                <w:kern w:val="0"/>
                <w:sz w:val="21"/>
                <w:szCs w:val="21"/>
                <w:lang w:val="en-US" w:eastAsia="zh-CN" w:bidi="lo-LA"/>
              </w:rPr>
            </w:pPr>
            <w:r>
              <w:rPr>
                <w:rFonts w:hint="eastAsia" w:ascii="宋体" w:hAnsi="宋体" w:eastAsia="宋体" w:cs="宋体"/>
                <w:sz w:val="21"/>
                <w:szCs w:val="21"/>
              </w:rPr>
              <w:t>物镜转换器：物镜转换器孔位数≥6孔</w:t>
            </w:r>
            <w:r>
              <w:rPr>
                <w:rFonts w:hint="eastAsia" w:ascii="宋体" w:hAnsi="宋体" w:eastAsia="宋体" w:cs="宋体"/>
                <w:sz w:val="21"/>
                <w:szCs w:val="21"/>
                <w:lang w:eastAsia="zh-CN"/>
              </w:rPr>
              <w:t>，</w:t>
            </w:r>
            <w:r>
              <w:rPr>
                <w:rFonts w:hint="eastAsia" w:ascii="宋体" w:hAnsi="宋体" w:eastAsia="宋体" w:cs="宋体"/>
                <w:sz w:val="21"/>
                <w:szCs w:val="21"/>
              </w:rPr>
              <w:t>内置防震阻尼</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bidi="lo-LA"/>
              </w:rPr>
              <w:t>7</w:t>
            </w:r>
          </w:p>
        </w:tc>
        <w:tc>
          <w:tcPr>
            <w:tcW w:w="7085" w:type="dxa"/>
            <w:tcBorders>
              <w:top w:val="single" w:color="auto" w:sz="4" w:space="0"/>
              <w:left w:val="nil"/>
              <w:bottom w:val="single" w:color="auto" w:sz="4" w:space="0"/>
              <w:right w:val="single" w:color="auto" w:sz="4" w:space="0"/>
            </w:tcBorders>
            <w:vAlign w:val="top"/>
          </w:tcPr>
          <w:p>
            <w:pPr>
              <w:spacing w:line="240" w:lineRule="auto"/>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bidi="lo-LA"/>
              </w:rPr>
              <w:t>聚光镜：摆动式聚光镜支持超宽视野观察</w:t>
            </w:r>
            <w:r>
              <w:rPr>
                <w:rFonts w:hint="eastAsia" w:ascii="宋体" w:hAnsi="宋体" w:eastAsia="宋体" w:cs="宋体"/>
                <w:kern w:val="0"/>
                <w:sz w:val="21"/>
                <w:szCs w:val="21"/>
                <w:lang w:eastAsia="zh-CN" w:bidi="lo-LA"/>
              </w:rPr>
              <w:t>，</w:t>
            </w:r>
            <w:r>
              <w:rPr>
                <w:rFonts w:hint="eastAsia" w:ascii="宋体" w:hAnsi="宋体" w:eastAsia="宋体" w:cs="宋体"/>
                <w:kern w:val="0"/>
                <w:sz w:val="21"/>
                <w:szCs w:val="21"/>
                <w:lang w:bidi="lo-LA"/>
              </w:rPr>
              <w:t>支持2X-100X 观察</w:t>
            </w:r>
            <w:r>
              <w:rPr>
                <w:rFonts w:hint="eastAsia" w:ascii="宋体" w:hAnsi="宋体" w:eastAsia="宋体" w:cs="宋体"/>
                <w:kern w:val="0"/>
                <w:sz w:val="21"/>
                <w:szCs w:val="21"/>
                <w:lang w:eastAsia="zh-CN" w:bidi="lo-LA"/>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bidi="lo-LA"/>
              </w:rPr>
              <w:t>8</w:t>
            </w:r>
          </w:p>
        </w:tc>
        <w:tc>
          <w:tcPr>
            <w:tcW w:w="7085" w:type="dxa"/>
            <w:tcBorders>
              <w:top w:val="single" w:color="auto" w:sz="4" w:space="0"/>
              <w:left w:val="nil"/>
              <w:bottom w:val="single" w:color="auto" w:sz="4" w:space="0"/>
              <w:right w:val="single" w:color="auto" w:sz="4" w:space="0"/>
            </w:tcBorders>
            <w:vAlign w:val="top"/>
          </w:tcPr>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支持扩展荧光，偏光，微分干涉观察，可升级最大</w:t>
            </w:r>
            <w:r>
              <w:rPr>
                <w:rFonts w:hint="eastAsia" w:ascii="宋体" w:hAnsi="宋体" w:eastAsia="宋体" w:cs="宋体"/>
                <w:sz w:val="21"/>
                <w:szCs w:val="21"/>
                <w:lang w:val="en-US" w:eastAsia="zh-CN"/>
              </w:rPr>
              <w:t>至少</w:t>
            </w:r>
            <w:r>
              <w:rPr>
                <w:rFonts w:hint="eastAsia" w:ascii="宋体" w:hAnsi="宋体" w:eastAsia="宋体" w:cs="宋体"/>
                <w:sz w:val="21"/>
                <w:szCs w:val="21"/>
              </w:rPr>
              <w:t>2</w:t>
            </w:r>
            <w:r>
              <w:rPr>
                <w:rFonts w:hint="eastAsia" w:ascii="宋体" w:hAnsi="宋体" w:eastAsia="宋体" w:cs="宋体"/>
                <w:sz w:val="21"/>
                <w:szCs w:val="21"/>
                <w:lang w:val="en-US" w:eastAsia="zh-CN"/>
              </w:rPr>
              <w:t>5</w:t>
            </w:r>
            <w:r>
              <w:rPr>
                <w:rFonts w:hint="eastAsia" w:ascii="宋体" w:hAnsi="宋体" w:eastAsia="宋体" w:cs="宋体"/>
                <w:sz w:val="21"/>
                <w:szCs w:val="21"/>
              </w:rPr>
              <w:t>人同时观察</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val="en-US" w:eastAsia="zh-CN" w:bidi="lo-LA"/>
              </w:rPr>
              <w:t>*</w:t>
            </w:r>
          </w:p>
        </w:tc>
        <w:tc>
          <w:tcPr>
            <w:tcW w:w="75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bidi="lo-LA"/>
              </w:rPr>
              <w:t>9</w:t>
            </w:r>
          </w:p>
        </w:tc>
        <w:tc>
          <w:tcPr>
            <w:tcW w:w="7085" w:type="dxa"/>
            <w:tcBorders>
              <w:top w:val="single" w:color="auto" w:sz="4" w:space="0"/>
              <w:left w:val="nil"/>
              <w:bottom w:val="single" w:color="auto" w:sz="4" w:space="0"/>
              <w:right w:val="single" w:color="auto" w:sz="4" w:space="0"/>
            </w:tcBorders>
            <w:vAlign w:val="top"/>
          </w:tcPr>
          <w:p>
            <w:pPr>
              <w:spacing w:line="240" w:lineRule="auto"/>
              <w:rPr>
                <w:rFonts w:hint="eastAsia" w:ascii="宋体" w:hAnsi="宋体" w:eastAsia="宋体" w:cs="宋体"/>
                <w:sz w:val="21"/>
                <w:szCs w:val="21"/>
              </w:rPr>
            </w:pPr>
            <w:r>
              <w:rPr>
                <w:rFonts w:hint="eastAsia" w:ascii="宋体" w:hAnsi="宋体" w:eastAsia="宋体" w:cs="宋体"/>
                <w:sz w:val="21"/>
                <w:szCs w:val="21"/>
              </w:rPr>
              <w:t>明场高分辨率物镜</w:t>
            </w:r>
            <w:r>
              <w:rPr>
                <w:rFonts w:hint="eastAsia" w:ascii="宋体" w:hAnsi="宋体" w:eastAsia="宋体" w:cs="宋体"/>
                <w:sz w:val="21"/>
                <w:szCs w:val="21"/>
                <w:lang w:eastAsia="zh-CN"/>
              </w:rPr>
              <w:t>：</w:t>
            </w:r>
            <w:r>
              <w:rPr>
                <w:rFonts w:hint="eastAsia" w:ascii="宋体" w:hAnsi="宋体" w:eastAsia="宋体" w:cs="宋体"/>
                <w:sz w:val="21"/>
                <w:szCs w:val="21"/>
              </w:rPr>
              <w:t xml:space="preserve"> </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2X 高透过率专用物镜</w:t>
            </w:r>
            <w:r>
              <w:rPr>
                <w:rFonts w:hint="eastAsia" w:ascii="宋体" w:hAnsi="宋体" w:eastAsia="宋体" w:cs="宋体"/>
                <w:sz w:val="21"/>
                <w:szCs w:val="21"/>
                <w:lang w:eastAsia="zh-CN"/>
              </w:rPr>
              <w:t>，</w:t>
            </w:r>
            <w:r>
              <w:rPr>
                <w:rFonts w:hint="eastAsia" w:ascii="宋体" w:hAnsi="宋体" w:eastAsia="宋体" w:cs="宋体"/>
                <w:sz w:val="21"/>
                <w:szCs w:val="21"/>
              </w:rPr>
              <w:t>NA ≥0.06</w:t>
            </w:r>
            <w:r>
              <w:rPr>
                <w:rFonts w:hint="eastAsia" w:ascii="宋体" w:hAnsi="宋体" w:eastAsia="宋体" w:cs="宋体"/>
                <w:sz w:val="21"/>
                <w:szCs w:val="21"/>
                <w:lang w:eastAsia="zh-CN"/>
              </w:rPr>
              <w:t>，</w:t>
            </w:r>
            <w:r>
              <w:rPr>
                <w:rFonts w:hint="eastAsia" w:ascii="宋体" w:hAnsi="宋体" w:eastAsia="宋体" w:cs="宋体"/>
                <w:sz w:val="21"/>
                <w:szCs w:val="21"/>
              </w:rPr>
              <w:t>工作距离≥5.8mm</w:t>
            </w:r>
            <w:r>
              <w:rPr>
                <w:rFonts w:hint="eastAsia" w:ascii="宋体" w:hAnsi="宋体" w:eastAsia="宋体" w:cs="宋体"/>
                <w:sz w:val="21"/>
                <w:szCs w:val="21"/>
                <w:lang w:eastAsia="zh-CN"/>
              </w:rPr>
              <w:t>；</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4X 高透过率专用物镜</w:t>
            </w:r>
            <w:r>
              <w:rPr>
                <w:rFonts w:hint="eastAsia" w:ascii="宋体" w:hAnsi="宋体" w:eastAsia="宋体" w:cs="宋体"/>
                <w:sz w:val="21"/>
                <w:szCs w:val="21"/>
                <w:lang w:eastAsia="zh-CN"/>
              </w:rPr>
              <w:t>，</w:t>
            </w:r>
            <w:r>
              <w:rPr>
                <w:rFonts w:hint="eastAsia" w:ascii="宋体" w:hAnsi="宋体" w:eastAsia="宋体" w:cs="宋体"/>
                <w:sz w:val="21"/>
                <w:szCs w:val="21"/>
              </w:rPr>
              <w:t>NA ≥0.1</w:t>
            </w:r>
            <w:r>
              <w:rPr>
                <w:rFonts w:hint="eastAsia" w:ascii="宋体" w:hAnsi="宋体" w:eastAsia="宋体" w:cs="宋体"/>
                <w:sz w:val="21"/>
                <w:szCs w:val="21"/>
                <w:lang w:eastAsia="zh-CN"/>
              </w:rPr>
              <w:t>，</w:t>
            </w:r>
            <w:r>
              <w:rPr>
                <w:rFonts w:hint="eastAsia" w:ascii="宋体" w:hAnsi="宋体" w:eastAsia="宋体" w:cs="宋体"/>
                <w:sz w:val="21"/>
                <w:szCs w:val="21"/>
              </w:rPr>
              <w:t>工作距离≥18.5mm</w:t>
            </w:r>
            <w:r>
              <w:rPr>
                <w:rFonts w:hint="eastAsia" w:ascii="宋体" w:hAnsi="宋体" w:eastAsia="宋体" w:cs="宋体"/>
                <w:sz w:val="21"/>
                <w:szCs w:val="21"/>
                <w:lang w:eastAsia="zh-CN"/>
              </w:rPr>
              <w:t>；</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10X高透过率专用物镜</w:t>
            </w:r>
            <w:r>
              <w:rPr>
                <w:rFonts w:hint="eastAsia" w:ascii="宋体" w:hAnsi="宋体" w:eastAsia="宋体" w:cs="宋体"/>
                <w:sz w:val="21"/>
                <w:szCs w:val="21"/>
                <w:lang w:eastAsia="zh-CN"/>
              </w:rPr>
              <w:t>，</w:t>
            </w:r>
            <w:r>
              <w:rPr>
                <w:rFonts w:hint="eastAsia" w:ascii="宋体" w:hAnsi="宋体" w:eastAsia="宋体" w:cs="宋体"/>
                <w:sz w:val="21"/>
                <w:szCs w:val="21"/>
              </w:rPr>
              <w:t>NA ≥0.25</w:t>
            </w:r>
            <w:r>
              <w:rPr>
                <w:rFonts w:hint="eastAsia" w:ascii="宋体" w:hAnsi="宋体" w:eastAsia="宋体" w:cs="宋体"/>
                <w:sz w:val="21"/>
                <w:szCs w:val="21"/>
                <w:lang w:eastAsia="zh-CN"/>
              </w:rPr>
              <w:t>，</w:t>
            </w:r>
            <w:r>
              <w:rPr>
                <w:rFonts w:hint="eastAsia" w:ascii="宋体" w:hAnsi="宋体" w:eastAsia="宋体" w:cs="宋体"/>
                <w:sz w:val="21"/>
                <w:szCs w:val="21"/>
              </w:rPr>
              <w:t>工作距离≥10.6mm</w:t>
            </w:r>
            <w:r>
              <w:rPr>
                <w:rFonts w:hint="eastAsia" w:ascii="宋体" w:hAnsi="宋体" w:eastAsia="宋体" w:cs="宋体"/>
                <w:sz w:val="21"/>
                <w:szCs w:val="21"/>
                <w:lang w:eastAsia="zh-CN"/>
              </w:rPr>
              <w:t>；</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20X高透过率专用物镜</w:t>
            </w:r>
            <w:r>
              <w:rPr>
                <w:rFonts w:hint="eastAsia" w:ascii="宋体" w:hAnsi="宋体" w:eastAsia="宋体" w:cs="宋体"/>
                <w:sz w:val="21"/>
                <w:szCs w:val="21"/>
                <w:lang w:eastAsia="zh-CN"/>
              </w:rPr>
              <w:t>，</w:t>
            </w:r>
            <w:r>
              <w:rPr>
                <w:rFonts w:hint="eastAsia" w:ascii="宋体" w:hAnsi="宋体" w:eastAsia="宋体" w:cs="宋体"/>
                <w:sz w:val="21"/>
                <w:szCs w:val="21"/>
              </w:rPr>
              <w:t>NA ≥0.4</w:t>
            </w:r>
            <w:r>
              <w:rPr>
                <w:rFonts w:hint="eastAsia" w:ascii="宋体" w:hAnsi="宋体" w:eastAsia="宋体" w:cs="宋体"/>
                <w:sz w:val="21"/>
                <w:szCs w:val="21"/>
                <w:lang w:eastAsia="zh-CN"/>
              </w:rPr>
              <w:t>，</w:t>
            </w:r>
            <w:r>
              <w:rPr>
                <w:rFonts w:hint="eastAsia" w:ascii="宋体" w:hAnsi="宋体" w:eastAsia="宋体" w:cs="宋体"/>
                <w:sz w:val="21"/>
                <w:szCs w:val="21"/>
              </w:rPr>
              <w:t>工作距离≥1.2mm</w:t>
            </w:r>
            <w:r>
              <w:rPr>
                <w:rFonts w:hint="eastAsia" w:ascii="宋体" w:hAnsi="宋体" w:eastAsia="宋体" w:cs="宋体"/>
                <w:sz w:val="21"/>
                <w:szCs w:val="21"/>
                <w:lang w:eastAsia="zh-CN"/>
              </w:rPr>
              <w:t>；</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40X高透过率专用物镜</w:t>
            </w:r>
            <w:r>
              <w:rPr>
                <w:rFonts w:hint="eastAsia" w:ascii="宋体" w:hAnsi="宋体" w:eastAsia="宋体" w:cs="宋体"/>
                <w:sz w:val="21"/>
                <w:szCs w:val="21"/>
                <w:lang w:eastAsia="zh-CN"/>
              </w:rPr>
              <w:t>，</w:t>
            </w:r>
            <w:r>
              <w:rPr>
                <w:rFonts w:hint="eastAsia" w:ascii="宋体" w:hAnsi="宋体" w:eastAsia="宋体" w:cs="宋体"/>
                <w:sz w:val="21"/>
                <w:szCs w:val="21"/>
              </w:rPr>
              <w:t>NA ≥0.65</w:t>
            </w:r>
            <w:r>
              <w:rPr>
                <w:rFonts w:hint="eastAsia" w:ascii="宋体" w:hAnsi="宋体" w:eastAsia="宋体" w:cs="宋体"/>
                <w:sz w:val="21"/>
                <w:szCs w:val="21"/>
                <w:lang w:eastAsia="zh-CN"/>
              </w:rPr>
              <w:t>，</w:t>
            </w:r>
            <w:r>
              <w:rPr>
                <w:rFonts w:hint="eastAsia" w:ascii="宋体" w:hAnsi="宋体" w:eastAsia="宋体" w:cs="宋体"/>
                <w:sz w:val="21"/>
                <w:szCs w:val="21"/>
              </w:rPr>
              <w:t>工作距离≥0.6mm</w:t>
            </w:r>
            <w:r>
              <w:rPr>
                <w:rFonts w:hint="eastAsia" w:ascii="宋体" w:hAnsi="宋体" w:eastAsia="宋体" w:cs="宋体"/>
                <w:sz w:val="21"/>
                <w:szCs w:val="21"/>
                <w:lang w:eastAsia="zh-CN"/>
              </w:rPr>
              <w:t>；</w:t>
            </w: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100X 高透过率专用物镜</w:t>
            </w:r>
            <w:r>
              <w:rPr>
                <w:rFonts w:hint="eastAsia" w:ascii="宋体" w:hAnsi="宋体" w:eastAsia="宋体" w:cs="宋体"/>
                <w:sz w:val="21"/>
                <w:szCs w:val="21"/>
                <w:lang w:eastAsia="zh-CN"/>
              </w:rPr>
              <w:t>，</w:t>
            </w:r>
            <w:r>
              <w:rPr>
                <w:rFonts w:hint="eastAsia" w:ascii="宋体" w:hAnsi="宋体" w:eastAsia="宋体" w:cs="宋体"/>
                <w:sz w:val="21"/>
                <w:szCs w:val="21"/>
              </w:rPr>
              <w:t>NA ≥1.25</w:t>
            </w:r>
            <w:r>
              <w:rPr>
                <w:rFonts w:hint="eastAsia" w:ascii="宋体" w:hAnsi="宋体" w:eastAsia="宋体" w:cs="宋体"/>
                <w:sz w:val="21"/>
                <w:szCs w:val="21"/>
                <w:lang w:eastAsia="zh-CN"/>
              </w:rPr>
              <w:t>，</w:t>
            </w:r>
            <w:r>
              <w:rPr>
                <w:rFonts w:hint="eastAsia" w:ascii="宋体" w:hAnsi="宋体" w:eastAsia="宋体" w:cs="宋体"/>
                <w:sz w:val="21"/>
                <w:szCs w:val="21"/>
              </w:rPr>
              <w:t>工作距离≥0.2mm</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90"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bidi="lo-LA"/>
              </w:rPr>
              <w:t>10</w:t>
            </w:r>
          </w:p>
        </w:tc>
        <w:tc>
          <w:tcPr>
            <w:tcW w:w="7085" w:type="dxa"/>
            <w:tcBorders>
              <w:top w:val="single" w:color="auto" w:sz="4" w:space="0"/>
              <w:left w:val="nil"/>
              <w:bottom w:val="single" w:color="auto" w:sz="4" w:space="0"/>
              <w:right w:val="single" w:color="auto" w:sz="4" w:space="0"/>
            </w:tcBorders>
            <w:vAlign w:val="top"/>
          </w:tcPr>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载物台：</w:t>
            </w:r>
            <w:r>
              <w:rPr>
                <w:rFonts w:hint="eastAsia" w:ascii="宋体" w:hAnsi="宋体" w:eastAsia="宋体" w:cs="宋体"/>
                <w:sz w:val="21"/>
                <w:szCs w:val="21"/>
                <w:lang w:val="en-US" w:eastAsia="zh-CN"/>
              </w:rPr>
              <w:t>配备</w:t>
            </w:r>
            <w:r>
              <w:rPr>
                <w:rFonts w:hint="eastAsia" w:ascii="宋体" w:hAnsi="宋体" w:eastAsia="宋体" w:cs="宋体"/>
                <w:sz w:val="21"/>
                <w:szCs w:val="21"/>
              </w:rPr>
              <w:t>右手低位置同轴驱动选钮的高抗磨损性陶瓷覆盖层载物台。</w:t>
            </w:r>
          </w:p>
        </w:tc>
      </w:tr>
      <w:tr>
        <w:tblPrEx>
          <w:tblCellMar>
            <w:top w:w="0" w:type="dxa"/>
            <w:left w:w="108" w:type="dxa"/>
            <w:bottom w:w="0" w:type="dxa"/>
            <w:right w:w="108" w:type="dxa"/>
          </w:tblCellMar>
        </w:tblPrEx>
        <w:trPr>
          <w:trHeight w:val="127"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75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w:t>
            </w:r>
          </w:p>
        </w:tc>
        <w:tc>
          <w:tcPr>
            <w:tcW w:w="7085" w:type="dxa"/>
            <w:tcBorders>
              <w:top w:val="single" w:color="auto" w:sz="4" w:space="0"/>
              <w:left w:val="nil"/>
              <w:bottom w:val="single" w:color="auto" w:sz="4" w:space="0"/>
              <w:right w:val="single" w:color="auto" w:sz="4" w:space="0"/>
            </w:tcBorders>
            <w:vAlign w:val="top"/>
          </w:tcPr>
          <w:p>
            <w:pPr>
              <w:spacing w:line="240" w:lineRule="auto"/>
              <w:rPr>
                <w:rFonts w:hint="eastAsia" w:ascii="宋体" w:hAnsi="宋体" w:eastAsia="宋体" w:cs="宋体"/>
                <w:sz w:val="21"/>
                <w:szCs w:val="21"/>
                <w:lang w:eastAsia="zh-CN"/>
              </w:rPr>
            </w:pPr>
            <w:r>
              <w:rPr>
                <w:rFonts w:hint="eastAsia" w:ascii="宋体" w:hAnsi="宋体" w:eastAsia="宋体" w:cs="宋体"/>
                <w:kern w:val="0"/>
                <w:sz w:val="21"/>
                <w:szCs w:val="21"/>
                <w:lang w:val="en-US" w:eastAsia="zh-CN" w:bidi="lo-LA"/>
              </w:rPr>
              <w:t>支持可视目镜测微尺，可实现十字或者一字，目镜测微尺镜检。</w:t>
            </w:r>
          </w:p>
        </w:tc>
      </w:tr>
      <w:tr>
        <w:tblPrEx>
          <w:tblCellMar>
            <w:top w:w="0" w:type="dxa"/>
            <w:left w:w="108" w:type="dxa"/>
            <w:bottom w:w="0" w:type="dxa"/>
            <w:right w:w="108" w:type="dxa"/>
          </w:tblCellMar>
        </w:tblPrEx>
        <w:trPr>
          <w:trHeight w:val="127"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r>
              <w:rPr>
                <w:rFonts w:hint="eastAsia" w:ascii="宋体" w:hAnsi="宋体" w:eastAsia="宋体" w:cs="宋体"/>
                <w:kern w:val="0"/>
                <w:sz w:val="21"/>
                <w:szCs w:val="21"/>
                <w:lang w:val="en-US" w:eastAsia="zh-CN" w:bidi="lo-LA"/>
              </w:rPr>
              <w:t>*</w:t>
            </w:r>
          </w:p>
        </w:tc>
        <w:tc>
          <w:tcPr>
            <w:tcW w:w="75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12</w:t>
            </w:r>
          </w:p>
        </w:tc>
        <w:tc>
          <w:tcPr>
            <w:tcW w:w="708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sz w:val="21"/>
                <w:szCs w:val="21"/>
              </w:rPr>
            </w:pPr>
            <w:r>
              <w:rPr>
                <w:rFonts w:hint="eastAsia" w:ascii="宋体" w:hAnsi="宋体" w:eastAsia="宋体" w:cs="宋体"/>
                <w:kern w:val="0"/>
                <w:sz w:val="21"/>
                <w:szCs w:val="21"/>
                <w:lang w:val="en-US" w:eastAsia="zh-CN" w:bidi="lo-LA"/>
              </w:rPr>
              <w:t>中标单位所供设备的生产日期距合同签订日期应在6个月以内。</w:t>
            </w:r>
          </w:p>
        </w:tc>
      </w:tr>
      <w:tr>
        <w:tblPrEx>
          <w:tblCellMar>
            <w:top w:w="0" w:type="dxa"/>
            <w:left w:w="108" w:type="dxa"/>
            <w:bottom w:w="0" w:type="dxa"/>
            <w:right w:w="108" w:type="dxa"/>
          </w:tblCellMar>
        </w:tblPrEx>
        <w:trPr>
          <w:trHeight w:val="127" w:hRule="atLeast"/>
        </w:trPr>
        <w:tc>
          <w:tcPr>
            <w:tcW w:w="69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r>
              <w:rPr>
                <w:rFonts w:hint="eastAsia" w:ascii="宋体" w:hAnsi="宋体" w:eastAsia="宋体" w:cs="宋体"/>
                <w:kern w:val="0"/>
                <w:sz w:val="21"/>
                <w:szCs w:val="21"/>
                <w:lang w:val="en-US" w:eastAsia="zh-CN" w:bidi="lo-LA"/>
              </w:rPr>
              <w:t>*</w:t>
            </w:r>
          </w:p>
        </w:tc>
        <w:tc>
          <w:tcPr>
            <w:tcW w:w="75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13</w:t>
            </w:r>
          </w:p>
        </w:tc>
        <w:tc>
          <w:tcPr>
            <w:tcW w:w="708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sz w:val="21"/>
                <w:szCs w:val="21"/>
                <w:lang w:val="en-US" w:eastAsia="zh-CN"/>
              </w:rPr>
            </w:pPr>
            <w:r>
              <w:rPr>
                <w:rFonts w:hint="eastAsia" w:ascii="宋体" w:hAnsi="宋体" w:eastAsia="宋体" w:cs="宋体"/>
                <w:kern w:val="0"/>
                <w:sz w:val="21"/>
                <w:szCs w:val="21"/>
                <w:lang w:val="en-US" w:eastAsia="zh-CN" w:bidi="lo-LA"/>
              </w:rPr>
              <w:t>中标单位所供产品应是其在投标文件中附明的医疗器械注册证或备案凭证下的产品，不得提供过期的旧注册证下的产品。若在供货时，中标产品的注册证发生合法合规延续，经医院同意后中标单位方可提供延续后的最新注册证下的同型号产品。</w:t>
            </w:r>
          </w:p>
        </w:tc>
      </w:tr>
      <w:tr>
        <w:tblPrEx>
          <w:tblCellMar>
            <w:top w:w="0" w:type="dxa"/>
            <w:left w:w="108" w:type="dxa"/>
            <w:bottom w:w="0" w:type="dxa"/>
            <w:right w:w="108" w:type="dxa"/>
          </w:tblCellMar>
        </w:tblPrEx>
        <w:trPr>
          <w:trHeight w:val="679" w:hRule="atLeast"/>
        </w:trPr>
        <w:tc>
          <w:tcPr>
            <w:tcW w:w="853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注：1.“参数性质”标“*”表示此参数为主要技术参数，不满足任意1条即取消投标资格。</w:t>
            </w:r>
          </w:p>
          <w:p>
            <w:pPr>
              <w:widowControl/>
              <w:spacing w:line="240" w:lineRule="auto"/>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2.非主要技术参数，超过2条不满足即取消投标资格。</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numPr>
          <w:ilvl w:val="0"/>
          <w:numId w:val="0"/>
        </w:num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 xml:space="preserve">评标方法及评标细则要求 </w:t>
      </w:r>
      <w:r>
        <w:rPr>
          <w:rFonts w:hint="eastAsia" w:eastAsia="宋体" w:asciiTheme="minorEastAsia" w:hAnsiTheme="minorEastAsia"/>
          <w:b/>
          <w:sz w:val="24"/>
          <w:szCs w:val="24"/>
          <w:lang w:val="en-US" w:eastAsia="zh-CN"/>
        </w:rPr>
        <w:t>最低价</w:t>
      </w:r>
      <w:r>
        <w:rPr>
          <w:rFonts w:hint="eastAsia" w:asciiTheme="minorEastAsia" w:hAnsiTheme="minorEastAsia"/>
          <w:b/>
          <w:sz w:val="24"/>
          <w:szCs w:val="24"/>
        </w:rPr>
        <w:t>法</w:t>
      </w:r>
    </w:p>
    <w:tbl>
      <w:tblPr>
        <w:tblStyle w:val="9"/>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审查投标人2021年或2022年度经会计事务所出具的财务审计报告或其基本开户银行出具的近一年内的银行资信证明。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w:t>
            </w:r>
            <w:r>
              <w:rPr>
                <w:rFonts w:hint="eastAsia" w:ascii="宋体" w:hAnsi="宋体" w:eastAsia="宋体" w:cs="宋体"/>
                <w:sz w:val="21"/>
                <w:szCs w:val="21"/>
                <w:lang w:val="en-US" w:eastAsia="zh-CN"/>
              </w:rPr>
              <w:t>一年</w:t>
            </w:r>
            <w:r>
              <w:rPr>
                <w:rFonts w:hint="eastAsia" w:ascii="宋体" w:hAnsi="宋体" w:eastAsia="宋体" w:cs="宋体"/>
                <w:sz w:val="21"/>
                <w:szCs w:val="21"/>
              </w:rPr>
              <w:t>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w:t>
            </w:r>
            <w:r>
              <w:rPr>
                <w:rFonts w:hint="eastAsia" w:ascii="宋体" w:hAnsi="宋体" w:eastAsia="宋体" w:cs="宋体"/>
                <w:sz w:val="21"/>
                <w:szCs w:val="21"/>
                <w:lang w:val="en-US" w:eastAsia="zh-CN"/>
              </w:rPr>
              <w:t>一年</w:t>
            </w:r>
            <w:r>
              <w:rPr>
                <w:rFonts w:hint="eastAsia" w:ascii="宋体" w:hAnsi="宋体" w:eastAsia="宋体" w:cs="宋体"/>
                <w:sz w:val="21"/>
                <w:szCs w:val="21"/>
              </w:rPr>
              <w:t>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w:t>
            </w:r>
            <w:r>
              <w:rPr>
                <w:rFonts w:hint="eastAsia" w:ascii="宋体" w:hAnsi="宋体" w:eastAsia="宋体" w:cs="宋体"/>
                <w:b/>
                <w:bCs/>
                <w:color w:val="FF0000"/>
                <w:sz w:val="21"/>
                <w:szCs w:val="21"/>
                <w:lang w:val="en-US" w:eastAsia="zh-CN"/>
              </w:rPr>
              <w:t>以上三项</w:t>
            </w:r>
            <w:r>
              <w:rPr>
                <w:rFonts w:hint="eastAsia" w:ascii="宋体" w:hAnsi="宋体" w:eastAsia="宋体" w:cs="宋体"/>
                <w:sz w:val="21"/>
                <w:szCs w:val="21"/>
              </w:rPr>
              <w:t>信用记录截图</w:t>
            </w:r>
            <w:r>
              <w:rPr>
                <w:rFonts w:hint="eastAsia" w:ascii="宋体" w:hAnsi="宋体" w:eastAsia="宋体" w:cs="宋体"/>
                <w:sz w:val="21"/>
                <w:szCs w:val="21"/>
                <w:lang w:val="en-US" w:eastAsia="zh-CN"/>
              </w:rPr>
              <w:t>或</w:t>
            </w:r>
            <w:r>
              <w:rPr>
                <w:rFonts w:hint="eastAsia" w:ascii="宋体" w:hAnsi="宋体" w:eastAsia="宋体" w:cs="宋体"/>
                <w:sz w:val="21"/>
                <w:szCs w:val="21"/>
              </w:rPr>
              <w:t>评标现场核实情况为准）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市中心医院北门西侧人行道路北，好加汇胡同内向北走50米，路东院内办公楼（原工商所办公楼）三楼307室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市中心医院北门西侧人行道路北，好加汇胡同内向北走50米，路东院内办公楼（原工商所办公楼）三楼会议室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482" w:firstLineChars="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0"/>
        </w:numPr>
        <w:wordWrap w:val="0"/>
        <w:autoSpaceDE/>
        <w:autoSpaceDN/>
        <w:bidi w:val="0"/>
        <w:snapToGrid/>
        <w:spacing w:line="360" w:lineRule="auto"/>
        <w:ind w:leftChars="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（四）质疑电话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五、投标失信行为黑名单制度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六、合同签订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2881" w:firstLineChars="900"/>
        <w:jc w:val="both"/>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bookmarkStart w:id="0" w:name="_Toc422403383"/>
    </w:p>
    <w:p/>
    <w:p/>
    <w:p>
      <w:pPr>
        <w:pStyle w:val="4"/>
      </w:pPr>
    </w:p>
    <w:p/>
    <w:p>
      <w:pPr>
        <w:pStyle w:val="4"/>
      </w:pPr>
    </w:p>
    <w:p/>
    <w:p>
      <w:pPr>
        <w:pStyle w:val="4"/>
      </w:pPr>
    </w:p>
    <w:p/>
    <w:p>
      <w:pPr>
        <w:pStyle w:val="4"/>
      </w:pPr>
    </w:p>
    <w:p/>
    <w:p>
      <w:pPr>
        <w:pStyle w:val="4"/>
      </w:pPr>
    </w:p>
    <w:p/>
    <w:p>
      <w:pPr>
        <w:pStyle w:val="4"/>
      </w:pPr>
    </w:p>
    <w:p/>
    <w:p>
      <w:pPr>
        <w:pStyle w:val="4"/>
      </w:pPr>
    </w:p>
    <w:p/>
    <w:p>
      <w:pPr>
        <w:pStyle w:val="4"/>
      </w:pPr>
    </w:p>
    <w:p/>
    <w:p>
      <w:pPr>
        <w:pStyle w:val="4"/>
      </w:pPr>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9"/>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十六、产品彩页（如有）</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十七、产品配置清单</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十八、其他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1">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2">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2I5YmQyM2VlMzIyNzg3MTM0MjMzMjczYWU0N2U3MTcifQ=="/>
  </w:docVars>
  <w:rsids>
    <w:rsidRoot w:val="00000000"/>
    <w:rsid w:val="002C273F"/>
    <w:rsid w:val="00556401"/>
    <w:rsid w:val="036C2F53"/>
    <w:rsid w:val="05076A5B"/>
    <w:rsid w:val="06B07F83"/>
    <w:rsid w:val="06D601F0"/>
    <w:rsid w:val="0DA07F51"/>
    <w:rsid w:val="10D60D02"/>
    <w:rsid w:val="11AB1717"/>
    <w:rsid w:val="11EF4694"/>
    <w:rsid w:val="150E71F6"/>
    <w:rsid w:val="1696735F"/>
    <w:rsid w:val="16E14FBF"/>
    <w:rsid w:val="19545A30"/>
    <w:rsid w:val="198E5E9E"/>
    <w:rsid w:val="19BD2CB7"/>
    <w:rsid w:val="1BB9254A"/>
    <w:rsid w:val="1DCA77EF"/>
    <w:rsid w:val="1ED20D4A"/>
    <w:rsid w:val="20341AF8"/>
    <w:rsid w:val="216D46C6"/>
    <w:rsid w:val="224C6733"/>
    <w:rsid w:val="23507ADC"/>
    <w:rsid w:val="24A7212A"/>
    <w:rsid w:val="25757733"/>
    <w:rsid w:val="26470B4A"/>
    <w:rsid w:val="266437D3"/>
    <w:rsid w:val="267A5F90"/>
    <w:rsid w:val="26915EA6"/>
    <w:rsid w:val="276714E7"/>
    <w:rsid w:val="281659F6"/>
    <w:rsid w:val="293A1937"/>
    <w:rsid w:val="2B28723B"/>
    <w:rsid w:val="2B5C1706"/>
    <w:rsid w:val="2B8A6B32"/>
    <w:rsid w:val="2BAC4D24"/>
    <w:rsid w:val="2D1D3BDB"/>
    <w:rsid w:val="2D833519"/>
    <w:rsid w:val="2DFB03C5"/>
    <w:rsid w:val="2FC378C6"/>
    <w:rsid w:val="2FDF17DF"/>
    <w:rsid w:val="302671DA"/>
    <w:rsid w:val="30D15875"/>
    <w:rsid w:val="32441EA5"/>
    <w:rsid w:val="3281623F"/>
    <w:rsid w:val="32944704"/>
    <w:rsid w:val="34D54377"/>
    <w:rsid w:val="37FC75FC"/>
    <w:rsid w:val="383D56F7"/>
    <w:rsid w:val="393C0F46"/>
    <w:rsid w:val="3E650D1D"/>
    <w:rsid w:val="3E9002A8"/>
    <w:rsid w:val="3F552A03"/>
    <w:rsid w:val="44AA028A"/>
    <w:rsid w:val="4603606C"/>
    <w:rsid w:val="47C04769"/>
    <w:rsid w:val="486160DA"/>
    <w:rsid w:val="489F057B"/>
    <w:rsid w:val="4AED3729"/>
    <w:rsid w:val="4E473895"/>
    <w:rsid w:val="50110E80"/>
    <w:rsid w:val="511070DA"/>
    <w:rsid w:val="53560822"/>
    <w:rsid w:val="557D67C8"/>
    <w:rsid w:val="571E5CB6"/>
    <w:rsid w:val="59137211"/>
    <w:rsid w:val="5C344BB6"/>
    <w:rsid w:val="5DFF20EB"/>
    <w:rsid w:val="5E1C5429"/>
    <w:rsid w:val="5ED418C8"/>
    <w:rsid w:val="5EF71E76"/>
    <w:rsid w:val="616C33F6"/>
    <w:rsid w:val="62E24E32"/>
    <w:rsid w:val="64E47B74"/>
    <w:rsid w:val="6585763E"/>
    <w:rsid w:val="661108EC"/>
    <w:rsid w:val="669049D8"/>
    <w:rsid w:val="67D14995"/>
    <w:rsid w:val="6C0D60E9"/>
    <w:rsid w:val="6D4F63E7"/>
    <w:rsid w:val="6F3911E0"/>
    <w:rsid w:val="6F5104C0"/>
    <w:rsid w:val="719B7B32"/>
    <w:rsid w:val="71DA20A9"/>
    <w:rsid w:val="75080C92"/>
    <w:rsid w:val="78564BB1"/>
    <w:rsid w:val="7A8D5099"/>
    <w:rsid w:val="7BB21433"/>
    <w:rsid w:val="7F112C06"/>
    <w:rsid w:val="7F215BB4"/>
    <w:rsid w:val="7F5512D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autoRedefine/>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11">
    <w:name w:val="Default Paragraph Font"/>
    <w:autoRedefine/>
    <w:semiHidden/>
    <w:qFormat/>
    <w:uiPriority w:val="2"/>
  </w:style>
  <w:style w:type="table" w:default="1" w:styleId="9">
    <w:name w:val="Normal Table"/>
    <w:autoRedefine/>
    <w:semiHidden/>
    <w:qFormat/>
    <w:uiPriority w:val="3"/>
    <w:tblPr>
      <w:tblCellMar>
        <w:top w:w="0" w:type="dxa"/>
        <w:left w:w="108" w:type="dxa"/>
        <w:bottom w:w="0" w:type="dxa"/>
        <w:right w:w="108" w:type="dxa"/>
      </w:tblCellMar>
    </w:tblPr>
  </w:style>
  <w:style w:type="paragraph" w:styleId="4">
    <w:name w:val="Plain Text"/>
    <w:basedOn w:val="5"/>
    <w:next w:val="1"/>
    <w:qFormat/>
    <w:uiPriority w:val="0"/>
    <w:rPr>
      <w:rFonts w:ascii="宋体" w:hAnsi="Courier New"/>
    </w:rPr>
  </w:style>
  <w:style w:type="paragraph" w:customStyle="1" w:styleId="5">
    <w:name w:val="Normal_6"/>
    <w:next w:val="4"/>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6">
    <w:name w:val="footer"/>
    <w:basedOn w:val="1"/>
    <w:qFormat/>
    <w:uiPriority w:val="151"/>
    <w:pPr>
      <w:tabs>
        <w:tab w:val="center" w:pos="4153"/>
        <w:tab w:val="right" w:pos="8306"/>
      </w:tabs>
      <w:snapToGrid w:val="0"/>
      <w:jc w:val="left"/>
    </w:pPr>
    <w:rPr>
      <w:sz w:val="18"/>
      <w:szCs w:val="18"/>
    </w:rPr>
  </w:style>
  <w:style w:type="paragraph" w:styleId="7">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8">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0">
    <w:name w:val="Table Grid"/>
    <w:basedOn w:val="9"/>
    <w:autoRedefine/>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26"/>
    <w:pPr>
      <w:ind w:firstLine="200"/>
    </w:pPr>
    <w:rPr>
      <w:rFonts w:ascii="Times New Roman" w:hAnsi="Times New Roman" w:eastAsia="宋体" w:cs="Times New Roman"/>
      <w:sz w:val="28"/>
      <w:szCs w:val="28"/>
    </w:rPr>
  </w:style>
  <w:style w:type="character" w:customStyle="1" w:styleId="13">
    <w:name w:val="NormalCharacter"/>
    <w:link w:val="1"/>
    <w:autoRedefine/>
    <w:qFormat/>
    <w:uiPriority w:val="154"/>
    <w:rPr>
      <w:rFonts w:asciiTheme="minorHAnsi" w:hAnsiTheme="minorHAnsi" w:eastAsiaTheme="minorEastAsia" w:cstheme="minorBidi"/>
      <w:sz w:val="21"/>
      <w:szCs w:val="21"/>
      <w:lang w:val="en-US" w:eastAsia="zh-CN" w:bidi="ar-SA"/>
    </w:rPr>
  </w:style>
  <w:style w:type="character" w:customStyle="1" w:styleId="14">
    <w:name w:val="font11"/>
    <w:basedOn w:val="11"/>
    <w:autoRedefine/>
    <w:qFormat/>
    <w:uiPriority w:val="0"/>
    <w:rPr>
      <w:rFonts w:hint="eastAsia" w:ascii="宋体" w:hAnsi="宋体" w:eastAsia="宋体" w:cs="宋体"/>
      <w:color w:val="000000"/>
      <w:sz w:val="24"/>
      <w:szCs w:val="24"/>
      <w:u w:val="none"/>
    </w:rPr>
  </w:style>
  <w:style w:type="character" w:customStyle="1" w:styleId="15">
    <w:name w:val="font31"/>
    <w:basedOn w:val="11"/>
    <w:autoRedefine/>
    <w:qFormat/>
    <w:uiPriority w:val="0"/>
    <w:rPr>
      <w:rFonts w:hint="eastAsia" w:ascii="宋体" w:hAnsi="宋体" w:eastAsia="宋体" w:cs="宋体"/>
      <w:color w:val="000000"/>
      <w:sz w:val="21"/>
      <w:szCs w:val="21"/>
      <w:u w:val="none"/>
    </w:rPr>
  </w:style>
  <w:style w:type="paragraph" w:customStyle="1" w:styleId="16">
    <w:name w:val="List Paragraph_4824d229-415e-4c56-a884-f4834b61f8de"/>
    <w:basedOn w:val="1"/>
    <w:autoRedefine/>
    <w:qFormat/>
    <w:uiPriority w:val="34"/>
    <w:pPr>
      <w:ind w:firstLine="420" w:firstLineChars="200"/>
    </w:pPr>
    <w:rPr>
      <w:rFonts w:ascii="Times New Roman" w:hAnsi="Times New Roman" w:eastAsia="宋体" w:cs="Times New Roman"/>
      <w:sz w:val="28"/>
      <w:szCs w:val="21"/>
    </w:rPr>
  </w:style>
  <w:style w:type="character" w:customStyle="1" w:styleId="17">
    <w:name w:val="font41"/>
    <w:basedOn w:val="11"/>
    <w:autoRedefine/>
    <w:qFormat/>
    <w:uiPriority w:val="0"/>
    <w:rPr>
      <w:rFonts w:ascii="Calibri" w:hAnsi="Calibri" w:cs="Calibri"/>
      <w:color w:val="000000"/>
      <w:sz w:val="28"/>
      <w:szCs w:val="28"/>
      <w:u w:val="none"/>
    </w:rPr>
  </w:style>
  <w:style w:type="character" w:customStyle="1" w:styleId="18">
    <w:name w:val="font21"/>
    <w:basedOn w:val="11"/>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6874</Words>
  <Characters>7938</Characters>
  <Lines>0</Lines>
  <Paragraphs>0</Paragraphs>
  <TotalTime>0</TotalTime>
  <ScaleCrop>false</ScaleCrop>
  <LinksUpToDate>false</LinksUpToDate>
  <CharactersWithSpaces>8255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2024-03-22T07:01:35Z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ED356220657E417F8E5708E209511C69_13</vt:lpwstr>
  </property>
  <property fmtid="{D5CDD505-2E9C-101B-9397-08002B2CF9AE}" pid="4" name="commondata">
    <vt:lpwstr>eyJoZGlkIjoiM2I5YmQyM2VlMzIyNzg3MTM0MjMzMjczYWU0N2U3MTcifQ==</vt:lpwstr>
  </property>
</Properties>
</file>