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2361565" cy="2361565"/>
            <wp:effectExtent l="0" t="0" r="0"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4"/>
                    <a:stretch>
                      <a:fillRect/>
                    </a:stretch>
                  </pic:blipFill>
                  <pic:spPr>
                    <a:xfrm>
                      <a:off x="0" y="0"/>
                      <a:ext cx="2361565" cy="236156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pStyle w:val="4"/>
        <w:rPr>
          <w:rFonts w:hint="eastAsia"/>
          <w:b w:val="0"/>
          <w:sz w:val="28"/>
          <w:szCs w:val="28"/>
          <w:lang w:val="en-US" w:eastAsia="zh-CN"/>
        </w:rPr>
      </w:pPr>
    </w:p>
    <w:p>
      <w:pPr>
        <w:rPr>
          <w:rFonts w:hint="eastAsia"/>
          <w:b w:val="0"/>
          <w:sz w:val="28"/>
          <w:szCs w:val="28"/>
          <w:lang w:val="en-US" w:eastAsia="zh-CN"/>
        </w:rPr>
      </w:pPr>
    </w:p>
    <w:p>
      <w:pPr>
        <w:pStyle w:val="4"/>
        <w:rPr>
          <w:rFonts w:hint="eastAsia"/>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default" w:ascii="黑体" w:hAnsi="黑体" w:eastAsia="黑体" w:cs="黑体"/>
          <w:b/>
          <w:sz w:val="36"/>
          <w:szCs w:val="36"/>
          <w:lang w:val="en-US" w:eastAsia="zh-CN"/>
        </w:rPr>
      </w:pPr>
      <w:r>
        <w:rPr>
          <w:rFonts w:hint="eastAsia" w:ascii="黑体" w:hAnsi="黑体" w:eastAsia="黑体" w:cs="黑体"/>
          <w:b/>
          <w:sz w:val="36"/>
          <w:szCs w:val="36"/>
          <w:lang w:val="en-US" w:eastAsia="zh-CN"/>
        </w:rPr>
        <w:t>超声乳化治疗仪 (二次）</w:t>
      </w:r>
      <w:bookmarkStart w:id="1" w:name="_GoBack"/>
      <w:bookmarkEnd w:id="1"/>
    </w:p>
    <w:p>
      <w:pPr>
        <w:numPr>
          <w:ilvl w:val="0"/>
          <w:numId w:val="0"/>
        </w:numPr>
        <w:ind w:left="0" w:right="0" w:firstLine="0"/>
        <w:jc w:val="center"/>
        <w:rPr>
          <w:rFonts w:hint="eastAsia" w:ascii="黑体" w:hAnsi="黑体" w:eastAsia="黑体" w:cs="黑体"/>
          <w:b/>
          <w:sz w:val="36"/>
          <w:szCs w:val="36"/>
          <w:lang w:val="en-US" w:eastAsia="zh-CN"/>
        </w:rPr>
      </w:pPr>
      <w:r>
        <w:rPr>
          <w:rFonts w:hint="eastAsia" w:ascii="黑体" w:hAnsi="黑体" w:eastAsia="黑体" w:cs="黑体"/>
          <w:b/>
          <w:sz w:val="36"/>
          <w:szCs w:val="36"/>
          <w:lang w:val="en-US" w:eastAsia="zh-CN"/>
        </w:rPr>
        <w:t>2024年3月27日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default" w:ascii="宋体" w:hAnsi="宋体" w:eastAsia="宋体"/>
          <w:bCs/>
          <w:kern w:val="44"/>
          <w:sz w:val="24"/>
          <w:szCs w:val="24"/>
          <w:lang w:val="en-US" w:eastAsia="zh-CN"/>
        </w:rPr>
      </w:pPr>
      <w:r>
        <w:rPr>
          <w:rFonts w:hint="eastAsia" w:ascii="宋体" w:hAnsi="宋体"/>
          <w:bCs/>
          <w:kern w:val="44"/>
          <w:sz w:val="24"/>
          <w:szCs w:val="24"/>
          <w:lang w:val="zh-CN"/>
        </w:rPr>
        <w:t>一.主要商务要求</w:t>
      </w:r>
      <w:r>
        <w:rPr>
          <w:rFonts w:hint="eastAsia" w:ascii="宋体" w:hAnsi="宋体" w:eastAsia="宋体"/>
          <w:bCs/>
          <w:kern w:val="44"/>
          <w:sz w:val="24"/>
          <w:szCs w:val="24"/>
          <w:lang w:val="en-US" w:eastAsia="zh-CN"/>
        </w:rPr>
        <w:t xml:space="preserve">                                          金额：元</w:t>
      </w:r>
    </w:p>
    <w:tbl>
      <w:tblPr>
        <w:tblStyle w:val="10"/>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超声乳化治疗仪</w:t>
            </w:r>
          </w:p>
        </w:tc>
        <w:tc>
          <w:tcPr>
            <w:tcW w:w="903" w:type="dxa"/>
            <w:vAlign w:val="center"/>
          </w:tcPr>
          <w:p>
            <w:pPr>
              <w:ind w:firstLine="240" w:firstLineChars="1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795000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795000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p>
        </w:tc>
        <w:tc>
          <w:tcPr>
            <w:tcW w:w="5932" w:type="dxa"/>
            <w:gridSpan w:val="4"/>
            <w:vAlign w:val="center"/>
          </w:tcPr>
          <w:p>
            <w:pPr>
              <w:ind w:firstLine="2400" w:firstLineChars="10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总价合计</w:t>
            </w:r>
          </w:p>
        </w:tc>
        <w:tc>
          <w:tcPr>
            <w:tcW w:w="159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795000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30日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default" w:ascii="宋体" w:hAnsi="宋体" w:eastAsia="宋体" w:cs="宋体"/>
                <w:sz w:val="24"/>
                <w:szCs w:val="24"/>
                <w:lang w:val="en-US"/>
              </w:rPr>
            </w:pPr>
            <w:r>
              <w:rPr>
                <w:rFonts w:hint="eastAsia" w:ascii="宋体" w:hAnsi="宋体" w:eastAsia="宋体" w:cs="宋体"/>
                <w:sz w:val="21"/>
                <w:szCs w:val="21"/>
                <w:lang w:val="en-US" w:eastAsia="zh-CN" w:bidi="ar-SA"/>
              </w:rPr>
              <w:t>甲方在设备验收通过后，支付总货款的90%，验收通过使用一年后支付剩余</w:t>
            </w:r>
            <w:r>
              <w:rPr>
                <w:rFonts w:hint="eastAsia" w:ascii="宋体" w:hAnsi="宋体" w:cs="宋体"/>
                <w:sz w:val="21"/>
                <w:szCs w:val="21"/>
                <w:lang w:val="en-US" w:eastAsia="zh-CN" w:bidi="ar-SA"/>
              </w:rPr>
              <w:t>1</w:t>
            </w:r>
            <w:r>
              <w:rPr>
                <w:rFonts w:hint="eastAsia" w:ascii="宋体" w:hAnsi="宋体" w:eastAsia="宋体" w:cs="宋体"/>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tbl>
      <w:tblPr>
        <w:tblStyle w:val="9"/>
        <w:tblW w:w="8539" w:type="dxa"/>
        <w:tblInd w:w="0" w:type="dxa"/>
        <w:tblLayout w:type="fixed"/>
        <w:tblCellMar>
          <w:top w:w="0" w:type="dxa"/>
          <w:left w:w="108" w:type="dxa"/>
          <w:bottom w:w="0" w:type="dxa"/>
          <w:right w:w="108" w:type="dxa"/>
        </w:tblCellMar>
      </w:tblPr>
      <w:tblGrid>
        <w:gridCol w:w="697"/>
        <w:gridCol w:w="757"/>
        <w:gridCol w:w="7085"/>
      </w:tblGrid>
      <w:tr>
        <w:tblPrEx>
          <w:tblCellMar>
            <w:top w:w="0" w:type="dxa"/>
            <w:left w:w="108" w:type="dxa"/>
            <w:bottom w:w="0" w:type="dxa"/>
            <w:right w:w="108" w:type="dxa"/>
          </w:tblCellMar>
        </w:tblPrEx>
        <w:trPr>
          <w:trHeight w:val="668"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75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08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bidi="lo-LA"/>
              </w:rPr>
            </w:pPr>
            <w:r>
              <w:rPr>
                <w:rFonts w:hint="eastAsia" w:asciiTheme="minorEastAsia" w:hAnsiTheme="minorEastAsia" w:cstheme="minorEastAsia"/>
                <w:szCs w:val="21"/>
                <w:lang w:bidi="lo-LA"/>
              </w:rPr>
              <w:t>*</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bidi="lo-LA"/>
              </w:rPr>
            </w:pPr>
            <w:r>
              <w:rPr>
                <w:rFonts w:hint="eastAsia" w:asciiTheme="minorEastAsia" w:hAnsiTheme="minorEastAsia" w:cstheme="minorEastAsia"/>
                <w:kern w:val="0"/>
                <w:szCs w:val="21"/>
                <w:lang w:bidi="lo-LA"/>
              </w:rPr>
              <w:t>1</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rPr>
                <w:rFonts w:hint="eastAsia" w:ascii="宋体" w:hAnsi="宋体" w:eastAsia="宋体" w:cs="宋体"/>
                <w:kern w:val="0"/>
                <w:sz w:val="21"/>
                <w:szCs w:val="21"/>
                <w:lang w:eastAsia="zh-CN" w:bidi="lo-LA"/>
              </w:rPr>
            </w:pPr>
            <w:r>
              <w:rPr>
                <w:rFonts w:hint="eastAsia" w:asciiTheme="minorEastAsia" w:hAnsiTheme="minorEastAsia" w:cstheme="minorEastAsia"/>
                <w:szCs w:val="21"/>
              </w:rPr>
              <w:t>具备超声、灌注、抽吸、前节玻切、电凝功能，符合眼科白内障手术治疗使用</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szCs w:val="21"/>
                <w:lang w:bidi="lo-LA"/>
              </w:rPr>
              <w:t>*</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lang w:bidi="lo-LA"/>
              </w:rPr>
              <w:t>2</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rPr>
                <w:rFonts w:hint="eastAsia" w:ascii="宋体" w:hAnsi="宋体" w:eastAsia="宋体" w:cs="宋体"/>
                <w:kern w:val="0"/>
                <w:sz w:val="21"/>
                <w:szCs w:val="21"/>
                <w:lang w:val="en-US" w:eastAsia="zh-CN" w:bidi="lo-LA"/>
              </w:rPr>
            </w:pPr>
            <w:r>
              <w:rPr>
                <w:rFonts w:hint="eastAsia" w:asciiTheme="minorEastAsia" w:hAnsiTheme="minorEastAsia" w:cstheme="minorEastAsia"/>
                <w:szCs w:val="21"/>
              </w:rPr>
              <w:t>设备配备有重力式液流系统，密闭、非顺应性液流管理系统；具备双压力感受器</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eastAsia="zh-CN" w:bidi="lo-LA"/>
              </w:rPr>
            </w:pPr>
            <w:r>
              <w:rPr>
                <w:rFonts w:hint="eastAsia" w:asciiTheme="minorEastAsia" w:hAnsiTheme="minorEastAsia" w:cstheme="minorEastAsia"/>
                <w:kern w:val="0"/>
                <w:szCs w:val="21"/>
                <w:lang w:bidi="lo-LA"/>
              </w:rPr>
              <w:t>3</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rPr>
                <w:rFonts w:hint="eastAsia" w:ascii="宋体" w:hAnsi="宋体" w:eastAsia="宋体" w:cs="宋体"/>
                <w:kern w:val="0"/>
                <w:sz w:val="21"/>
                <w:szCs w:val="21"/>
                <w:lang w:eastAsia="zh-CN" w:bidi="lo-LA"/>
              </w:rPr>
            </w:pPr>
            <w:r>
              <w:rPr>
                <w:rFonts w:hint="eastAsia" w:asciiTheme="minorEastAsia" w:hAnsiTheme="minorEastAsia" w:cstheme="minorEastAsia"/>
                <w:szCs w:val="21"/>
              </w:rPr>
              <w:t>气动式玻璃体切割动力，玻切速率≥2500cpm</w:t>
            </w:r>
            <w:r>
              <w:rPr>
                <w:rFonts w:hint="eastAsia" w:asciiTheme="minorEastAsia" w:hAnsiTheme="minorEastAsia" w:cstheme="minorEastAsia"/>
                <w:szCs w:val="21"/>
                <w:lang w:eastAsia="zh-CN"/>
              </w:rPr>
              <w:t>；</w:t>
            </w:r>
            <w:r>
              <w:rPr>
                <w:rFonts w:hint="eastAsia" w:asciiTheme="minorEastAsia" w:hAnsiTheme="minorEastAsia" w:cstheme="minorEastAsia"/>
                <w:szCs w:val="21"/>
              </w:rPr>
              <w:t>玻切模式</w:t>
            </w:r>
            <w:r>
              <w:rPr>
                <w:rFonts w:hint="eastAsia" w:asciiTheme="minorEastAsia" w:hAnsiTheme="minorEastAsia" w:cstheme="minorEastAsia"/>
                <w:szCs w:val="21"/>
                <w:lang w:val="en-US" w:eastAsia="zh-CN"/>
              </w:rPr>
              <w:t>应</w:t>
            </w:r>
            <w:r>
              <w:rPr>
                <w:rFonts w:hint="eastAsia" w:asciiTheme="minorEastAsia" w:hAnsiTheme="minorEastAsia" w:cstheme="minorEastAsia"/>
                <w:szCs w:val="21"/>
              </w:rPr>
              <w:t>包含CUT/IA和IA/CUT</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r>
              <w:rPr>
                <w:rFonts w:hint="eastAsia" w:asciiTheme="minorEastAsia" w:hAnsiTheme="minorEastAsia" w:cstheme="minorEastAsia"/>
                <w:szCs w:val="21"/>
                <w:lang w:bidi="lo-LA"/>
              </w:rPr>
              <w:t>*</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lang w:bidi="lo-LA"/>
              </w:rPr>
              <w:t>4</w:t>
            </w:r>
          </w:p>
        </w:tc>
        <w:tc>
          <w:tcPr>
            <w:tcW w:w="708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eastAsia="zh-CN" w:bidi="lo-LA"/>
              </w:rPr>
            </w:pPr>
            <w:r>
              <w:rPr>
                <w:rFonts w:hint="eastAsia" w:asciiTheme="minorEastAsia" w:hAnsiTheme="minorEastAsia" w:cstheme="minorEastAsia"/>
                <w:szCs w:val="21"/>
              </w:rPr>
              <w:t>具备纵向超声乳化模式，超声振动方向为纵向，振动频率为28-32kHZ</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138"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lang w:bidi="lo-LA"/>
              </w:rPr>
              <w:t>5</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rPr>
                <w:rFonts w:hint="eastAsia" w:ascii="宋体" w:hAnsi="宋体" w:eastAsia="宋体" w:cs="宋体"/>
                <w:kern w:val="0"/>
                <w:sz w:val="21"/>
                <w:szCs w:val="21"/>
                <w:lang w:eastAsia="zh-CN" w:bidi="lo-LA"/>
              </w:rPr>
            </w:pPr>
            <w:r>
              <w:rPr>
                <w:rFonts w:hint="eastAsia" w:asciiTheme="minorEastAsia" w:hAnsiTheme="minorEastAsia" w:cstheme="minorEastAsia"/>
                <w:szCs w:val="21"/>
              </w:rPr>
              <w:t>灌注、抽吸负压≥600mmHg；抽吸速率范围在：0-60cc/min；重力灌注液瓶高度可调，最高值≥10</w:t>
            </w:r>
            <w:r>
              <w:rPr>
                <w:rFonts w:hint="eastAsia" w:asciiTheme="minorEastAsia" w:hAnsiTheme="minorEastAsia" w:cstheme="minorEastAsia"/>
                <w:szCs w:val="21"/>
                <w:lang w:val="en-US" w:eastAsia="zh-CN"/>
              </w:rPr>
              <w:t>5</w:t>
            </w:r>
            <w:r>
              <w:rPr>
                <w:rFonts w:hint="eastAsia" w:asciiTheme="minorEastAsia" w:hAnsiTheme="minorEastAsia" w:cstheme="minorEastAsia"/>
                <w:szCs w:val="21"/>
              </w:rPr>
              <w:t>cm</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25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r>
              <w:rPr>
                <w:rFonts w:hint="eastAsia" w:asciiTheme="minorEastAsia" w:hAnsiTheme="minorEastAsia" w:cstheme="minorEastAsia"/>
                <w:szCs w:val="21"/>
                <w:lang w:bidi="lo-LA"/>
              </w:rPr>
              <w:t>*</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lang w:bidi="lo-LA"/>
              </w:rPr>
              <w:t>6</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rPr>
                <w:rFonts w:hint="default" w:ascii="宋体" w:hAnsi="宋体" w:eastAsia="宋体" w:cs="宋体"/>
                <w:kern w:val="0"/>
                <w:sz w:val="21"/>
                <w:szCs w:val="21"/>
                <w:lang w:val="en-US" w:eastAsia="zh-CN" w:bidi="lo-LA"/>
              </w:rPr>
            </w:pPr>
            <w:r>
              <w:rPr>
                <w:rFonts w:hint="eastAsia" w:asciiTheme="minorEastAsia" w:hAnsiTheme="minorEastAsia" w:cstheme="minorEastAsia"/>
                <w:szCs w:val="21"/>
              </w:rPr>
              <w:t>具备横向超声乳化模式，超声振动方向为左右侧向，振动频率为28-44kHZ</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lang w:bidi="lo-LA"/>
              </w:rPr>
              <w:t>7</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rPr>
                <w:rFonts w:hint="eastAsia" w:ascii="宋体" w:hAnsi="宋体" w:eastAsia="宋体" w:cs="宋体"/>
                <w:kern w:val="0"/>
                <w:sz w:val="21"/>
                <w:szCs w:val="21"/>
                <w:lang w:eastAsia="zh-CN" w:bidi="lo-LA"/>
              </w:rPr>
            </w:pPr>
            <w:r>
              <w:rPr>
                <w:rFonts w:hint="eastAsia" w:asciiTheme="minorEastAsia" w:hAnsiTheme="minorEastAsia" w:cstheme="minorEastAsia"/>
                <w:szCs w:val="21"/>
              </w:rPr>
              <w:t>具有自定义脉冲，脉冲频率1-250 pps，工作时间比例 0 -100% 连续可调</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lang w:bidi="lo-LA"/>
              </w:rPr>
              <w:t>8</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rPr>
                <w:rFonts w:hint="eastAsia" w:ascii="宋体" w:hAnsi="宋体" w:eastAsia="宋体" w:cs="宋体"/>
                <w:sz w:val="21"/>
                <w:szCs w:val="21"/>
                <w:lang w:eastAsia="zh-CN"/>
              </w:rPr>
            </w:pPr>
            <w:r>
              <w:rPr>
                <w:rFonts w:hint="eastAsia" w:asciiTheme="minorEastAsia" w:hAnsiTheme="minorEastAsia" w:cstheme="minorEastAsia"/>
                <w:szCs w:val="21"/>
              </w:rPr>
              <w:t>具有自定微爆破技术，爆破脉宽2-500ms，爆破间歇 2500-0ms</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r>
              <w:rPr>
                <w:rFonts w:hint="eastAsia" w:asciiTheme="minorEastAsia" w:hAnsiTheme="minorEastAsia" w:cstheme="minorEastAsia"/>
                <w:szCs w:val="21"/>
                <w:lang w:bidi="lo-LA"/>
              </w:rPr>
              <w:t>*</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lang w:bidi="lo-LA"/>
              </w:rPr>
              <w:t>9</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rPr>
                <w:rFonts w:hint="eastAsia" w:ascii="宋体" w:hAnsi="宋体" w:eastAsia="宋体" w:cs="宋体"/>
                <w:sz w:val="21"/>
                <w:szCs w:val="21"/>
                <w:lang w:eastAsia="zh-CN"/>
              </w:rPr>
            </w:pPr>
            <w:r>
              <w:rPr>
                <w:rFonts w:hint="eastAsia" w:asciiTheme="minorEastAsia" w:hAnsiTheme="minorEastAsia" w:cstheme="minorEastAsia"/>
                <w:szCs w:val="21"/>
              </w:rPr>
              <w:t>具有反馈提示及无线连接脚踏</w:t>
            </w:r>
            <w:r>
              <w:rPr>
                <w:rFonts w:hint="eastAsia" w:asciiTheme="minorEastAsia" w:hAnsiTheme="minorEastAsia" w:cstheme="minorEastAsia"/>
                <w:szCs w:val="21"/>
                <w:lang w:eastAsia="zh-CN"/>
              </w:rPr>
              <w:t>，</w:t>
            </w:r>
            <w:r>
              <w:rPr>
                <w:rFonts w:hint="eastAsia" w:asciiTheme="minorEastAsia" w:hAnsiTheme="minorEastAsia" w:cstheme="minorEastAsia"/>
                <w:szCs w:val="21"/>
              </w:rPr>
              <w:t>可根据需要进行编程，可利用脚踏控制多项功能</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1"/>
                <w:szCs w:val="21"/>
                <w:lang w:val="en-US" w:eastAsia="zh-CN" w:bidi="lo-LA"/>
              </w:rPr>
            </w:pPr>
            <w:r>
              <w:rPr>
                <w:rFonts w:hint="eastAsia" w:asciiTheme="minorEastAsia" w:hAnsiTheme="minorEastAsia" w:cstheme="minorEastAsia"/>
                <w:kern w:val="0"/>
                <w:szCs w:val="21"/>
                <w:lang w:bidi="lo-LA"/>
              </w:rPr>
              <w:t>10</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rPr>
                <w:rFonts w:hint="eastAsia" w:ascii="宋体" w:hAnsi="宋体" w:eastAsia="宋体" w:cs="宋体"/>
                <w:sz w:val="21"/>
                <w:szCs w:val="21"/>
                <w:lang w:eastAsia="zh-CN"/>
              </w:rPr>
            </w:pPr>
            <w:r>
              <w:rPr>
                <w:rFonts w:hint="eastAsia" w:asciiTheme="minorEastAsia" w:hAnsiTheme="minorEastAsia" w:cstheme="minorEastAsia"/>
                <w:szCs w:val="21"/>
              </w:rPr>
              <w:t>可同时线性控制超声能量的输出、抽吸速率和负压</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127"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1"/>
                <w:szCs w:val="21"/>
                <w:lang w:val="en-US" w:eastAsia="zh-CN" w:bidi="lo-LA"/>
              </w:rPr>
            </w:pPr>
            <w:r>
              <w:rPr>
                <w:rFonts w:hint="eastAsia" w:asciiTheme="minorEastAsia" w:hAnsiTheme="minorEastAsia" w:cstheme="minorEastAsia"/>
                <w:kern w:val="0"/>
                <w:szCs w:val="21"/>
                <w:lang w:bidi="lo-LA"/>
              </w:rPr>
              <w:t>11</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rPr>
                <w:rFonts w:hint="eastAsia" w:ascii="宋体" w:hAnsi="宋体" w:eastAsia="宋体" w:cs="宋体"/>
                <w:sz w:val="21"/>
                <w:szCs w:val="21"/>
                <w:lang w:eastAsia="zh-CN"/>
              </w:rPr>
            </w:pPr>
            <w:r>
              <w:rPr>
                <w:rFonts w:hint="eastAsia" w:asciiTheme="minorEastAsia" w:hAnsiTheme="minorEastAsia" w:cstheme="minorEastAsia"/>
                <w:szCs w:val="21"/>
              </w:rPr>
              <w:t>可通过面板、脚踏或遥控器控制</w:t>
            </w:r>
            <w:r>
              <w:rPr>
                <w:rFonts w:hint="eastAsia" w:asciiTheme="minorEastAsia" w:hAnsiTheme="minorEastAsia" w:cstheme="minorEastAsia"/>
                <w:szCs w:val="21"/>
                <w:lang w:val="en-US" w:eastAsia="zh-CN"/>
              </w:rPr>
              <w:t>液体挂钩</w:t>
            </w:r>
            <w:r>
              <w:rPr>
                <w:rFonts w:hint="eastAsia" w:asciiTheme="minorEastAsia" w:hAnsiTheme="minorEastAsia" w:cstheme="minorEastAsia"/>
                <w:szCs w:val="21"/>
              </w:rPr>
              <w:t>的自动升降，可通过面板、脚踏或遥控器转变手术步骤</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127"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val="en-US" w:eastAsia="zh-CN"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1"/>
                <w:szCs w:val="21"/>
                <w:lang w:val="en-US" w:eastAsia="zh-CN" w:bidi="lo-LA"/>
              </w:rPr>
            </w:pPr>
            <w:r>
              <w:rPr>
                <w:rFonts w:hint="eastAsia" w:asciiTheme="minorEastAsia" w:hAnsiTheme="minorEastAsia" w:cstheme="minorEastAsia"/>
                <w:kern w:val="0"/>
                <w:szCs w:val="21"/>
                <w:lang w:bidi="lo-LA"/>
              </w:rPr>
              <w:t>12</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rPr>
                <w:rFonts w:hint="eastAsia" w:ascii="宋体" w:hAnsi="宋体" w:eastAsia="宋体" w:cs="宋体"/>
                <w:sz w:val="21"/>
                <w:szCs w:val="21"/>
              </w:rPr>
            </w:pPr>
            <w:r>
              <w:rPr>
                <w:rFonts w:hint="eastAsia" w:asciiTheme="minorEastAsia" w:hAnsiTheme="minorEastAsia" w:cstheme="minorEastAsia"/>
                <w:szCs w:val="21"/>
              </w:rPr>
              <w:t>可配置多种超乳针头</w:t>
            </w:r>
            <w:r>
              <w:rPr>
                <w:rFonts w:hint="eastAsia" w:asciiTheme="minorEastAsia" w:hAnsiTheme="minorEastAsia" w:cstheme="minorEastAsia"/>
                <w:szCs w:val="21"/>
                <w:lang w:eastAsia="zh-CN"/>
              </w:rPr>
              <w:t>，</w:t>
            </w:r>
            <w:r>
              <w:rPr>
                <w:rFonts w:hint="eastAsia" w:asciiTheme="minorEastAsia" w:hAnsiTheme="minorEastAsia" w:cstheme="minorEastAsia"/>
                <w:szCs w:val="21"/>
              </w:rPr>
              <w:t>如喇叭口型、带侧孔型、弯型、平衡能量针头等</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127"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val="en-US" w:eastAsia="zh-CN"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1"/>
                <w:szCs w:val="21"/>
                <w:lang w:val="en-US" w:eastAsia="zh-CN" w:bidi="lo-LA"/>
              </w:rPr>
            </w:pPr>
            <w:r>
              <w:rPr>
                <w:rFonts w:hint="eastAsia" w:asciiTheme="minorEastAsia" w:hAnsiTheme="minorEastAsia" w:cstheme="minorEastAsia"/>
                <w:kern w:val="0"/>
                <w:szCs w:val="21"/>
                <w:lang w:bidi="lo-LA"/>
              </w:rPr>
              <w:t>13</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pPr>
            <w:r>
              <w:rPr>
                <w:rFonts w:hint="eastAsia" w:asciiTheme="minorEastAsia" w:hAnsiTheme="minorEastAsia" w:cstheme="minorEastAsia"/>
                <w:szCs w:val="21"/>
              </w:rPr>
              <w:t>晶状体核块堵塞负压管道前后的负压、能量、流速可控</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127"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val="en-US" w:eastAsia="zh-CN"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1"/>
                <w:szCs w:val="21"/>
                <w:lang w:val="en-US" w:eastAsia="zh-CN" w:bidi="lo-LA"/>
              </w:rPr>
            </w:pPr>
            <w:r>
              <w:rPr>
                <w:rFonts w:hint="eastAsia" w:asciiTheme="minorEastAsia" w:hAnsiTheme="minorEastAsia" w:cstheme="minorEastAsia"/>
                <w:kern w:val="0"/>
                <w:szCs w:val="21"/>
                <w:lang w:bidi="lo-LA"/>
              </w:rPr>
              <w:t>14</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pPr>
            <w:r>
              <w:rPr>
                <w:rFonts w:hint="eastAsia" w:asciiTheme="minorEastAsia" w:hAnsiTheme="minorEastAsia" w:cstheme="minorEastAsia"/>
                <w:szCs w:val="21"/>
              </w:rPr>
              <w:t>手术切口，能满足微切口（1.8mm/2.2mm/2.4mm）手术的需要</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127"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r>
              <w:rPr>
                <w:rFonts w:hint="eastAsia" w:ascii="宋体" w:hAnsi="宋体" w:eastAsia="宋体" w:cs="宋体"/>
                <w:kern w:val="0"/>
                <w:sz w:val="21"/>
                <w:szCs w:val="21"/>
                <w:lang w:val="en-US" w:eastAsia="zh-CN" w:bidi="lo-LA"/>
              </w:rPr>
              <w:t>*</w:t>
            </w:r>
          </w:p>
        </w:tc>
        <w:tc>
          <w:tcPr>
            <w:tcW w:w="75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15</w:t>
            </w:r>
          </w:p>
        </w:tc>
        <w:tc>
          <w:tcPr>
            <w:tcW w:w="708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sz w:val="21"/>
                <w:szCs w:val="21"/>
                <w:lang w:val="en-US" w:eastAsia="zh-CN"/>
              </w:rPr>
            </w:pPr>
            <w:r>
              <w:rPr>
                <w:rFonts w:hint="eastAsia" w:ascii="宋体" w:hAnsi="宋体" w:eastAsia="宋体" w:cs="宋体"/>
                <w:kern w:val="0"/>
                <w:sz w:val="21"/>
                <w:szCs w:val="21"/>
                <w:lang w:val="en-US" w:eastAsia="zh-CN" w:bidi="lo-LA"/>
              </w:rPr>
              <w:t>中标单位所供设备的生产日期距合同签订日期应在6个月以内。</w:t>
            </w:r>
          </w:p>
        </w:tc>
      </w:tr>
      <w:tr>
        <w:tblPrEx>
          <w:tblCellMar>
            <w:top w:w="0" w:type="dxa"/>
            <w:left w:w="108" w:type="dxa"/>
            <w:bottom w:w="0" w:type="dxa"/>
            <w:right w:w="108" w:type="dxa"/>
          </w:tblCellMar>
        </w:tblPrEx>
        <w:trPr>
          <w:trHeight w:val="127"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r>
              <w:rPr>
                <w:rFonts w:hint="eastAsia" w:ascii="宋体" w:hAnsi="宋体" w:eastAsia="宋体" w:cs="宋体"/>
                <w:kern w:val="0"/>
                <w:sz w:val="21"/>
                <w:szCs w:val="21"/>
                <w:lang w:val="en-US" w:eastAsia="zh-CN" w:bidi="lo-LA"/>
              </w:rPr>
              <w:t>*</w:t>
            </w:r>
          </w:p>
        </w:tc>
        <w:tc>
          <w:tcPr>
            <w:tcW w:w="75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16</w:t>
            </w:r>
          </w:p>
        </w:tc>
        <w:tc>
          <w:tcPr>
            <w:tcW w:w="708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sz w:val="21"/>
                <w:szCs w:val="21"/>
                <w:lang w:val="en-US" w:eastAsia="zh-CN"/>
              </w:rPr>
            </w:pPr>
            <w:r>
              <w:rPr>
                <w:rFonts w:hint="eastAsia" w:ascii="宋体" w:hAnsi="宋体" w:eastAsia="宋体" w:cs="宋体"/>
                <w:kern w:val="0"/>
                <w:sz w:val="21"/>
                <w:szCs w:val="21"/>
                <w:lang w:val="en-US" w:eastAsia="zh-CN" w:bidi="lo-LA"/>
              </w:rPr>
              <w:t>中标单位所供产品应是其在投标文件中附明的医疗器械注册证或备案凭证下的产品，不得提供过期的旧注册证下的产品。若在供货时，中标产品的注册证发生合法合规延续，经医院同意后中标单位方可提供延续后的最新注册证下的同型号产品。</w:t>
            </w:r>
          </w:p>
        </w:tc>
      </w:tr>
      <w:tr>
        <w:tblPrEx>
          <w:tblCellMar>
            <w:top w:w="0" w:type="dxa"/>
            <w:left w:w="108" w:type="dxa"/>
            <w:bottom w:w="0" w:type="dxa"/>
            <w:right w:w="108" w:type="dxa"/>
          </w:tblCellMar>
        </w:tblPrEx>
        <w:trPr>
          <w:trHeight w:val="679" w:hRule="atLeast"/>
        </w:trPr>
        <w:tc>
          <w:tcPr>
            <w:tcW w:w="853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注：1.“参数性质”标“*”表示此参数为主要技术参数，不满足任意1条即取消投标资格。</w:t>
            </w:r>
          </w:p>
          <w:p>
            <w:pPr>
              <w:widowControl/>
              <w:spacing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2.非主要技术参数，超过2条不满足即取消投标资格。</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numPr>
          <w:ilvl w:val="0"/>
          <w:numId w:val="0"/>
        </w:num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 xml:space="preserve">评标方法及评标细则要求 </w:t>
      </w:r>
      <w:r>
        <w:rPr>
          <w:rFonts w:hint="eastAsia" w:eastAsia="宋体" w:asciiTheme="minorEastAsia" w:hAnsiTheme="minorEastAsia"/>
          <w:b/>
          <w:sz w:val="24"/>
          <w:szCs w:val="24"/>
          <w:lang w:val="en-US" w:eastAsia="zh-CN"/>
        </w:rPr>
        <w:t>最低价</w:t>
      </w:r>
      <w:r>
        <w:rPr>
          <w:rFonts w:hint="eastAsia" w:asciiTheme="minorEastAsia" w:hAnsiTheme="minorEastAsia"/>
          <w:b/>
          <w:sz w:val="24"/>
          <w:szCs w:val="24"/>
        </w:rPr>
        <w:t>法</w:t>
      </w:r>
    </w:p>
    <w:tbl>
      <w:tblPr>
        <w:tblStyle w:val="9"/>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审查投标人2021年或2022年度经会计事务所出具的财务审计报告或其基本开户银行出具的近一年内的银行资信证明。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w:t>
            </w:r>
            <w:r>
              <w:rPr>
                <w:rFonts w:hint="eastAsia" w:ascii="宋体" w:hAnsi="宋体" w:eastAsia="宋体" w:cs="宋体"/>
                <w:sz w:val="21"/>
                <w:szCs w:val="21"/>
                <w:lang w:val="en-US" w:eastAsia="zh-CN"/>
              </w:rPr>
              <w:t>一年</w:t>
            </w:r>
            <w:r>
              <w:rPr>
                <w:rFonts w:hint="eastAsia" w:ascii="宋体" w:hAnsi="宋体" w:eastAsia="宋体" w:cs="宋体"/>
                <w:sz w:val="21"/>
                <w:szCs w:val="21"/>
              </w:rPr>
              <w:t>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w:t>
            </w:r>
            <w:r>
              <w:rPr>
                <w:rFonts w:hint="eastAsia" w:ascii="宋体" w:hAnsi="宋体" w:eastAsia="宋体" w:cs="宋体"/>
                <w:sz w:val="21"/>
                <w:szCs w:val="21"/>
                <w:lang w:val="en-US" w:eastAsia="zh-CN"/>
              </w:rPr>
              <w:t>一年</w:t>
            </w:r>
            <w:r>
              <w:rPr>
                <w:rFonts w:hint="eastAsia" w:ascii="宋体" w:hAnsi="宋体" w:eastAsia="宋体" w:cs="宋体"/>
                <w:sz w:val="21"/>
                <w:szCs w:val="21"/>
              </w:rPr>
              <w:t>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w:t>
            </w:r>
            <w:r>
              <w:rPr>
                <w:rFonts w:hint="eastAsia" w:ascii="宋体" w:hAnsi="宋体" w:eastAsia="宋体" w:cs="宋体"/>
                <w:b/>
                <w:bCs/>
                <w:color w:val="FF0000"/>
                <w:sz w:val="21"/>
                <w:szCs w:val="21"/>
                <w:lang w:val="en-US" w:eastAsia="zh-CN"/>
              </w:rPr>
              <w:t>以上三项</w:t>
            </w:r>
            <w:r>
              <w:rPr>
                <w:rFonts w:hint="eastAsia" w:ascii="宋体" w:hAnsi="宋体" w:eastAsia="宋体" w:cs="宋体"/>
                <w:sz w:val="21"/>
                <w:szCs w:val="21"/>
              </w:rPr>
              <w:t>信用记录截图</w:t>
            </w:r>
            <w:r>
              <w:rPr>
                <w:rFonts w:hint="eastAsia" w:ascii="宋体" w:hAnsi="宋体" w:eastAsia="宋体" w:cs="宋体"/>
                <w:sz w:val="21"/>
                <w:szCs w:val="21"/>
                <w:lang w:val="en-US" w:eastAsia="zh-CN"/>
              </w:rPr>
              <w:t>或</w:t>
            </w:r>
            <w:r>
              <w:rPr>
                <w:rFonts w:hint="eastAsia" w:ascii="宋体" w:hAnsi="宋体" w:eastAsia="宋体" w:cs="宋体"/>
                <w:sz w:val="21"/>
                <w:szCs w:val="21"/>
              </w:rPr>
              <w:t>评标现场核实情况为准）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市中心医院北门西侧人行道路北，好加汇胡同内向北走50米，路东院内办公楼（原工商所办公楼）三楼307室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市中心医院北门西侧人行道路北，好加汇胡同内向北走50米，路东院内办公楼（原工商所办公楼）三楼会议室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482" w:firstLineChars="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0"/>
        </w:numPr>
        <w:wordWrap w:val="0"/>
        <w:autoSpaceDE/>
        <w:autoSpaceDN/>
        <w:bidi w:val="0"/>
        <w:snapToGrid/>
        <w:spacing w:line="360" w:lineRule="auto"/>
        <w:ind w:leftChars="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（四）质疑电话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五、投标失信行为黑名单制度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六、合同签订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2881" w:firstLineChars="900"/>
        <w:jc w:val="both"/>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bookmarkStart w:id="0" w:name="_Toc422403383"/>
    </w:p>
    <w:p/>
    <w:p/>
    <w:p>
      <w:pPr>
        <w:pStyle w:val="4"/>
      </w:pPr>
    </w:p>
    <w:p/>
    <w:p>
      <w:pPr>
        <w:pStyle w:val="4"/>
      </w:pPr>
    </w:p>
    <w:p/>
    <w:p>
      <w:pPr>
        <w:pStyle w:val="4"/>
      </w:pPr>
    </w:p>
    <w:p/>
    <w:p>
      <w:pPr>
        <w:pStyle w:val="4"/>
      </w:pPr>
    </w:p>
    <w:p/>
    <w:p>
      <w:pPr>
        <w:pStyle w:val="4"/>
      </w:pPr>
    </w:p>
    <w:p/>
    <w:p>
      <w:pPr>
        <w:pStyle w:val="4"/>
      </w:pPr>
    </w:p>
    <w:p/>
    <w:p>
      <w:pPr>
        <w:pStyle w:val="4"/>
      </w:pPr>
    </w:p>
    <w:p/>
    <w:p>
      <w:pPr>
        <w:pStyle w:val="4"/>
      </w:pPr>
    </w:p>
    <w:p/>
    <w:p>
      <w:pPr>
        <w:pStyle w:val="4"/>
      </w:pPr>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9"/>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十六、产品彩页（如有）</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十七、产品配置清单</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十八、其他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1">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2">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ODJiNTA2YzcwNjRjMjc0NmI4NDEwZTY3NjFjMGZmNzEifQ=="/>
  </w:docVars>
  <w:rsids>
    <w:rsidRoot w:val="00000000"/>
    <w:rsid w:val="002C273F"/>
    <w:rsid w:val="00556401"/>
    <w:rsid w:val="036C2F53"/>
    <w:rsid w:val="05076A5B"/>
    <w:rsid w:val="06B07F83"/>
    <w:rsid w:val="0DA07F51"/>
    <w:rsid w:val="10D60D02"/>
    <w:rsid w:val="11AB1717"/>
    <w:rsid w:val="11D62B4A"/>
    <w:rsid w:val="11EF4694"/>
    <w:rsid w:val="150E71F6"/>
    <w:rsid w:val="1696735F"/>
    <w:rsid w:val="16E14FBF"/>
    <w:rsid w:val="19545A30"/>
    <w:rsid w:val="198E5E9E"/>
    <w:rsid w:val="19BD2CB7"/>
    <w:rsid w:val="1BB9254A"/>
    <w:rsid w:val="1DCA77EF"/>
    <w:rsid w:val="1ED20D4A"/>
    <w:rsid w:val="20341AF8"/>
    <w:rsid w:val="216D46C6"/>
    <w:rsid w:val="224C6733"/>
    <w:rsid w:val="23507ADC"/>
    <w:rsid w:val="24A7212A"/>
    <w:rsid w:val="25757733"/>
    <w:rsid w:val="26470B4A"/>
    <w:rsid w:val="264C5CB0"/>
    <w:rsid w:val="266437D3"/>
    <w:rsid w:val="267A5F90"/>
    <w:rsid w:val="26915EA6"/>
    <w:rsid w:val="276714E7"/>
    <w:rsid w:val="281659F6"/>
    <w:rsid w:val="293A1937"/>
    <w:rsid w:val="2B28723B"/>
    <w:rsid w:val="2B5C1706"/>
    <w:rsid w:val="2B8A6B32"/>
    <w:rsid w:val="2BAC4D24"/>
    <w:rsid w:val="2D1D3BDB"/>
    <w:rsid w:val="2D833519"/>
    <w:rsid w:val="2DFB03C5"/>
    <w:rsid w:val="2F20646C"/>
    <w:rsid w:val="2FC378C6"/>
    <w:rsid w:val="2FDF17DF"/>
    <w:rsid w:val="302671DA"/>
    <w:rsid w:val="30D15875"/>
    <w:rsid w:val="32441EA5"/>
    <w:rsid w:val="3281623F"/>
    <w:rsid w:val="32944704"/>
    <w:rsid w:val="34D54377"/>
    <w:rsid w:val="378A70E6"/>
    <w:rsid w:val="37FC75FC"/>
    <w:rsid w:val="383D56F7"/>
    <w:rsid w:val="393C0F46"/>
    <w:rsid w:val="3E650D1D"/>
    <w:rsid w:val="3E9002A8"/>
    <w:rsid w:val="3F552A03"/>
    <w:rsid w:val="44AA028A"/>
    <w:rsid w:val="4603606C"/>
    <w:rsid w:val="47C04769"/>
    <w:rsid w:val="486160DA"/>
    <w:rsid w:val="489F057B"/>
    <w:rsid w:val="4AED3729"/>
    <w:rsid w:val="4E473895"/>
    <w:rsid w:val="50110E80"/>
    <w:rsid w:val="511070DA"/>
    <w:rsid w:val="53560822"/>
    <w:rsid w:val="557D67C8"/>
    <w:rsid w:val="571E5CB6"/>
    <w:rsid w:val="59137211"/>
    <w:rsid w:val="5C344BB6"/>
    <w:rsid w:val="5DFF20EB"/>
    <w:rsid w:val="5E1C5429"/>
    <w:rsid w:val="5ED418C8"/>
    <w:rsid w:val="5EF71E76"/>
    <w:rsid w:val="616C33F6"/>
    <w:rsid w:val="62DE1443"/>
    <w:rsid w:val="62E24E32"/>
    <w:rsid w:val="64E47B74"/>
    <w:rsid w:val="6585763E"/>
    <w:rsid w:val="661108EC"/>
    <w:rsid w:val="669049D8"/>
    <w:rsid w:val="67D14995"/>
    <w:rsid w:val="6C0D60E9"/>
    <w:rsid w:val="6D4F63E7"/>
    <w:rsid w:val="6EF0008F"/>
    <w:rsid w:val="6F3911E0"/>
    <w:rsid w:val="6F5104C0"/>
    <w:rsid w:val="719B7B32"/>
    <w:rsid w:val="71DA20A9"/>
    <w:rsid w:val="75080C92"/>
    <w:rsid w:val="78564BB1"/>
    <w:rsid w:val="7A8D5099"/>
    <w:rsid w:val="7BB21433"/>
    <w:rsid w:val="7F112C06"/>
    <w:rsid w:val="7F215BB4"/>
    <w:rsid w:val="7F5512D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autoRedefine/>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autoRedefine/>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11">
    <w:name w:val="Default Paragraph Font"/>
    <w:autoRedefine/>
    <w:semiHidden/>
    <w:qFormat/>
    <w:uiPriority w:val="2"/>
  </w:style>
  <w:style w:type="table" w:default="1" w:styleId="9">
    <w:name w:val="Normal Table"/>
    <w:autoRedefine/>
    <w:semiHidden/>
    <w:qFormat/>
    <w:uiPriority w:val="3"/>
    <w:tblPr>
      <w:tblCellMar>
        <w:top w:w="0" w:type="dxa"/>
        <w:left w:w="108" w:type="dxa"/>
        <w:bottom w:w="0" w:type="dxa"/>
        <w:right w:w="108" w:type="dxa"/>
      </w:tblCellMar>
    </w:tblPr>
  </w:style>
  <w:style w:type="paragraph" w:styleId="4">
    <w:name w:val="Plain Text"/>
    <w:basedOn w:val="5"/>
    <w:next w:val="1"/>
    <w:autoRedefine/>
    <w:qFormat/>
    <w:uiPriority w:val="0"/>
    <w:rPr>
      <w:rFonts w:ascii="宋体" w:hAnsi="Courier New"/>
    </w:rPr>
  </w:style>
  <w:style w:type="paragraph" w:customStyle="1" w:styleId="5">
    <w:name w:val="Normal_6"/>
    <w:next w:val="4"/>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6">
    <w:name w:val="footer"/>
    <w:basedOn w:val="1"/>
    <w:autoRedefine/>
    <w:qFormat/>
    <w:uiPriority w:val="151"/>
    <w:pPr>
      <w:tabs>
        <w:tab w:val="center" w:pos="4153"/>
        <w:tab w:val="right" w:pos="8306"/>
      </w:tabs>
      <w:snapToGrid w:val="0"/>
      <w:jc w:val="left"/>
    </w:pPr>
    <w:rPr>
      <w:sz w:val="18"/>
      <w:szCs w:val="18"/>
    </w:rPr>
  </w:style>
  <w:style w:type="paragraph" w:styleId="7">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8">
    <w:name w:val="Normal (Web)"/>
    <w:basedOn w:val="1"/>
    <w:autoRedefine/>
    <w:qFormat/>
    <w:uiPriority w:val="153"/>
    <w:pPr>
      <w:spacing w:before="0" w:beforeAutospacing="1" w:after="0" w:afterAutospacing="1"/>
      <w:ind w:left="0" w:right="0" w:firstLine="0"/>
      <w:jc w:val="left"/>
    </w:pPr>
    <w:rPr>
      <w:sz w:val="24"/>
      <w:szCs w:val="24"/>
      <w:lang w:val="en-US" w:eastAsia="zh-CN" w:bidi="zh-CN"/>
    </w:rPr>
  </w:style>
  <w:style w:type="table" w:styleId="10">
    <w:name w:val="Table Grid"/>
    <w:basedOn w:val="9"/>
    <w:autoRedefine/>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autoRedefine/>
    <w:qFormat/>
    <w:uiPriority w:val="26"/>
    <w:pPr>
      <w:ind w:firstLine="200"/>
    </w:pPr>
    <w:rPr>
      <w:rFonts w:ascii="Times New Roman" w:hAnsi="Times New Roman" w:eastAsia="宋体" w:cs="Times New Roman"/>
      <w:sz w:val="28"/>
      <w:szCs w:val="28"/>
    </w:rPr>
  </w:style>
  <w:style w:type="character" w:customStyle="1" w:styleId="13">
    <w:name w:val="NormalCharacter"/>
    <w:link w:val="1"/>
    <w:autoRedefine/>
    <w:qFormat/>
    <w:uiPriority w:val="154"/>
    <w:rPr>
      <w:rFonts w:asciiTheme="minorHAnsi" w:hAnsiTheme="minorHAnsi" w:eastAsiaTheme="minorEastAsia" w:cstheme="minorBidi"/>
      <w:sz w:val="21"/>
      <w:szCs w:val="21"/>
      <w:lang w:val="en-US" w:eastAsia="zh-CN" w:bidi="ar-SA"/>
    </w:rPr>
  </w:style>
  <w:style w:type="character" w:customStyle="1" w:styleId="14">
    <w:name w:val="font11"/>
    <w:basedOn w:val="11"/>
    <w:autoRedefine/>
    <w:qFormat/>
    <w:uiPriority w:val="0"/>
    <w:rPr>
      <w:rFonts w:hint="eastAsia" w:ascii="宋体" w:hAnsi="宋体" w:eastAsia="宋体" w:cs="宋体"/>
      <w:color w:val="000000"/>
      <w:sz w:val="24"/>
      <w:szCs w:val="24"/>
      <w:u w:val="none"/>
    </w:rPr>
  </w:style>
  <w:style w:type="character" w:customStyle="1" w:styleId="15">
    <w:name w:val="font31"/>
    <w:basedOn w:val="11"/>
    <w:autoRedefine/>
    <w:qFormat/>
    <w:uiPriority w:val="0"/>
    <w:rPr>
      <w:rFonts w:hint="eastAsia" w:ascii="宋体" w:hAnsi="宋体" w:eastAsia="宋体" w:cs="宋体"/>
      <w:color w:val="000000"/>
      <w:sz w:val="21"/>
      <w:szCs w:val="21"/>
      <w:u w:val="none"/>
    </w:rPr>
  </w:style>
  <w:style w:type="paragraph" w:customStyle="1" w:styleId="16">
    <w:name w:val="List Paragraph_4824d229-415e-4c56-a884-f4834b61f8de"/>
    <w:basedOn w:val="1"/>
    <w:autoRedefine/>
    <w:qFormat/>
    <w:uiPriority w:val="34"/>
    <w:pPr>
      <w:ind w:firstLine="420" w:firstLineChars="200"/>
    </w:pPr>
    <w:rPr>
      <w:rFonts w:ascii="Times New Roman" w:hAnsi="Times New Roman" w:eastAsia="宋体" w:cs="Times New Roman"/>
      <w:sz w:val="28"/>
      <w:szCs w:val="21"/>
    </w:rPr>
  </w:style>
  <w:style w:type="character" w:customStyle="1" w:styleId="17">
    <w:name w:val="font41"/>
    <w:basedOn w:val="11"/>
    <w:autoRedefine/>
    <w:qFormat/>
    <w:uiPriority w:val="0"/>
    <w:rPr>
      <w:rFonts w:ascii="Calibri" w:hAnsi="Calibri" w:cs="Calibri"/>
      <w:color w:val="000000"/>
      <w:sz w:val="28"/>
      <w:szCs w:val="28"/>
      <w:u w:val="none"/>
    </w:rPr>
  </w:style>
  <w:style w:type="character" w:customStyle="1" w:styleId="18">
    <w:name w:val="font21"/>
    <w:basedOn w:val="11"/>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6874</Words>
  <Characters>7938</Characters>
  <Lines>0</Lines>
  <Paragraphs>0</Paragraphs>
  <TotalTime>0</TotalTime>
  <ScaleCrop>false</ScaleCrop>
  <LinksUpToDate>false</LinksUpToDate>
  <CharactersWithSpaces>8255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安于現狀╮</cp:lastModifiedBy>
  <dcterms:modified xsi:type="dcterms:W3CDTF">2024-03-27T09:07:49Z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903B790BA9F74774A3EEFFFAFBBF033A_13</vt:lpwstr>
  </property>
  <property fmtid="{D5CDD505-2E9C-101B-9397-08002B2CF9AE}" pid="4" name="commondata">
    <vt:lpwstr>eyJoZGlkIjoiM2I5YmQyM2VlMzIyNzg3MTM0MjMzMjczYWU0N2U3MTcifQ==</vt:lpwstr>
  </property>
</Properties>
</file>