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b/>
          <w:bCs/>
          <w:sz w:val="44"/>
          <w:szCs w:val="44"/>
          <w:lang w:val="en-US" w:eastAsia="zh-CN"/>
        </w:rPr>
      </w:pPr>
      <w:r>
        <w:rPr>
          <w:rFonts w:hint="eastAsia"/>
          <w:b/>
          <w:bCs/>
          <w:sz w:val="44"/>
          <w:szCs w:val="44"/>
          <w:lang w:val="en-US" w:eastAsia="zh-CN"/>
        </w:rPr>
        <w:t xml:space="preserve"> </w:t>
      </w: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jc w:val="center"/>
        <w:rPr>
          <w:rFonts w:hint="eastAsia"/>
          <w:b/>
          <w:bCs/>
          <w:sz w:val="28"/>
          <w:szCs w:val="28"/>
          <w:lang w:val="en-US" w:eastAsia="zh-CN"/>
        </w:rPr>
      </w:pPr>
      <w:r>
        <w:rPr>
          <w:rFonts w:hint="eastAsia"/>
          <w:b/>
          <w:bCs/>
          <w:sz w:val="28"/>
          <w:szCs w:val="28"/>
          <w:lang w:val="en-US" w:eastAsia="zh-CN"/>
        </w:rPr>
        <w:drawing>
          <wp:inline distT="0" distB="0" distL="114300" distR="114300">
            <wp:extent cx="2570480" cy="257048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2570480" cy="2570480"/>
                    </a:xfrm>
                    <a:prstGeom prst="rect">
                      <a:avLst/>
                    </a:prstGeom>
                  </pic:spPr>
                </pic:pic>
              </a:graphicData>
            </a:graphic>
          </wp:inline>
        </w:drawing>
      </w:r>
    </w:p>
    <w:p>
      <w:pPr>
        <w:numPr>
          <w:ilvl w:val="0"/>
          <w:numId w:val="0"/>
        </w:numPr>
        <w:rPr>
          <w:rFonts w:hint="eastAsia"/>
          <w:lang w:val="en-US" w:eastAsia="zh-CN"/>
        </w:rPr>
      </w:pPr>
      <w:r>
        <w:rPr>
          <w:rFonts w:hint="eastAsia"/>
          <w:lang w:val="en-US" w:eastAsia="zh-CN"/>
        </w:rPr>
        <w:t xml:space="preserve">                          </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ind w:firstLine="4200" w:firstLineChars="1500"/>
        <w:rPr>
          <w:rFonts w:hint="eastAsia"/>
          <w:b w:val="0"/>
          <w:bCs w:val="0"/>
          <w:sz w:val="28"/>
          <w:szCs w:val="28"/>
          <w:lang w:val="en-US" w:eastAsia="zh-CN"/>
        </w:rPr>
      </w:pPr>
    </w:p>
    <w:p>
      <w:pPr>
        <w:numPr>
          <w:ilvl w:val="0"/>
          <w:numId w:val="0"/>
        </w:numPr>
        <w:ind w:firstLine="1446" w:firstLineChars="400"/>
        <w:jc w:val="left"/>
        <w:rPr>
          <w:rFonts w:hint="eastAsia"/>
          <w:b/>
          <w:bCs/>
          <w:sz w:val="36"/>
          <w:szCs w:val="36"/>
          <w:lang w:val="en-US" w:eastAsia="zh-CN"/>
        </w:rPr>
      </w:pPr>
      <w:r>
        <w:rPr>
          <w:rFonts w:hint="eastAsia"/>
          <w:b/>
          <w:bCs/>
          <w:sz w:val="36"/>
          <w:szCs w:val="36"/>
          <w:lang w:val="en-US" w:eastAsia="zh-CN"/>
        </w:rPr>
        <w:t>康巴什部摄像机更换及新增项目</w:t>
      </w:r>
    </w:p>
    <w:p>
      <w:pPr>
        <w:numPr>
          <w:ilvl w:val="0"/>
          <w:numId w:val="0"/>
        </w:numPr>
        <w:ind w:firstLine="2530" w:firstLineChars="700"/>
        <w:jc w:val="left"/>
        <w:rPr>
          <w:rFonts w:hint="default"/>
          <w:b/>
          <w:bCs/>
          <w:sz w:val="36"/>
          <w:szCs w:val="36"/>
          <w:lang w:val="en-US" w:eastAsia="zh-CN"/>
        </w:rPr>
      </w:pPr>
      <w:r>
        <w:rPr>
          <w:rFonts w:hint="eastAsia"/>
          <w:b/>
          <w:bCs/>
          <w:sz w:val="36"/>
          <w:szCs w:val="36"/>
          <w:lang w:val="en-US" w:eastAsia="zh-CN"/>
        </w:rPr>
        <w:t>2024年4月15日</w:t>
      </w:r>
      <w:bookmarkStart w:id="1" w:name="_GoBack"/>
      <w:bookmarkEnd w:id="1"/>
    </w:p>
    <w:p>
      <w:pPr>
        <w:numPr>
          <w:ilvl w:val="0"/>
          <w:numId w:val="0"/>
        </w:numPr>
        <w:rPr>
          <w:rFonts w:hint="default"/>
          <w:b/>
          <w:bCs/>
          <w:sz w:val="28"/>
          <w:szCs w:val="28"/>
          <w:lang w:val="en-US" w:eastAsia="zh-CN"/>
        </w:rPr>
      </w:pPr>
      <w:r>
        <w:rPr>
          <w:rFonts w:hint="eastAsia"/>
          <w:b/>
          <w:bCs/>
          <w:sz w:val="28"/>
          <w:szCs w:val="28"/>
          <w:lang w:val="en-US" w:eastAsia="zh-CN"/>
        </w:rPr>
        <w:t xml:space="preserve">  </w:t>
      </w:r>
    </w:p>
    <w:p>
      <w:pPr>
        <w:numPr>
          <w:ilvl w:val="0"/>
          <w:numId w:val="0"/>
        </w:numPr>
        <w:ind w:firstLine="562" w:firstLineChars="200"/>
        <w:rPr>
          <w:rFonts w:hint="eastAsia"/>
          <w:b/>
          <w:bCs/>
          <w:sz w:val="28"/>
          <w:szCs w:val="28"/>
          <w:lang w:val="en-US" w:eastAsia="zh-CN"/>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                                       货币单位：元</w:t>
      </w:r>
    </w:p>
    <w:tbl>
      <w:tblPr>
        <w:tblStyle w:val="13"/>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743"/>
        <w:gridCol w:w="1590"/>
        <w:gridCol w:w="1261"/>
        <w:gridCol w:w="1214"/>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4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名称</w:t>
            </w:r>
          </w:p>
        </w:tc>
        <w:tc>
          <w:tcPr>
            <w:tcW w:w="1590" w:type="dxa"/>
            <w:vAlign w:val="center"/>
          </w:tcPr>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单位</w:t>
            </w:r>
          </w:p>
        </w:tc>
        <w:tc>
          <w:tcPr>
            <w:tcW w:w="1261" w:type="dxa"/>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数量</w:t>
            </w:r>
          </w:p>
        </w:tc>
        <w:tc>
          <w:tcPr>
            <w:tcW w:w="1214"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720"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93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43"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宋体" w:hAnsi="宋体" w:eastAsia="宋体" w:cs="宋体"/>
                <w:sz w:val="24"/>
                <w:szCs w:val="24"/>
                <w:lang w:val="en-US" w:eastAsia="zh-CN"/>
              </w:rPr>
              <w:t>康巴什部摄像机更换及新增项目</w:t>
            </w:r>
          </w:p>
        </w:tc>
        <w:tc>
          <w:tcPr>
            <w:tcW w:w="1590" w:type="dxa"/>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1261" w:type="dxa"/>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14" w:type="dxa"/>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333600</w:t>
            </w:r>
          </w:p>
        </w:tc>
        <w:tc>
          <w:tcPr>
            <w:tcW w:w="1720" w:type="dxa"/>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39" w:type="dxa"/>
            <w:vAlign w:val="center"/>
          </w:tcPr>
          <w:p>
            <w:pPr>
              <w:jc w:val="center"/>
              <w:rPr>
                <w:rFonts w:hint="eastAsia" w:ascii="宋体" w:hAnsi="宋体" w:eastAsia="宋体" w:cs="宋体"/>
                <w:sz w:val="24"/>
                <w:szCs w:val="24"/>
                <w:lang w:val="en-US" w:eastAsia="zh-CN"/>
              </w:rPr>
            </w:pPr>
          </w:p>
        </w:tc>
        <w:tc>
          <w:tcPr>
            <w:tcW w:w="5808" w:type="dxa"/>
            <w:gridSpan w:val="4"/>
            <w:vAlign w:val="center"/>
          </w:tcPr>
          <w:p>
            <w:pPr>
              <w:ind w:firstLine="960" w:firstLineChars="4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720" w:type="dxa"/>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bidi="ar-SA"/>
              </w:rPr>
              <w:t>333600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93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74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交付使用时间</w:t>
            </w:r>
          </w:p>
        </w:tc>
        <w:tc>
          <w:tcPr>
            <w:tcW w:w="5785" w:type="dxa"/>
            <w:gridSpan w:val="4"/>
            <w:vAlign w:val="center"/>
          </w:tcPr>
          <w:p>
            <w:pPr>
              <w:numPr>
                <w:ilvl w:val="0"/>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合同签订后30日内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743"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5785"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设备安装调试验收合格正常使用后，支付合同金额的95%，使用一年后支付剩余5。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743"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质保期</w:t>
            </w:r>
          </w:p>
        </w:tc>
        <w:tc>
          <w:tcPr>
            <w:tcW w:w="5785"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74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服务地点</w:t>
            </w:r>
          </w:p>
        </w:tc>
        <w:tc>
          <w:tcPr>
            <w:tcW w:w="5785"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康巴什部</w:t>
            </w:r>
          </w:p>
        </w:tc>
      </w:tr>
    </w:tbl>
    <w:p>
      <w:pPr>
        <w:rPr>
          <w:rFonts w:hint="eastAsia" w:hAnsi="宋体"/>
          <w:sz w:val="24"/>
          <w:szCs w:val="24"/>
        </w:rPr>
      </w:pPr>
    </w:p>
    <w:p>
      <w:pPr>
        <w:pStyle w:val="4"/>
        <w:rPr>
          <w:rFonts w:hint="default" w:hAnsi="宋体" w:eastAsia="微软雅黑"/>
          <w:sz w:val="24"/>
          <w:szCs w:val="24"/>
          <w:lang w:val="en-US" w:eastAsia="zh-CN"/>
        </w:rPr>
      </w:pPr>
      <w:r>
        <w:rPr>
          <w:rFonts w:hint="eastAsia" w:hAnsi="宋体"/>
          <w:sz w:val="24"/>
          <w:szCs w:val="24"/>
          <w:lang w:val="en-US" w:eastAsia="zh-CN"/>
        </w:rPr>
        <w:t>二、技术要求</w:t>
      </w:r>
    </w:p>
    <w:p>
      <w:pPr>
        <w:spacing w:line="360" w:lineRule="auto"/>
        <w:jc w:val="left"/>
        <w:rPr>
          <w:rFonts w:hint="default" w:ascii="宋体" w:hAnsi="宋体" w:eastAsia="宋体"/>
          <w:sz w:val="24"/>
          <w:szCs w:val="24"/>
          <w:u w:val="single"/>
          <w:lang w:val="en-US" w:eastAsia="zh-CN"/>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eastAsia="zh-CN"/>
        </w:rPr>
        <w:t>共一包，</w:t>
      </w:r>
      <w:r>
        <w:rPr>
          <w:rFonts w:hint="eastAsia" w:ascii="宋体" w:hAnsi="宋体"/>
          <w:sz w:val="24"/>
          <w:szCs w:val="24"/>
          <w:u w:val="single"/>
        </w:rPr>
        <w:t>包含</w:t>
      </w:r>
      <w:r>
        <w:rPr>
          <w:rFonts w:hint="eastAsia" w:ascii="宋体" w:hAnsi="宋体"/>
          <w:sz w:val="24"/>
          <w:szCs w:val="24"/>
          <w:u w:val="single"/>
          <w:lang w:val="en-US" w:eastAsia="zh-CN"/>
        </w:rPr>
        <w:t>监控设备的安装、调试。</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12"/>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400万半球网络摄像机</w:t>
            </w:r>
          </w:p>
        </w:tc>
        <w:tc>
          <w:tcPr>
            <w:tcW w:w="2417" w:type="dxa"/>
            <w:tcBorders>
              <w:top w:val="nil"/>
              <w:left w:val="single" w:color="auto" w:sz="4" w:space="0"/>
              <w:bottom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400</w:t>
            </w:r>
          </w:p>
        </w:tc>
        <w:tc>
          <w:tcPr>
            <w:tcW w:w="9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27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电梯摄像机</w:t>
            </w:r>
          </w:p>
        </w:tc>
        <w:tc>
          <w:tcPr>
            <w:tcW w:w="2417" w:type="dxa"/>
            <w:tcBorders>
              <w:top w:val="nil"/>
              <w:left w:val="single" w:color="auto" w:sz="4" w:space="0"/>
              <w:bottom w:val="single" w:color="auto" w:sz="4" w:space="0"/>
            </w:tcBorders>
            <w:noWrap w:val="0"/>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2</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33</w:t>
            </w:r>
          </w:p>
        </w:tc>
        <w:tc>
          <w:tcPr>
            <w:tcW w:w="9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27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电梯摄像机电源</w:t>
            </w:r>
          </w:p>
        </w:tc>
        <w:tc>
          <w:tcPr>
            <w:tcW w:w="2417" w:type="dxa"/>
            <w:tcBorders>
              <w:top w:val="nil"/>
              <w:left w:val="single" w:color="auto" w:sz="4" w:space="0"/>
              <w:bottom w:val="single" w:color="auto" w:sz="4" w:space="0"/>
            </w:tcBorders>
            <w:noWrap w:val="0"/>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3</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33</w:t>
            </w:r>
          </w:p>
        </w:tc>
        <w:tc>
          <w:tcPr>
            <w:tcW w:w="9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个</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27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无线网桥</w:t>
            </w:r>
          </w:p>
        </w:tc>
        <w:tc>
          <w:tcPr>
            <w:tcW w:w="2417" w:type="dxa"/>
            <w:tcBorders>
              <w:top w:val="nil"/>
              <w:left w:val="single" w:color="auto" w:sz="4" w:space="0"/>
              <w:bottom w:val="single" w:color="auto" w:sz="4" w:space="0"/>
            </w:tcBorders>
            <w:noWrap w:val="0"/>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4</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36</w:t>
            </w:r>
          </w:p>
        </w:tc>
        <w:tc>
          <w:tcPr>
            <w:tcW w:w="9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对</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5</w:t>
            </w:r>
          </w:p>
        </w:tc>
        <w:tc>
          <w:tcPr>
            <w:tcW w:w="27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24口千兆POE交换机</w:t>
            </w:r>
          </w:p>
        </w:tc>
        <w:tc>
          <w:tcPr>
            <w:tcW w:w="2417" w:type="dxa"/>
            <w:tcBorders>
              <w:top w:val="nil"/>
              <w:left w:val="single" w:color="auto" w:sz="4" w:space="0"/>
              <w:bottom w:val="single" w:color="auto" w:sz="4" w:space="0"/>
            </w:tcBorders>
            <w:noWrap w:val="0"/>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5</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10</w:t>
            </w:r>
          </w:p>
        </w:tc>
        <w:tc>
          <w:tcPr>
            <w:tcW w:w="9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27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网线</w:t>
            </w:r>
          </w:p>
        </w:tc>
        <w:tc>
          <w:tcPr>
            <w:tcW w:w="2417" w:type="dxa"/>
            <w:tcBorders>
              <w:top w:val="nil"/>
              <w:left w:val="single" w:color="auto" w:sz="4" w:space="0"/>
              <w:bottom w:val="single" w:color="auto" w:sz="4" w:space="0"/>
            </w:tcBorders>
            <w:noWrap w:val="0"/>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6</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3000</w:t>
            </w:r>
          </w:p>
        </w:tc>
        <w:tc>
          <w:tcPr>
            <w:tcW w:w="9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米</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7</w:t>
            </w:r>
          </w:p>
        </w:tc>
        <w:tc>
          <w:tcPr>
            <w:tcW w:w="27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摄像机拆装和调试</w:t>
            </w:r>
          </w:p>
        </w:tc>
        <w:tc>
          <w:tcPr>
            <w:tcW w:w="2417" w:type="dxa"/>
            <w:tcBorders>
              <w:top w:val="nil"/>
              <w:left w:val="single" w:color="auto" w:sz="4" w:space="0"/>
              <w:bottom w:val="single" w:color="auto" w:sz="4" w:space="0"/>
            </w:tcBorders>
            <w:noWrap w:val="0"/>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7</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项</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w:t>
            </w:r>
          </w:p>
        </w:tc>
        <w:tc>
          <w:tcPr>
            <w:tcW w:w="27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辅材</w:t>
            </w:r>
          </w:p>
        </w:tc>
        <w:tc>
          <w:tcPr>
            <w:tcW w:w="2417" w:type="dxa"/>
            <w:tcBorders>
              <w:top w:val="nil"/>
              <w:left w:val="single" w:color="auto" w:sz="4" w:space="0"/>
              <w:bottom w:val="single" w:color="auto" w:sz="4" w:space="0"/>
            </w:tcBorders>
            <w:noWrap w:val="0"/>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8</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批</w:t>
            </w:r>
          </w:p>
        </w:tc>
      </w:tr>
    </w:tbl>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kern w:val="0"/>
          <w:sz w:val="24"/>
          <w:szCs w:val="24"/>
          <w:lang w:eastAsia="zh-CN"/>
        </w:rPr>
        <w:t>400万半球网络摄像机</w:t>
      </w:r>
      <w:r>
        <w:rPr>
          <w:rFonts w:hint="eastAsia" w:ascii="宋体" w:hAnsi="宋体" w:cs="宋体"/>
          <w:sz w:val="24"/>
          <w:szCs w:val="24"/>
        </w:rPr>
        <w:t>。</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400万半球网络摄像机：</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1.像素:400万；最高分辨率:2688×1520；传感器类型:1/3英寸CMOS；光圈:F1.6</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eastAsia="zh-CN"/>
              </w:rPr>
              <w:t>补光模式:红外补光；补光距离:≥30m</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宽动态:光学宽动态:≥120dB</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视频参数:主流：2688*1520@25fps（默认）、2688*1520@30fps、2560*1440@25fps、2560*1440@30fps、2304*1296@30fps、2304*1296@25fps、1920*1080@25fps、1920*1080@30fps；辅流：1280*720、720*576（默认）、640*360；三流：720*576、640*360、704*288、352*288（默认）</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智能编码：H.264:支持H.265:支持</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1.6</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报警事件：网络断开；IP冲突；非法访问；动态检测；视频遮挡；绊线入侵；区域入侵；音频异常侦测；电压检测；动检（人形）；安全异常</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1.7</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内置一个麦克风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1.8</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电源:DC12V（±30%）；POE （802.3af）</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1.9</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防水防尘:IP67</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2</w:t>
      </w:r>
      <w:r>
        <w:rPr>
          <w:rFonts w:hint="eastAsia" w:ascii="宋体" w:hAnsi="宋体" w:cs="宋体"/>
          <w:kern w:val="0"/>
          <w:sz w:val="21"/>
          <w:szCs w:val="21"/>
          <w:lang w:eastAsia="zh-CN"/>
        </w:rPr>
        <w:t>技术参数和性能指标。货物名称：电梯摄像机。</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电梯摄像机要求：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传感器靶面≥1/3.0"，像素≥400万，分辨率≥2688*1520；</w:t>
            </w:r>
          </w:p>
        </w:tc>
      </w:tr>
      <w:tr>
        <w:tblPrEx>
          <w:tblCellMar>
            <w:top w:w="0" w:type="dxa"/>
            <w:left w:w="108" w:type="dxa"/>
            <w:bottom w:w="0" w:type="dxa"/>
            <w:right w:w="108" w:type="dxa"/>
          </w:tblCellMar>
        </w:tblPrEx>
        <w:trPr>
          <w:trHeight w:val="42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eastAsia="zh-CN"/>
              </w:rPr>
              <w:t>照度适应范围≥135dB</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内置高品质麦克风和扬声器，摄像机可对距离摄像机15m处的声音进行采集，并可通过客户端软件进行播放</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红外补光距离≥30m，暖光补光距离≥30m</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可对监控区域内出现的电瓶车进行检测、识别、抓拍，并联动声光告警，可过滤自行车、婴儿车、轮椅、小拖车等非电动车（提供公安部权威检测机构出具的报告复印件证明）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1.6</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防水防尘≥IP67</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1.7</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电源:DC12V（±30%）；POE （802.3af）</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注：</w:t>
            </w:r>
            <w:r>
              <w:rPr>
                <w:rFonts w:hint="eastAsia" w:ascii="宋体" w:hAnsi="宋体" w:cs="宋体"/>
                <w:kern w:val="0"/>
                <w:sz w:val="21"/>
                <w:szCs w:val="21"/>
                <w:lang w:val="en-US" w:eastAsia="zh-CN"/>
              </w:rPr>
              <w:t>1.</w:t>
            </w:r>
            <w:r>
              <w:rPr>
                <w:rFonts w:hint="eastAsia" w:ascii="宋体" w:hAnsi="宋体" w:cs="宋体"/>
                <w:kern w:val="0"/>
                <w:sz w:val="21"/>
                <w:szCs w:val="21"/>
                <w:lang w:eastAsia="zh-CN"/>
              </w:rPr>
              <w:t>“参数性质”标“*”表示此参数为主要技术参数，不满足任意1条即取消投标资格。</w:t>
            </w: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2.非标</w:t>
            </w:r>
            <w:r>
              <w:rPr>
                <w:rFonts w:hint="eastAsia" w:ascii="宋体" w:hAnsi="宋体" w:cs="宋体"/>
                <w:kern w:val="0"/>
                <w:sz w:val="21"/>
                <w:szCs w:val="21"/>
                <w:lang w:eastAsia="zh-CN"/>
              </w:rPr>
              <w:t>“*”项，超过</w:t>
            </w:r>
            <w:r>
              <w:rPr>
                <w:rFonts w:hint="eastAsia" w:ascii="宋体" w:hAnsi="宋体" w:cs="宋体"/>
                <w:kern w:val="0"/>
                <w:sz w:val="21"/>
                <w:szCs w:val="21"/>
                <w:lang w:val="en-US" w:eastAsia="zh-CN"/>
              </w:rPr>
              <w:t>3条不满足</w:t>
            </w:r>
            <w:r>
              <w:rPr>
                <w:rFonts w:hint="eastAsia" w:ascii="宋体" w:hAnsi="宋体" w:cs="宋体"/>
                <w:kern w:val="0"/>
                <w:sz w:val="21"/>
                <w:szCs w:val="21"/>
                <w:lang w:eastAsia="zh-CN"/>
              </w:rPr>
              <w:t>即取消投标资格。</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3</w:t>
      </w:r>
      <w:r>
        <w:rPr>
          <w:rFonts w:hint="eastAsia" w:ascii="宋体" w:hAnsi="宋体" w:cs="宋体"/>
          <w:kern w:val="0"/>
          <w:sz w:val="21"/>
          <w:szCs w:val="21"/>
          <w:lang w:eastAsia="zh-CN"/>
        </w:rPr>
        <w:t>技术参数和性能指标。货物名称：电梯摄像机电源。</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电梯摄像机电源要求：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1.输入:AC220V，50/60Hz</w:t>
            </w: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2.输出:12V/2.0A</w:t>
            </w: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3.工作环境:-20℃~60℃，≤90%RH无冷凝</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eastAsia="zh-CN"/>
              </w:rPr>
              <w:t>支持IEEE 802.3at/af标准</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支持IEEE 802.3、IEEE 802.3u、IEEE 802.3x、IEEE 802.3ab、IEEE 802.3z标准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支持安防网络拓扑管理、链路聚合、端口管理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支持远程升级</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1.6</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支持6 KV防浪涌（PoE口）</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1.7</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支持PoE输出功率管理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1.8</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存储转发交换方式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1.9</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坚固式高强度金属外壳</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1.10</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PoE标准：支持IEEE 802.3af，IEEE 802.3at供电标准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端口最大供电功率：30 W</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整机最大供电功率：470 W</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4</w:t>
      </w:r>
      <w:r>
        <w:rPr>
          <w:rFonts w:hint="eastAsia" w:ascii="宋体" w:hAnsi="宋体" w:cs="宋体"/>
          <w:kern w:val="0"/>
          <w:sz w:val="21"/>
          <w:szCs w:val="21"/>
          <w:lang w:eastAsia="zh-CN"/>
        </w:rPr>
        <w:t>技术参数和性能指标。货物名称：无线网桥。</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无线网桥要求：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端口速率：</w:t>
            </w:r>
            <w:r>
              <w:rPr>
                <w:rFonts w:hint="eastAsia" w:ascii="宋体" w:hAnsi="宋体" w:cs="宋体"/>
                <w:kern w:val="0"/>
                <w:sz w:val="21"/>
                <w:szCs w:val="21"/>
                <w:lang w:val="en-US" w:eastAsia="zh-CN"/>
              </w:rPr>
              <w:t>百兆</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eastAsia="zh-CN"/>
              </w:rPr>
              <w:t>支持标准:IEEE802.11 b/g/n（2T2R 300Mbps）</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天线增益:内置天线：增益6dBi  水平65度，垂直60度</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最大传输速率:11n：300Mbps(40M信道宽度)，130(20M信道宽度)，11g：54Mbps</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电源:PoE 15V或者DC 12V</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5</w:t>
      </w:r>
      <w:r>
        <w:rPr>
          <w:rFonts w:hint="eastAsia" w:ascii="宋体" w:hAnsi="宋体" w:cs="宋体"/>
          <w:kern w:val="0"/>
          <w:sz w:val="21"/>
          <w:szCs w:val="21"/>
          <w:lang w:eastAsia="zh-CN"/>
        </w:rPr>
        <w:t>技术参数和性能指标。货物名称：24口千兆POE交换机。</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24口千兆POE交换机要求：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接口类型：≥26千兆电+≥2千兆Combo；其中≥24个千兆电口支持POE供电</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支持标准：IEEE802.3、IEEE802.3u、IEEE802.3z、IEEE802.3ab、IEEE802.3x、IEEE802.3af、IEEE802.3at、IEEE802.3az</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交换容量≥56Gbps、包转发率≥41.7Mpps</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支持250米长距离传输，支持VLAN隔离，支持拨码开关一键切换工作模式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支持IEEE802.3AF、IEEE802.3AT标准</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6</w:t>
      </w:r>
      <w:r>
        <w:rPr>
          <w:rFonts w:hint="eastAsia" w:ascii="宋体" w:hAnsi="宋体" w:cs="宋体"/>
          <w:kern w:val="0"/>
          <w:sz w:val="21"/>
          <w:szCs w:val="21"/>
          <w:lang w:eastAsia="zh-CN"/>
        </w:rPr>
        <w:t>技术参数和性能指标。货物名称：</w:t>
      </w:r>
      <w:r>
        <w:rPr>
          <w:rFonts w:hint="eastAsia" w:ascii="宋体" w:hAnsi="宋体" w:cs="宋体"/>
          <w:kern w:val="0"/>
          <w:sz w:val="21"/>
          <w:szCs w:val="21"/>
          <w:lang w:val="en-US" w:eastAsia="zh-CN"/>
        </w:rPr>
        <w:t>网线</w:t>
      </w:r>
      <w:r>
        <w:rPr>
          <w:rFonts w:hint="eastAsia" w:ascii="宋体" w:hAnsi="宋体" w:cs="宋体"/>
          <w:kern w:val="0"/>
          <w:sz w:val="21"/>
          <w:szCs w:val="21"/>
          <w:lang w:eastAsia="zh-CN"/>
        </w:rPr>
        <w:t>。</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网线</w:t>
            </w:r>
            <w:r>
              <w:rPr>
                <w:rFonts w:hint="eastAsia" w:ascii="宋体" w:hAnsi="宋体" w:cs="宋体"/>
                <w:kern w:val="0"/>
                <w:sz w:val="21"/>
                <w:szCs w:val="21"/>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eastAsia="zh-CN"/>
              </w:rPr>
              <w:t>6类室内非屏蔽双绞线  0.55，cat6非屏蔽双绞线，CM防火登记，23AWG</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7</w:t>
      </w:r>
      <w:r>
        <w:rPr>
          <w:rFonts w:hint="eastAsia" w:ascii="宋体" w:hAnsi="宋体" w:cs="宋体"/>
          <w:kern w:val="0"/>
          <w:sz w:val="21"/>
          <w:szCs w:val="21"/>
          <w:lang w:eastAsia="zh-CN"/>
        </w:rPr>
        <w:t>技术参数和性能指标。货物名称：摄像机拆装和调试。</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摄像机拆装和调试要求：</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根据现场，更换损坏摄像机，调整监控位置。</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摄像机接入原有监控平台，正常使用，无不兼容、卡顿等情况。</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采购人指定地点安装设备包括31部电梯监控摄像机全部更换</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包含原有监控设备整合拆除工作（拆除后的旧设备需放到我院指定地点）</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施工期间不得断电断网，不能影响医院科室正常工作</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1.6</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优化原存储</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8</w:t>
      </w:r>
      <w:r>
        <w:rPr>
          <w:rFonts w:hint="eastAsia" w:ascii="宋体" w:hAnsi="宋体" w:cs="宋体"/>
          <w:kern w:val="0"/>
          <w:sz w:val="21"/>
          <w:szCs w:val="21"/>
          <w:lang w:eastAsia="zh-CN"/>
        </w:rPr>
        <w:t>技术参数和性能指标。货物名称：辅材。</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辅材要求：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辅材材料：包含且不限电源线、视频线、PVC管、空开、网络跳线、水晶头、高清线、</w:t>
            </w:r>
            <w:r>
              <w:rPr>
                <w:rFonts w:hint="eastAsia" w:ascii="宋体" w:hAnsi="宋体" w:cs="宋体"/>
                <w:kern w:val="0"/>
                <w:sz w:val="21"/>
                <w:szCs w:val="21"/>
                <w:lang w:val="en-US" w:eastAsia="zh-CN"/>
              </w:rPr>
              <w:t>摄像机支架、</w:t>
            </w:r>
            <w:r>
              <w:rPr>
                <w:rFonts w:hint="eastAsia" w:ascii="宋体" w:hAnsi="宋体" w:cs="宋体"/>
                <w:kern w:val="0"/>
                <w:sz w:val="21"/>
                <w:szCs w:val="21"/>
                <w:lang w:eastAsia="zh-CN"/>
              </w:rPr>
              <w:t>熔纤等项目涉及的辅材材料。</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default" w:ascii="宋体" w:hAnsi="宋体" w:eastAsia="宋体" w:cs="宋体"/>
                <w:kern w:val="0"/>
                <w:sz w:val="21"/>
                <w:szCs w:val="21"/>
                <w:lang w:val="en-US" w:eastAsia="zh-CN" w:bidi="ar-SA"/>
              </w:rPr>
            </w:pPr>
            <w:r>
              <w:rPr>
                <w:rFonts w:hint="eastAsia" w:ascii="宋体" w:hAnsi="宋体" w:cs="宋体"/>
                <w:kern w:val="0"/>
                <w:sz w:val="21"/>
                <w:szCs w:val="21"/>
                <w:lang w:eastAsia="zh-CN"/>
              </w:rPr>
              <w:t>2芯铜芯聚氯乙烯绝缘聚氯乙烯护套电缆</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0" w:leftChars="0" w:firstLine="0" w:firstLineChars="0"/>
              <w:jc w:val="left"/>
              <w:outlineLvl w:val="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施工所需辅材为国标材料</w:t>
            </w:r>
          </w:p>
        </w:tc>
      </w:tr>
    </w:tbl>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default" w:asciiTheme="minorEastAsia" w:hAnsiTheme="minorEastAsia" w:eastAsiaTheme="minorEastAsia"/>
          <w:b/>
          <w:bCs/>
          <w:color w:val="FF0000"/>
          <w:sz w:val="24"/>
          <w:szCs w:val="24"/>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、评标方法及细则要求</w:t>
      </w:r>
      <w:r>
        <w:rPr>
          <w:rFonts w:hint="eastAsia" w:asciiTheme="minorEastAsia" w:hAnsiTheme="minorEastAsia"/>
          <w:b/>
          <w:bCs/>
          <w:sz w:val="24"/>
          <w:szCs w:val="24"/>
          <w:lang w:eastAsia="zh-CN"/>
        </w:rPr>
        <w:t>：</w:t>
      </w:r>
      <w:r>
        <w:rPr>
          <w:rFonts w:hint="eastAsia" w:asciiTheme="minorEastAsia" w:hAnsiTheme="minorEastAsia"/>
          <w:b/>
          <w:bCs/>
          <w:color w:val="FF0000"/>
          <w:sz w:val="24"/>
          <w:szCs w:val="24"/>
          <w:lang w:val="en-US" w:eastAsia="zh-CN"/>
        </w:rPr>
        <w:t>最低价法</w:t>
      </w:r>
    </w:p>
    <w:tbl>
      <w:tblPr>
        <w:tblStyle w:val="12"/>
        <w:tblpPr w:leftFromText="180" w:rightFromText="180" w:vertAnchor="text" w:horzAnchor="page" w:tblpX="1815" w:tblpY="481"/>
        <w:tblOverlap w:val="never"/>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57"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资格性审查</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审查投标人2022年或2023年度经会计事务所出具的财务审计报告或其基本开户银行出具的近一年内的银行资信证明。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月内（至少一个月）的良好缴纳税收的相关凭据。（以税务机关提供的纳税凭据或银行入账单为准）</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lang w:val="en-US" w:eastAsia="zh-CN"/>
              </w:rPr>
              <w:t>资格要求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按公告要求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w:t>
            </w:r>
            <w:r>
              <w:rPr>
                <w:rFonts w:hint="eastAsia" w:ascii="宋体" w:hAnsi="宋体" w:eastAsia="宋体" w:cs="宋体"/>
                <w:color w:val="auto"/>
                <w:sz w:val="21"/>
                <w:szCs w:val="21"/>
              </w:rPr>
              <w:t>的</w:t>
            </w:r>
            <w:r>
              <w:rPr>
                <w:rFonts w:hint="eastAsia" w:asciiTheme="minorEastAsia" w:hAnsiTheme="minorEastAsia"/>
                <w:b/>
                <w:bCs/>
                <w:color w:val="FF0000"/>
                <w:sz w:val="24"/>
                <w:szCs w:val="24"/>
                <w:lang w:val="en-US" w:eastAsia="zh-CN"/>
              </w:rPr>
              <w:t>以上三项信用记录截图</w:t>
            </w:r>
            <w:r>
              <w:rPr>
                <w:rFonts w:hint="eastAsia" w:ascii="宋体" w:hAnsi="宋体" w:eastAsia="宋体" w:cs="宋体"/>
                <w:color w:val="auto"/>
                <w:sz w:val="21"/>
                <w:szCs w:val="21"/>
                <w:lang w:val="en-US" w:eastAsia="zh-CN"/>
              </w:rPr>
              <w:t>或</w:t>
            </w:r>
            <w:r>
              <w:rPr>
                <w:rFonts w:hint="eastAsia" w:ascii="宋体" w:hAnsi="宋体" w:eastAsia="宋体" w:cs="宋体"/>
                <w:color w:val="auto"/>
                <w:sz w:val="21"/>
                <w:szCs w:val="21"/>
              </w:rPr>
              <w:t>评标</w:t>
            </w:r>
            <w:r>
              <w:rPr>
                <w:rFonts w:hint="eastAsia" w:ascii="宋体" w:hAnsi="宋体" w:eastAsia="宋体" w:cs="宋体"/>
                <w:sz w:val="21"/>
                <w:szCs w:val="21"/>
              </w:rPr>
              <w:t>现场核实情况为准）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pStyle w:val="10"/>
        <w:rPr>
          <w:rFonts w:hint="eastAsia" w:ascii="宋体" w:hAnsi="宋体" w:eastAsia="宋体" w:cs="宋体"/>
          <w:b/>
          <w:bCs/>
          <w:sz w:val="28"/>
          <w:szCs w:val="28"/>
          <w:lang w:val="en-US" w:eastAsia="zh-CN"/>
        </w:rPr>
      </w:pPr>
    </w:p>
    <w:p>
      <w:pPr>
        <w:rPr>
          <w:rFonts w:hint="eastAsia"/>
          <w:lang w:val="en-US" w:eastAsia="zh-CN"/>
        </w:rPr>
      </w:pPr>
    </w:p>
    <w:p>
      <w:pPr>
        <w:pStyle w:val="5"/>
        <w:rPr>
          <w:rFonts w:hint="eastAsia" w:ascii="宋体" w:hAnsi="宋体" w:eastAsia="宋体" w:cs="宋体"/>
          <w:b/>
          <w:bCs/>
          <w:sz w:val="28"/>
          <w:szCs w:val="28"/>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1.报名方式采用</w:t>
      </w:r>
      <w:r>
        <w:rPr>
          <w:rFonts w:hint="eastAsia" w:ascii="宋体" w:hAnsi="宋体" w:eastAsia="宋体" w:cs="宋体"/>
          <w:b/>
          <w:bCs/>
          <w:sz w:val="24"/>
          <w:szCs w:val="24"/>
          <w:lang w:val="en-US" w:eastAsia="zh-CN"/>
        </w:rPr>
        <w:t>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市中心医院北门西侧人行道路北，好加汇胡同内向北走50米，路东院内办公楼（原工商所办公楼）三楼307室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资料携带齐全，填写报名登记表后视为本次投标报名成功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六、合同签订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招标办地址：好加汇巷内医院办公楼三楼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both"/>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六、商务条款响应表.................................................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九、参加政府采购前三年内在经营活动中无重大违法记录书面声明.........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十、技术标准响应表...........................................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十一、其他.........................................................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pStyle w:val="10"/>
        <w:rPr>
          <w:rFonts w:hint="eastAsia"/>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服务期（年）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hint="default" w:ascii="宋体" w:hAnsi="宋体" w:eastAsia="宋体"/>
          <w:sz w:val="24"/>
          <w:szCs w:val="24"/>
          <w:lang w:val="en-US" w:eastAsia="zh-CN"/>
        </w:rPr>
      </w:pPr>
      <w:r>
        <w:rPr>
          <w:rFonts w:hint="eastAsia" w:ascii="宋体" w:hAnsi="宋体" w:eastAsia="宋体"/>
          <w:sz w:val="24"/>
          <w:szCs w:val="24"/>
          <w:lang w:val="en-US" w:eastAsia="zh-CN"/>
        </w:rPr>
        <w:t>分项报价表</w:t>
      </w: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lang w:val="zh-CN"/>
        </w:rPr>
      </w:pPr>
    </w:p>
    <w:p>
      <w:pPr>
        <w:pStyle w:val="10"/>
        <w:rPr>
          <w:rFonts w:ascii="宋体" w:hAnsi="宋体" w:eastAsia="宋体"/>
          <w:sz w:val="24"/>
          <w:szCs w:val="24"/>
          <w:lang w:val="zh-CN"/>
        </w:rPr>
      </w:pPr>
    </w:p>
    <w:p>
      <w:pPr>
        <w:rPr>
          <w:lang w:val="zh-CN"/>
        </w:rPr>
      </w:pPr>
    </w:p>
    <w:p>
      <w:pPr>
        <w:numPr>
          <w:ilvl w:val="0"/>
          <w:numId w:val="3"/>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姓名    </w:t>
      </w:r>
      <w:r>
        <w:rPr>
          <w:rFonts w:hint="eastAsia" w:ascii="宋体" w:hAnsi="宋体" w:eastAsia="宋体"/>
          <w:sz w:val="24"/>
          <w:szCs w:val="24"/>
          <w:lang w:val="en-US" w:eastAsia="zh-CN"/>
        </w:rPr>
        <w:t>参加贵单位组织的</w:t>
      </w:r>
      <w:r>
        <w:rPr>
          <w:rFonts w:hint="eastAsia" w:ascii="宋体" w:hAnsi="宋体" w:eastAsia="宋体"/>
          <w:sz w:val="24"/>
          <w:szCs w:val="24"/>
          <w:u w:val="single"/>
          <w:lang w:val="en-US" w:eastAsia="zh-CN"/>
        </w:rPr>
        <w:t xml:space="preserve"> </w:t>
      </w:r>
      <w:r>
        <w:rPr>
          <w:rFonts w:hint="eastAsia" w:ascii="宋体" w:hAnsi="宋体" w:eastAsia="宋体" w:cs="宋体"/>
          <w:b w:val="0"/>
          <w:bCs w:val="0"/>
          <w:i w:val="0"/>
          <w:caps w:val="0"/>
          <w:color w:val="auto"/>
          <w:spacing w:val="0"/>
          <w:sz w:val="24"/>
          <w:szCs w:val="24"/>
          <w:u w:val="single"/>
          <w:lang w:val="en-US" w:eastAsia="zh-CN"/>
        </w:rPr>
        <w:t>项目名称</w:t>
      </w:r>
      <w:r>
        <w:rPr>
          <w:rFonts w:hint="eastAsia" w:ascii="宋体" w:hAnsi="宋体" w:eastAsia="宋体"/>
          <w:sz w:val="24"/>
          <w:szCs w:val="24"/>
          <w:lang w:val="en-US" w:eastAsia="zh-CN"/>
        </w:rPr>
        <w:t>,委托人全权代表我单位处理本项目的报名、投标等工作。我单位对委托代理人签署的内容负全部责任。签署的文件等内容不因授权的撤销而失效，委托人无转委托权。特此委托。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2336;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0288;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3360;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131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sz w:val="24"/>
          <w:szCs w:val="24"/>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spacing w:line="360" w:lineRule="auto"/>
        <w:rPr>
          <w:rFonts w:ascii="宋体" w:hAnsi="宋体" w:eastAsia="宋体"/>
          <w:sz w:val="24"/>
          <w:szCs w:val="24"/>
        </w:rPr>
      </w:pPr>
    </w:p>
    <w:p>
      <w:pPr>
        <w:tabs>
          <w:tab w:val="left" w:pos="1326"/>
        </w:tabs>
        <w:bidi w:val="0"/>
        <w:jc w:val="left"/>
        <w:rPr>
          <w:rFonts w:hint="eastAsia" w:ascii="宋体" w:hAnsi="宋体" w:eastAsia="宋体" w:cs="宋体"/>
          <w:sz w:val="24"/>
          <w:szCs w:val="24"/>
          <w:lang w:val="en-US" w:eastAsia="zh-CN"/>
        </w:rPr>
      </w:pPr>
    </w:p>
    <w:p>
      <w:pPr>
        <w:tabs>
          <w:tab w:val="left" w:pos="1326"/>
        </w:tabs>
        <w:bidi w:val="0"/>
        <w:jc w:val="left"/>
        <w:rPr>
          <w:rFonts w:hint="eastAsia" w:ascii="宋体" w:hAnsi="宋体" w:eastAsia="宋体" w:cs="宋体"/>
          <w:sz w:val="24"/>
          <w:szCs w:val="24"/>
          <w:lang w:val="en-US" w:eastAsia="zh-CN"/>
        </w:rPr>
      </w:pP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六、商务条款响应表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sz w:val="28"/>
          <w:szCs w:val="28"/>
          <w:lang w:val="en-US" w:eastAsia="zh-CN"/>
        </w:rPr>
        <w:t xml:space="preserve">九、参加政府采购前三年内在经营活动中无重大违法记录书面声明 </w:t>
      </w:r>
    </w:p>
    <w:p>
      <w:pPr>
        <w:numPr>
          <w:ilvl w:val="0"/>
          <w:numId w:val="0"/>
        </w:numPr>
        <w:spacing w:line="360" w:lineRule="auto"/>
        <w:jc w:val="both"/>
        <w:rPr>
          <w:rFonts w:hint="default"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十、技术要求响应表（共8项）</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十一、检查报告或证明材料</w:t>
      </w:r>
    </w:p>
    <w:p>
      <w:pPr>
        <w:pStyle w:val="5"/>
        <w:numPr>
          <w:ilvl w:val="0"/>
          <w:numId w:val="0"/>
        </w:numPr>
        <w:ind w:leftChars="0"/>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w:t>
      </w:r>
      <w:r>
        <w:rPr>
          <w:rFonts w:hint="eastAsia" w:hAnsi="宋体" w:cs="宋体"/>
          <w:b/>
          <w:bCs/>
          <w:kern w:val="2"/>
          <w:sz w:val="28"/>
          <w:szCs w:val="28"/>
          <w:lang w:val="en-US" w:eastAsia="zh-CN" w:bidi="ar-SA"/>
        </w:rPr>
        <w:t>二</w:t>
      </w:r>
      <w:r>
        <w:rPr>
          <w:rFonts w:hint="eastAsia" w:ascii="宋体" w:hAnsi="宋体" w:eastAsia="宋体" w:cs="宋体"/>
          <w:b/>
          <w:bCs/>
          <w:kern w:val="2"/>
          <w:sz w:val="28"/>
          <w:szCs w:val="28"/>
          <w:lang w:val="en-US" w:eastAsia="zh-CN" w:bidi="ar-SA"/>
        </w:rPr>
        <w:t>、其他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default"/>
        <w:lang w:val="en-US"/>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
              <wp:cNvGraphicFramePr/>
              <a:graphic xmlns:a="http://schemas.openxmlformats.org/drawingml/2006/main">
                <a:graphicData uri="http://schemas.microsoft.com/office/word/2010/wordprocessingShape">
                  <wps:wsp>
                    <wps:cNvSpPr txBox="1"/>
                    <wps:spPr>
                      <a:xfrm>
                        <a:off x="0" y="0"/>
                        <a:ext cx="1831340" cy="139700"/>
                      </a:xfrm>
                      <a:prstGeom prst="rect">
                        <a:avLst/>
                      </a:prstGeom>
                      <a:noFill/>
                      <a:ln cap="flat">
                        <a:noFill/>
                      </a:ln>
                    </wps:spPr>
                    <wps:txbx>
                      <w:txbxContent>
                        <w:p>
                          <w:pPr>
                            <w:pStyle w:val="7"/>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v-text-anchor:middle;mso-width-relative:page;mso-height-relative:page;" filled="f" stroked="f" coordsize="21600,21600" o:gfxdata="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nQN830QAAAAUBAAAPAAAAAAAAAAEAIAAAACIAAABkcnMvZG93bnJldi54bWxQSwECFAAU&#10;AAAACACHTuJAXUaz8zECAABZBAAADgAAAAAAAAABACAAAAAgAQAAZHJzL2Uyb0RvYy54bWxQSwUG&#10;AAAAAAYABgBZAQAAw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5AA96EAC"/>
    <w:multiLevelType w:val="singleLevel"/>
    <w:tmpl w:val="5AA96EAC"/>
    <w:lvl w:ilvl="0" w:tentative="0">
      <w:start w:val="2"/>
      <w:numFmt w:val="chineseCounting"/>
      <w:suff w:val="nothing"/>
      <w:lvlText w:val="%1、"/>
      <w:lvlJc w:val="left"/>
      <w:rPr>
        <w:rFonts w:hint="eastAsia"/>
      </w:rPr>
    </w:lvl>
  </w:abstractNum>
  <w:abstractNum w:abstractNumId="2">
    <w:nsid w:val="5C6A04CC"/>
    <w:multiLevelType w:val="singleLevel"/>
    <w:tmpl w:val="5C6A04CC"/>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YmQyM2VlMzIyNzg3MTM0MjMzMjczYWU0N2U3MTcifQ=="/>
  </w:docVars>
  <w:rsids>
    <w:rsidRoot w:val="5CF27DD3"/>
    <w:rsid w:val="018B576F"/>
    <w:rsid w:val="024C4854"/>
    <w:rsid w:val="024D1D68"/>
    <w:rsid w:val="027E2104"/>
    <w:rsid w:val="030D75C3"/>
    <w:rsid w:val="036A0F34"/>
    <w:rsid w:val="03CC5EBC"/>
    <w:rsid w:val="03CD1340"/>
    <w:rsid w:val="0485511C"/>
    <w:rsid w:val="04D74F47"/>
    <w:rsid w:val="053333F3"/>
    <w:rsid w:val="05606DDD"/>
    <w:rsid w:val="069429D0"/>
    <w:rsid w:val="069D5FAD"/>
    <w:rsid w:val="06B84C89"/>
    <w:rsid w:val="06DF7684"/>
    <w:rsid w:val="07B6496C"/>
    <w:rsid w:val="07C64EDC"/>
    <w:rsid w:val="08DB2790"/>
    <w:rsid w:val="090D0F93"/>
    <w:rsid w:val="0B737573"/>
    <w:rsid w:val="0B8E008E"/>
    <w:rsid w:val="0BF73B5D"/>
    <w:rsid w:val="0C8920AB"/>
    <w:rsid w:val="0E280BA1"/>
    <w:rsid w:val="0E7712A3"/>
    <w:rsid w:val="0E8F386B"/>
    <w:rsid w:val="0EAE2FD0"/>
    <w:rsid w:val="0EC93655"/>
    <w:rsid w:val="10727C56"/>
    <w:rsid w:val="10B11D4F"/>
    <w:rsid w:val="10D51590"/>
    <w:rsid w:val="11CE42C7"/>
    <w:rsid w:val="1268701C"/>
    <w:rsid w:val="141960BC"/>
    <w:rsid w:val="14511D5D"/>
    <w:rsid w:val="14597EA8"/>
    <w:rsid w:val="1472711D"/>
    <w:rsid w:val="147469A8"/>
    <w:rsid w:val="14994609"/>
    <w:rsid w:val="14A30191"/>
    <w:rsid w:val="15027387"/>
    <w:rsid w:val="157611AC"/>
    <w:rsid w:val="166B5892"/>
    <w:rsid w:val="16AC4710"/>
    <w:rsid w:val="16AE0863"/>
    <w:rsid w:val="18121689"/>
    <w:rsid w:val="18803BFB"/>
    <w:rsid w:val="192A7900"/>
    <w:rsid w:val="1A0322AB"/>
    <w:rsid w:val="1A216A9B"/>
    <w:rsid w:val="1AB27051"/>
    <w:rsid w:val="1B031D68"/>
    <w:rsid w:val="1B594C47"/>
    <w:rsid w:val="1E201AA4"/>
    <w:rsid w:val="1E56328C"/>
    <w:rsid w:val="1F701D4F"/>
    <w:rsid w:val="21E800D6"/>
    <w:rsid w:val="21F22524"/>
    <w:rsid w:val="225B4788"/>
    <w:rsid w:val="23C451C6"/>
    <w:rsid w:val="24350B8A"/>
    <w:rsid w:val="26283EB2"/>
    <w:rsid w:val="26E23DC6"/>
    <w:rsid w:val="271C462C"/>
    <w:rsid w:val="27DD3907"/>
    <w:rsid w:val="29111AF1"/>
    <w:rsid w:val="293852BB"/>
    <w:rsid w:val="295579BA"/>
    <w:rsid w:val="2BDC4906"/>
    <w:rsid w:val="2C4241C8"/>
    <w:rsid w:val="2D020716"/>
    <w:rsid w:val="2D811081"/>
    <w:rsid w:val="2EA758B3"/>
    <w:rsid w:val="2EC6190E"/>
    <w:rsid w:val="2F534F90"/>
    <w:rsid w:val="2F880183"/>
    <w:rsid w:val="2FE43113"/>
    <w:rsid w:val="31EE4882"/>
    <w:rsid w:val="32E945AA"/>
    <w:rsid w:val="333F7051"/>
    <w:rsid w:val="33F96FD6"/>
    <w:rsid w:val="34481B5C"/>
    <w:rsid w:val="35332471"/>
    <w:rsid w:val="366A4A09"/>
    <w:rsid w:val="37257DC7"/>
    <w:rsid w:val="38BD12DD"/>
    <w:rsid w:val="38D70A29"/>
    <w:rsid w:val="39EF7A7C"/>
    <w:rsid w:val="3A9C348D"/>
    <w:rsid w:val="3C1A50D7"/>
    <w:rsid w:val="3D362067"/>
    <w:rsid w:val="3D926603"/>
    <w:rsid w:val="3E843922"/>
    <w:rsid w:val="3FB17EA0"/>
    <w:rsid w:val="3FB454E1"/>
    <w:rsid w:val="405A279D"/>
    <w:rsid w:val="40FF7B3F"/>
    <w:rsid w:val="42A542DB"/>
    <w:rsid w:val="43B446EE"/>
    <w:rsid w:val="43B6162D"/>
    <w:rsid w:val="43E1752F"/>
    <w:rsid w:val="440700DA"/>
    <w:rsid w:val="454959B9"/>
    <w:rsid w:val="456728B3"/>
    <w:rsid w:val="46AB11F1"/>
    <w:rsid w:val="47F2274C"/>
    <w:rsid w:val="4803283D"/>
    <w:rsid w:val="480C2862"/>
    <w:rsid w:val="48CE6604"/>
    <w:rsid w:val="48E83EBD"/>
    <w:rsid w:val="4B091217"/>
    <w:rsid w:val="4B645A8C"/>
    <w:rsid w:val="4B8219EB"/>
    <w:rsid w:val="4C0130D0"/>
    <w:rsid w:val="4C2B118A"/>
    <w:rsid w:val="4C873D0A"/>
    <w:rsid w:val="4C9106B5"/>
    <w:rsid w:val="4DE61182"/>
    <w:rsid w:val="4E3E109E"/>
    <w:rsid w:val="4E7D75B9"/>
    <w:rsid w:val="4F0A0A6D"/>
    <w:rsid w:val="4F4C28E7"/>
    <w:rsid w:val="4FD40F9E"/>
    <w:rsid w:val="50900B38"/>
    <w:rsid w:val="512F7E31"/>
    <w:rsid w:val="51827267"/>
    <w:rsid w:val="522E2262"/>
    <w:rsid w:val="52F95956"/>
    <w:rsid w:val="52F97BD0"/>
    <w:rsid w:val="56B63A7F"/>
    <w:rsid w:val="56D4087D"/>
    <w:rsid w:val="57224BDA"/>
    <w:rsid w:val="5922620D"/>
    <w:rsid w:val="5A5D2403"/>
    <w:rsid w:val="5A867B53"/>
    <w:rsid w:val="5B6E25BC"/>
    <w:rsid w:val="5B7C6170"/>
    <w:rsid w:val="5BB72056"/>
    <w:rsid w:val="5CBB64D2"/>
    <w:rsid w:val="5CF27DD3"/>
    <w:rsid w:val="5DC444F5"/>
    <w:rsid w:val="5DDE5B0D"/>
    <w:rsid w:val="5E132A05"/>
    <w:rsid w:val="5E6C6B01"/>
    <w:rsid w:val="5F334CEB"/>
    <w:rsid w:val="5F710496"/>
    <w:rsid w:val="5FB4161A"/>
    <w:rsid w:val="60541B24"/>
    <w:rsid w:val="60FD7482"/>
    <w:rsid w:val="61A56138"/>
    <w:rsid w:val="63532DA2"/>
    <w:rsid w:val="64BB1E86"/>
    <w:rsid w:val="66343542"/>
    <w:rsid w:val="667B1E6E"/>
    <w:rsid w:val="66A65A6B"/>
    <w:rsid w:val="66CA54A4"/>
    <w:rsid w:val="675445CD"/>
    <w:rsid w:val="67784B5F"/>
    <w:rsid w:val="683C6BCF"/>
    <w:rsid w:val="69BC0519"/>
    <w:rsid w:val="69DE1817"/>
    <w:rsid w:val="6A8F035A"/>
    <w:rsid w:val="6AC040FE"/>
    <w:rsid w:val="6BBC6069"/>
    <w:rsid w:val="6D320A99"/>
    <w:rsid w:val="6D3E798B"/>
    <w:rsid w:val="6D901E35"/>
    <w:rsid w:val="6DA01355"/>
    <w:rsid w:val="6E0E62DF"/>
    <w:rsid w:val="6EC6456A"/>
    <w:rsid w:val="6F6367E4"/>
    <w:rsid w:val="6F6F075E"/>
    <w:rsid w:val="7225688E"/>
    <w:rsid w:val="731E024A"/>
    <w:rsid w:val="73A73F6C"/>
    <w:rsid w:val="741E09A4"/>
    <w:rsid w:val="751C4B17"/>
    <w:rsid w:val="758F3DF0"/>
    <w:rsid w:val="75CB3919"/>
    <w:rsid w:val="76432944"/>
    <w:rsid w:val="76437B2F"/>
    <w:rsid w:val="76524935"/>
    <w:rsid w:val="76FA52B6"/>
    <w:rsid w:val="77246C60"/>
    <w:rsid w:val="77D96CDB"/>
    <w:rsid w:val="77E46B25"/>
    <w:rsid w:val="791B65A9"/>
    <w:rsid w:val="7A33539F"/>
    <w:rsid w:val="7DEA41A0"/>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autoRedefine/>
    <w:semiHidden/>
    <w:qFormat/>
    <w:uiPriority w:val="0"/>
  </w:style>
  <w:style w:type="table" w:default="1" w:styleId="12">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next w:val="1"/>
    <w:qFormat/>
    <w:uiPriority w:val="1"/>
    <w:rPr>
      <w:rFonts w:ascii="微软雅黑" w:hAnsi="微软雅黑" w:eastAsia="微软雅黑" w:cs="微软雅黑"/>
      <w:sz w:val="15"/>
      <w:szCs w:val="15"/>
      <w:lang w:val="zh-CN" w:eastAsia="zh-CN" w:bidi="zh-CN"/>
    </w:rPr>
  </w:style>
  <w:style w:type="paragraph" w:styleId="5">
    <w:name w:val="Plain Text"/>
    <w:basedOn w:val="6"/>
    <w:next w:val="1"/>
    <w:autoRedefine/>
    <w:qFormat/>
    <w:uiPriority w:val="0"/>
    <w:rPr>
      <w:rFonts w:ascii="宋体" w:hAnsi="Courier New"/>
    </w:rPr>
  </w:style>
  <w:style w:type="paragraph" w:customStyle="1" w:styleId="6">
    <w:name w:val="Normal_6"/>
    <w:next w:val="5"/>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2"/>
    <w:autoRedefine/>
    <w:qFormat/>
    <w:uiPriority w:val="28"/>
  </w:style>
  <w:style w:type="paragraph" w:styleId="10">
    <w:name w:val="Subtitle"/>
    <w:basedOn w:val="1"/>
    <w:next w:val="1"/>
    <w:autoRedefine/>
    <w:qFormat/>
    <w:uiPriority w:val="0"/>
    <w:pPr>
      <w:autoSpaceDE/>
      <w:autoSpaceDN/>
      <w:spacing w:before="240" w:after="60" w:line="312" w:lineRule="auto"/>
      <w:ind w:firstLine="14"/>
      <w:jc w:val="center"/>
      <w:outlineLvl w:val="1"/>
    </w:p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nt12"/>
    <w:basedOn w:val="14"/>
    <w:autoRedefine/>
    <w:qFormat/>
    <w:uiPriority w:val="0"/>
    <w:rPr>
      <w:rFonts w:hint="eastAsia" w:ascii="宋体" w:hAnsi="宋体" w:eastAsia="宋体" w:cs="宋体"/>
      <w:b/>
      <w:color w:val="000000"/>
      <w:sz w:val="24"/>
      <w:szCs w:val="24"/>
      <w:u w:val="none"/>
    </w:rPr>
  </w:style>
  <w:style w:type="character" w:customStyle="1" w:styleId="16">
    <w:name w:val="font81"/>
    <w:basedOn w:val="14"/>
    <w:autoRedefine/>
    <w:qFormat/>
    <w:uiPriority w:val="0"/>
    <w:rPr>
      <w:rFonts w:hint="eastAsia" w:ascii="宋体" w:hAnsi="宋体" w:eastAsia="宋体" w:cs="宋体"/>
      <w:color w:val="000000"/>
      <w:sz w:val="20"/>
      <w:szCs w:val="20"/>
      <w:u w:val="none"/>
    </w:rPr>
  </w:style>
  <w:style w:type="character" w:customStyle="1" w:styleId="17">
    <w:name w:val="font101"/>
    <w:basedOn w:val="14"/>
    <w:autoRedefine/>
    <w:qFormat/>
    <w:uiPriority w:val="0"/>
    <w:rPr>
      <w:rFonts w:hint="eastAsia" w:ascii="宋体" w:hAnsi="宋体" w:eastAsia="宋体" w:cs="宋体"/>
      <w:b/>
      <w:color w:val="000000"/>
      <w:sz w:val="24"/>
      <w:szCs w:val="24"/>
      <w:u w:val="none"/>
    </w:rPr>
  </w:style>
  <w:style w:type="character" w:customStyle="1" w:styleId="18">
    <w:name w:val="font141"/>
    <w:basedOn w:val="14"/>
    <w:autoRedefine/>
    <w:qFormat/>
    <w:uiPriority w:val="0"/>
    <w:rPr>
      <w:rFonts w:hint="eastAsia" w:ascii="宋体" w:hAnsi="宋体" w:eastAsia="宋体" w:cs="宋体"/>
      <w:color w:val="000000"/>
      <w:sz w:val="20"/>
      <w:szCs w:val="20"/>
      <w:u w:val="none"/>
    </w:rPr>
  </w:style>
  <w:style w:type="paragraph" w:customStyle="1" w:styleId="19">
    <w:name w:val="Table Paragraph"/>
    <w:basedOn w:val="1"/>
    <w:autoRedefine/>
    <w:qFormat/>
    <w:uiPriority w:val="1"/>
    <w:rPr>
      <w:rFonts w:ascii="宋体" w:hAnsi="宋体" w:eastAsia="宋体" w:cs="宋体"/>
      <w:lang w:val="zh-CN" w:eastAsia="zh-CN" w:bidi="zh-CN"/>
    </w:rPr>
  </w:style>
  <w:style w:type="character" w:customStyle="1" w:styleId="20">
    <w:name w:val="font11"/>
    <w:basedOn w:val="14"/>
    <w:autoRedefine/>
    <w:qFormat/>
    <w:uiPriority w:val="0"/>
    <w:rPr>
      <w:rFonts w:hint="eastAsia" w:ascii="宋体" w:hAnsi="宋体" w:eastAsia="宋体" w:cs="宋体"/>
      <w:color w:val="000000"/>
      <w:sz w:val="21"/>
      <w:szCs w:val="21"/>
      <w:u w:val="none"/>
    </w:rPr>
  </w:style>
  <w:style w:type="character" w:customStyle="1" w:styleId="21">
    <w:name w:val="font21"/>
    <w:basedOn w:val="14"/>
    <w:autoRedefine/>
    <w:qFormat/>
    <w:uiPriority w:val="0"/>
    <w:rPr>
      <w:rFonts w:hint="eastAsia" w:ascii="宋体" w:hAnsi="宋体" w:eastAsia="宋体" w:cs="宋体"/>
      <w:color w:val="000000"/>
      <w:sz w:val="21"/>
      <w:szCs w:val="21"/>
      <w:u w:val="none"/>
    </w:rPr>
  </w:style>
  <w:style w:type="paragraph" w:customStyle="1" w:styleId="22">
    <w:name w:val="列出段落1"/>
    <w:basedOn w:val="1"/>
    <w:autoRedefine/>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17136</Words>
  <Characters>18372</Characters>
  <Lines>1</Lines>
  <Paragraphs>1</Paragraphs>
  <TotalTime>8</TotalTime>
  <ScaleCrop>false</ScaleCrop>
  <LinksUpToDate>false</LinksUpToDate>
  <CharactersWithSpaces>23320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刘</cp:lastModifiedBy>
  <cp:lastPrinted>2022-08-05T00:37:00Z</cp:lastPrinted>
  <dcterms:modified xsi:type="dcterms:W3CDTF">2024-04-15T01:37:36Z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C77FF69078FC4690BD3998A01165CADB_13</vt:lpwstr>
  </property>
</Properties>
</file>