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28247D41">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东胜部、康巴什部污泥处置项目</w:t>
      </w:r>
      <w:bookmarkEnd w:id="1"/>
    </w:p>
    <w:p w14:paraId="5903E244">
      <w:pPr>
        <w:numPr>
          <w:ilvl w:val="0"/>
          <w:numId w:val="0"/>
        </w:numPr>
        <w:jc w:val="center"/>
        <w:rPr>
          <w:rFonts w:hint="default"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2024年9月3日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5487A8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3F563F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17ECA99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0B0CAB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1"/>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111"/>
        <w:gridCol w:w="1455"/>
        <w:gridCol w:w="1594"/>
        <w:gridCol w:w="1418"/>
        <w:gridCol w:w="1718"/>
      </w:tblGrid>
      <w:tr w14:paraId="59E2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7E6009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11" w:type="dxa"/>
            <w:vAlign w:val="center"/>
          </w:tcPr>
          <w:p w14:paraId="3FB4769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455" w:type="dxa"/>
            <w:vAlign w:val="center"/>
          </w:tcPr>
          <w:p w14:paraId="7BEAE716">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94" w:type="dxa"/>
            <w:vAlign w:val="center"/>
          </w:tcPr>
          <w:p w14:paraId="5019C8C9">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18" w:type="dxa"/>
            <w:vAlign w:val="center"/>
          </w:tcPr>
          <w:p w14:paraId="566B1797">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718" w:type="dxa"/>
            <w:vAlign w:val="center"/>
          </w:tcPr>
          <w:p w14:paraId="1A8BB413">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35CE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Merge w:val="restart"/>
            <w:vAlign w:val="center"/>
          </w:tcPr>
          <w:p w14:paraId="62503D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p w14:paraId="0E1761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111" w:type="dxa"/>
            <w:vAlign w:val="center"/>
          </w:tcPr>
          <w:p w14:paraId="7459281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东胜部污泥处置</w:t>
            </w:r>
          </w:p>
          <w:p w14:paraId="5990DFB2">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455" w:type="dxa"/>
            <w:vAlign w:val="center"/>
          </w:tcPr>
          <w:p w14:paraId="337E849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594" w:type="dxa"/>
            <w:vAlign w:val="center"/>
          </w:tcPr>
          <w:p w14:paraId="1CD311A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418" w:type="dxa"/>
            <w:vAlign w:val="center"/>
          </w:tcPr>
          <w:p w14:paraId="5D59D26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12000</w:t>
            </w:r>
          </w:p>
        </w:tc>
        <w:tc>
          <w:tcPr>
            <w:tcW w:w="1718" w:type="dxa"/>
            <w:vAlign w:val="center"/>
          </w:tcPr>
          <w:p w14:paraId="07A23B5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240000</w:t>
            </w:r>
          </w:p>
        </w:tc>
      </w:tr>
      <w:tr w14:paraId="314EC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Merge w:val="continue"/>
            <w:tcBorders/>
            <w:vAlign w:val="center"/>
          </w:tcPr>
          <w:p w14:paraId="68917B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111" w:type="dxa"/>
            <w:vAlign w:val="center"/>
          </w:tcPr>
          <w:p w14:paraId="35D7C32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康巴什部污泥处置</w:t>
            </w:r>
          </w:p>
        </w:tc>
        <w:tc>
          <w:tcPr>
            <w:tcW w:w="1455" w:type="dxa"/>
            <w:vAlign w:val="center"/>
          </w:tcPr>
          <w:p w14:paraId="34138A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1594" w:type="dxa"/>
            <w:vAlign w:val="center"/>
          </w:tcPr>
          <w:p w14:paraId="65707C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18" w:type="dxa"/>
            <w:vAlign w:val="center"/>
          </w:tcPr>
          <w:p w14:paraId="62139E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c>
          <w:tcPr>
            <w:tcW w:w="1718" w:type="dxa"/>
            <w:vAlign w:val="center"/>
          </w:tcPr>
          <w:p w14:paraId="17912AF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r>
      <w:tr w14:paraId="3E07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BFC6AB1">
            <w:pPr>
              <w:jc w:val="center"/>
              <w:rPr>
                <w:rFonts w:hint="eastAsia" w:ascii="宋体" w:hAnsi="宋体" w:eastAsia="宋体" w:cs="宋体"/>
                <w:sz w:val="24"/>
                <w:szCs w:val="24"/>
              </w:rPr>
            </w:pPr>
          </w:p>
        </w:tc>
        <w:tc>
          <w:tcPr>
            <w:tcW w:w="6578" w:type="dxa"/>
            <w:gridSpan w:val="4"/>
            <w:vAlign w:val="center"/>
          </w:tcPr>
          <w:p w14:paraId="51AE3CA2">
            <w:pPr>
              <w:ind w:firstLine="2400" w:firstLineChars="10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18" w:type="dxa"/>
            <w:vAlign w:val="center"/>
          </w:tcPr>
          <w:p w14:paraId="13CB36E2">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360000</w:t>
            </w:r>
          </w:p>
        </w:tc>
      </w:tr>
      <w:tr w14:paraId="59B4C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39" w:type="dxa"/>
            <w:vAlign w:val="center"/>
          </w:tcPr>
          <w:p w14:paraId="637A70A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111" w:type="dxa"/>
            <w:vAlign w:val="center"/>
          </w:tcPr>
          <w:p w14:paraId="6406347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185" w:type="dxa"/>
            <w:gridSpan w:val="4"/>
            <w:vAlign w:val="center"/>
          </w:tcPr>
          <w:p w14:paraId="2AFC5B9B">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获得危险废物经营许可证（核准经营危险废物类别：医疗废物HW01,感染性废物841-001-01）</w:t>
            </w:r>
          </w:p>
        </w:tc>
      </w:tr>
      <w:tr w14:paraId="59C8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697E0C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11" w:type="dxa"/>
            <w:vAlign w:val="center"/>
          </w:tcPr>
          <w:p w14:paraId="3524427B">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185" w:type="dxa"/>
            <w:gridSpan w:val="4"/>
            <w:vAlign w:val="center"/>
          </w:tcPr>
          <w:p w14:paraId="5C4568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按照实际污泥处置量，处置完成后据实结算。</w:t>
            </w:r>
          </w:p>
        </w:tc>
      </w:tr>
      <w:tr w14:paraId="1142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5D0CD6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11" w:type="dxa"/>
            <w:vAlign w:val="center"/>
          </w:tcPr>
          <w:p w14:paraId="14774C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6185" w:type="dxa"/>
            <w:gridSpan w:val="4"/>
            <w:vAlign w:val="center"/>
          </w:tcPr>
          <w:p w14:paraId="3D89F6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合同签订后15日内进场，40日内完工</w:t>
            </w:r>
          </w:p>
        </w:tc>
      </w:tr>
      <w:tr w14:paraId="7A3F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7977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11" w:type="dxa"/>
            <w:vAlign w:val="center"/>
          </w:tcPr>
          <w:p w14:paraId="64A9CC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6185" w:type="dxa"/>
            <w:gridSpan w:val="4"/>
            <w:vAlign w:val="center"/>
          </w:tcPr>
          <w:p w14:paraId="789C940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6862DE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D7633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1FE04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技术标准与要求</w:t>
      </w:r>
    </w:p>
    <w:p w14:paraId="20AE8CB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bl>
      <w:tblPr>
        <w:tblStyle w:val="10"/>
        <w:tblW w:w="5420" w:type="pct"/>
        <w:tblInd w:w="-366" w:type="dxa"/>
        <w:tblLayout w:type="autofit"/>
        <w:tblCellMar>
          <w:top w:w="0" w:type="dxa"/>
          <w:left w:w="108" w:type="dxa"/>
          <w:bottom w:w="0" w:type="dxa"/>
          <w:right w:w="108" w:type="dxa"/>
        </w:tblCellMar>
      </w:tblPr>
      <w:tblGrid>
        <w:gridCol w:w="942"/>
        <w:gridCol w:w="8296"/>
      </w:tblGrid>
      <w:tr w14:paraId="37099B08">
        <w:tblPrEx>
          <w:tblCellMar>
            <w:top w:w="0" w:type="dxa"/>
            <w:left w:w="108" w:type="dxa"/>
            <w:bottom w:w="0" w:type="dxa"/>
            <w:right w:w="108" w:type="dxa"/>
          </w:tblCellMar>
        </w:tblPrEx>
        <w:trPr>
          <w:trHeight w:val="212"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AFACF9">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编号</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14E2D2">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技术参数和要求</w:t>
            </w:r>
          </w:p>
        </w:tc>
      </w:tr>
      <w:tr w14:paraId="0391E696">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113097">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1</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871999">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本次处置的污泥量为东胜部20吨、康巴什部10吨。污泥脱水时间为东胜部</w:t>
            </w:r>
          </w:p>
          <w:p w14:paraId="4D3FA61B">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80小时、康巴什部40小时。污泥转运量为东胜部8车、康巴什部4车。</w:t>
            </w:r>
          </w:p>
        </w:tc>
      </w:tr>
      <w:tr w14:paraId="13C23C57">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BA7F0A7">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D19F2A">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投标人应当制定与危险废物安全处置有关的规章制度和在发生意外事故时的应急方案，设置监控部门或专（兼职）人员，负责检查、督促落实危险废物的管理工作。</w:t>
            </w:r>
          </w:p>
        </w:tc>
      </w:tr>
      <w:tr w14:paraId="16A07C5D">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1F2C51">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3</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2CE53B">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投标人应当对本项目从事危险废物收集、运输、贮存、处置等工作人员进行</w:t>
            </w:r>
          </w:p>
          <w:p w14:paraId="4B05E624">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相关法律和专业技术、安全防护以及应急处理等知识的培训。配备必要的防</w:t>
            </w:r>
          </w:p>
          <w:p w14:paraId="164AC752">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护用品，定期进行健康检查，防止工作人员健康受到损害。</w:t>
            </w:r>
          </w:p>
        </w:tc>
      </w:tr>
      <w:tr w14:paraId="6DF69E1A">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B2A78A">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4</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451CD1">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投标人自行配置车辆驾驶员、危险废物转运车、污泥脱水车、吸污车及相关</w:t>
            </w:r>
          </w:p>
          <w:p w14:paraId="5301464A">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设备，对转运车辆及时消毒和清洁，危险废物转运车应当达到防渗漏、防遗</w:t>
            </w:r>
          </w:p>
          <w:p w14:paraId="24FC4181">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撒以及其他环境保护和卫生要求，以及生态环境局管理要求。</w:t>
            </w:r>
          </w:p>
        </w:tc>
      </w:tr>
      <w:tr w14:paraId="5D93D804">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9678CD">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5</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FC0F19">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转运过程中，由于危险废物转运车辆产生的事故，以及投标人收集、运输存</w:t>
            </w:r>
          </w:p>
          <w:p w14:paraId="1855B85E">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放过程中管理不当导致医疗废物流失、泄露、扩散等转染性事件及产生的费</w:t>
            </w:r>
          </w:p>
          <w:p w14:paraId="4C82EF89">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用，由投标人负责。</w:t>
            </w:r>
          </w:p>
        </w:tc>
      </w:tr>
      <w:tr w14:paraId="10BC5570">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377A18">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6</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47D8790">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脱水后污泥需要48小时内进行转移处置，危险废物处置工艺应为焚烧工艺，并提供相关证明。</w:t>
            </w:r>
          </w:p>
        </w:tc>
      </w:tr>
      <w:tr w14:paraId="7FE8A04B">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8D828C">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7</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C9678B">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必须按照危险废物集中处置规范及时处置危险废物废物，防止危险废物废物对环境造成污染。处置过后的污泥必须明确最终处置去向，填埋至危险废物填埋场。</w:t>
            </w:r>
          </w:p>
        </w:tc>
      </w:tr>
      <w:tr w14:paraId="30832C64">
        <w:tblPrEx>
          <w:tblCellMar>
            <w:top w:w="0" w:type="dxa"/>
            <w:left w:w="108" w:type="dxa"/>
            <w:bottom w:w="0" w:type="dxa"/>
            <w:right w:w="108" w:type="dxa"/>
          </w:tblCellMar>
        </w:tblPrEx>
        <w:trPr>
          <w:trHeight w:val="210" w:hRule="atLeast"/>
        </w:trPr>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B87D00">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8</w:t>
            </w:r>
          </w:p>
        </w:tc>
        <w:tc>
          <w:tcPr>
            <w:tcW w:w="44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0CC35D">
            <w:pPr>
              <w:spacing w:line="360" w:lineRule="auto"/>
              <w:jc w:val="center"/>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未尽事宜，按照《医疗机构水污染物排放标准》《医疗废物管理条例》《医疗卫生机构医疗废物管理办法》等与本项目有关的其他文件执行。</w:t>
            </w:r>
          </w:p>
        </w:tc>
      </w:tr>
    </w:tbl>
    <w:p w14:paraId="1F0A23FC">
      <w:pPr>
        <w:spacing w:line="360" w:lineRule="auto"/>
        <w:rPr>
          <w:rFonts w:hint="eastAsia" w:asciiTheme="minorEastAsia" w:hAnsiTheme="minorEastAsia"/>
          <w:b w:val="0"/>
          <w:bCs w:val="0"/>
          <w:sz w:val="24"/>
          <w:szCs w:val="24"/>
          <w:lang w:val="en-US" w:eastAsia="zh-CN"/>
        </w:rPr>
      </w:pPr>
    </w:p>
    <w:p w14:paraId="20DBEA96">
      <w:pPr>
        <w:spacing w:line="360" w:lineRule="auto"/>
        <w:rPr>
          <w:rFonts w:hint="eastAsia" w:asciiTheme="minorEastAsia" w:hAnsiTheme="minorEastAsia"/>
          <w:b w:val="0"/>
          <w:bCs w:val="0"/>
          <w:sz w:val="24"/>
          <w:szCs w:val="24"/>
          <w:lang w:val="en-US" w:eastAsia="zh-CN"/>
        </w:rPr>
      </w:pPr>
    </w:p>
    <w:p w14:paraId="3CAB1E2C">
      <w:pPr>
        <w:spacing w:line="360" w:lineRule="auto"/>
        <w:rPr>
          <w:rFonts w:hint="eastAsia" w:asciiTheme="minorEastAsia" w:hAnsiTheme="minorEastAsia"/>
          <w:b w:val="0"/>
          <w:bCs w:val="0"/>
          <w:sz w:val="24"/>
          <w:szCs w:val="24"/>
          <w:lang w:val="en-US" w:eastAsia="zh-CN"/>
        </w:rPr>
      </w:pPr>
    </w:p>
    <w:p w14:paraId="16523CFD">
      <w:pPr>
        <w:spacing w:line="360" w:lineRule="auto"/>
        <w:rPr>
          <w:rFonts w:hint="eastAsia" w:asciiTheme="minorEastAsia" w:hAnsiTheme="minorEastAsia"/>
          <w:b w:val="0"/>
          <w:bCs w:val="0"/>
          <w:sz w:val="24"/>
          <w:szCs w:val="24"/>
          <w:lang w:val="en-US" w:eastAsia="zh-CN"/>
        </w:rPr>
      </w:pPr>
    </w:p>
    <w:p w14:paraId="5B584130">
      <w:pPr>
        <w:spacing w:line="360" w:lineRule="auto"/>
        <w:rPr>
          <w:rFonts w:hint="eastAsia" w:asciiTheme="minorEastAsia" w:hAnsiTheme="minorEastAsia"/>
          <w:b w:val="0"/>
          <w:bCs w:val="0"/>
          <w:sz w:val="24"/>
          <w:szCs w:val="24"/>
          <w:lang w:val="en-US" w:eastAsia="zh-CN"/>
        </w:rPr>
      </w:pPr>
    </w:p>
    <w:p w14:paraId="05E1C42F">
      <w:pPr>
        <w:spacing w:line="360" w:lineRule="auto"/>
        <w:rPr>
          <w:rFonts w:hint="eastAsia" w:asciiTheme="minorEastAsia" w:hAnsiTheme="minorEastAsia"/>
          <w:b w:val="0"/>
          <w:bCs w:val="0"/>
          <w:sz w:val="24"/>
          <w:szCs w:val="24"/>
          <w:lang w:val="en-US" w:eastAsia="zh-CN"/>
        </w:rPr>
      </w:pPr>
    </w:p>
    <w:p w14:paraId="3BBDD4F6">
      <w:pPr>
        <w:spacing w:line="360" w:lineRule="auto"/>
        <w:rPr>
          <w:rFonts w:hint="eastAsia" w:asciiTheme="minorEastAsia" w:hAnsiTheme="minorEastAsia"/>
          <w:b w:val="0"/>
          <w:bCs w:val="0"/>
          <w:sz w:val="24"/>
          <w:szCs w:val="24"/>
          <w:lang w:val="en-US" w:eastAsia="zh-CN"/>
        </w:rPr>
      </w:pPr>
    </w:p>
    <w:p w14:paraId="13FF9318">
      <w:pPr>
        <w:spacing w:line="360" w:lineRule="auto"/>
        <w:rPr>
          <w:rFonts w:hint="eastAsia" w:asciiTheme="minorEastAsia" w:hAnsiTheme="minorEastAsia"/>
          <w:b w:val="0"/>
          <w:bCs w:val="0"/>
          <w:sz w:val="24"/>
          <w:szCs w:val="24"/>
          <w:lang w:val="en-US" w:eastAsia="zh-CN"/>
        </w:rPr>
      </w:pPr>
    </w:p>
    <w:p w14:paraId="19EC3F13">
      <w:pPr>
        <w:spacing w:line="360" w:lineRule="auto"/>
        <w:rPr>
          <w:rFonts w:hint="eastAsia" w:asciiTheme="minorEastAsia" w:hAnsiTheme="minorEastAsia"/>
          <w:b w:val="0"/>
          <w:bCs w:val="0"/>
          <w:sz w:val="24"/>
          <w:szCs w:val="24"/>
          <w:lang w:val="en-US" w:eastAsia="zh-CN"/>
        </w:rPr>
      </w:pPr>
    </w:p>
    <w:p w14:paraId="3F4E458E">
      <w:pPr>
        <w:spacing w:line="360" w:lineRule="auto"/>
        <w:rPr>
          <w:rFonts w:hint="eastAsia" w:asciiTheme="minorEastAsia" w:hAnsiTheme="minorEastAsia"/>
          <w:b w:val="0"/>
          <w:bCs w:val="0"/>
          <w:sz w:val="24"/>
          <w:szCs w:val="24"/>
          <w:lang w:val="en-US" w:eastAsia="zh-CN"/>
        </w:rPr>
      </w:pPr>
    </w:p>
    <w:p w14:paraId="783FF941">
      <w:pPr>
        <w:spacing w:line="360" w:lineRule="auto"/>
        <w:rPr>
          <w:rFonts w:hint="eastAsia" w:asciiTheme="minorEastAsia" w:hAnsiTheme="minorEastAsia"/>
          <w:b w:val="0"/>
          <w:bCs w:val="0"/>
          <w:sz w:val="24"/>
          <w:szCs w:val="24"/>
          <w:lang w:val="en-US" w:eastAsia="zh-CN"/>
        </w:rPr>
      </w:pPr>
    </w:p>
    <w:p w14:paraId="41617389">
      <w:pPr>
        <w:spacing w:line="360" w:lineRule="auto"/>
        <w:rPr>
          <w:rFonts w:hint="eastAsia" w:asciiTheme="minorEastAsia" w:hAnsiTheme="minorEastAsia"/>
          <w:b w:val="0"/>
          <w:bCs w:val="0"/>
          <w:sz w:val="24"/>
          <w:szCs w:val="24"/>
          <w:lang w:val="en-US" w:eastAsia="zh-CN"/>
        </w:rPr>
      </w:pPr>
    </w:p>
    <w:p w14:paraId="3AB8BAF9">
      <w:pPr>
        <w:spacing w:line="360" w:lineRule="auto"/>
        <w:rPr>
          <w:rFonts w:hint="eastAsia" w:asciiTheme="minorEastAsia" w:hAnsiTheme="minorEastAsia"/>
          <w:b w:val="0"/>
          <w:bCs w:val="0"/>
          <w:sz w:val="24"/>
          <w:szCs w:val="24"/>
          <w:lang w:val="en-US" w:eastAsia="zh-CN"/>
        </w:rPr>
      </w:pPr>
    </w:p>
    <w:p w14:paraId="7A6076B7">
      <w:pPr>
        <w:spacing w:line="360" w:lineRule="auto"/>
        <w:rPr>
          <w:rFonts w:hint="eastAsia" w:asciiTheme="minorEastAsia" w:hAnsiTheme="minorEastAsia"/>
          <w:b w:val="0"/>
          <w:bCs w:val="0"/>
          <w:sz w:val="24"/>
          <w:szCs w:val="24"/>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bCs/>
          <w:color w:val="FF0000"/>
          <w:sz w:val="24"/>
          <w:szCs w:val="24"/>
          <w:lang w:val="en-US" w:eastAsia="zh-CN"/>
        </w:rPr>
      </w:pPr>
      <w:r>
        <w:rPr>
          <w:rFonts w:hint="eastAsia" w:ascii="宋体" w:hAnsi="宋体" w:eastAsia="宋体" w:cs="宋体"/>
          <w:b/>
          <w:bCs/>
          <w:sz w:val="24"/>
          <w:szCs w:val="24"/>
          <w:lang w:val="en-US" w:eastAsia="zh-CN"/>
        </w:rPr>
        <w:t>三、评标方法及细则要求（</w:t>
      </w:r>
      <w:r>
        <w:rPr>
          <w:rFonts w:hint="eastAsia" w:asciiTheme="minorEastAsia" w:hAnsiTheme="minorEastAsia"/>
          <w:b/>
          <w:bCs/>
          <w:color w:val="FF0000"/>
          <w:sz w:val="24"/>
          <w:szCs w:val="24"/>
          <w:lang w:val="en-US" w:eastAsia="zh-CN"/>
        </w:rPr>
        <w:t>最低价法</w:t>
      </w:r>
      <w:r>
        <w:rPr>
          <w:rFonts w:hint="eastAsia" w:ascii="宋体" w:hAnsi="宋体" w:eastAsia="宋体" w:cs="宋体"/>
          <w:b/>
          <w:bCs/>
          <w:sz w:val="24"/>
          <w:szCs w:val="24"/>
          <w:lang w:val="en-US" w:eastAsia="zh-CN"/>
        </w:rPr>
        <w:t>）</w:t>
      </w:r>
    </w:p>
    <w:p w14:paraId="50A14478">
      <w:pPr>
        <w:spacing w:line="360" w:lineRule="auto"/>
        <w:rPr>
          <w:rFonts w:ascii="宋体" w:hAnsi="宋体"/>
          <w:b w:val="0"/>
          <w:bCs/>
          <w:sz w:val="21"/>
          <w:szCs w:val="21"/>
          <w:lang w:val="zh-CN"/>
        </w:rPr>
      </w:pP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审查投标人2022年或2023年度经会计事务所出具的财务审计报告或基本开户银行证明及基本开户银行出具的近一年内的银行资信证明。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BC7FCBF">
      <w:pPr>
        <w:pStyle w:val="9"/>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15FB3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79EB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8321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A3AC65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D42E9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0F6FD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B2CCA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D1EA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1F65EAE3">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18"/>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18"/>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3168B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1096C37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14:paraId="17DCDA1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8"/>
        <w:rPr>
          <w:rFonts w:hint="eastAsia"/>
          <w:lang w:val="en-US" w:eastAsia="zh-CN"/>
        </w:rPr>
      </w:pPr>
    </w:p>
    <w:p w14:paraId="710D5673">
      <w:pPr>
        <w:rPr>
          <w:rFonts w:hint="eastAsia"/>
          <w:lang w:val="en-US" w:eastAsia="zh-CN"/>
        </w:rPr>
      </w:pPr>
    </w:p>
    <w:p w14:paraId="760D02D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E23FE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1"/>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2E2127D">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DC568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4D54FF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9FD2328">
      <w:pPr>
        <w:rPr>
          <w:rFonts w:hint="default" w:ascii="宋体" w:hAnsi="宋体" w:eastAsia="宋体"/>
          <w:b/>
          <w:bCs/>
          <w:sz w:val="30"/>
          <w:szCs w:val="30"/>
          <w:vertAlign w:val="baseline"/>
          <w:lang w:val="en-US" w:eastAsia="zh-CN"/>
        </w:rPr>
      </w:pPr>
      <w:r>
        <w:rPr>
          <w:rFonts w:hint="eastAsia" w:ascii="宋体" w:hAnsi="宋体" w:eastAsia="宋体"/>
          <w:b/>
          <w:bCs/>
          <w:sz w:val="30"/>
          <w:szCs w:val="30"/>
          <w:lang w:val="en-US" w:eastAsia="zh-CN"/>
        </w:rPr>
        <w:t>分项报价表</w:t>
      </w:r>
    </w:p>
    <w:tbl>
      <w:tblPr>
        <w:tblStyle w:val="11"/>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184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F0512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0BFB433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70D75DD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0E13B3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72CA856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20E6D3C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4B05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F9A7EC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03BA6F8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东胜部污泥处置</w:t>
            </w:r>
          </w:p>
          <w:p w14:paraId="730BEB21">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1480" w:type="dxa"/>
            <w:vAlign w:val="center"/>
          </w:tcPr>
          <w:p w14:paraId="7EAA7869">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吨</w:t>
            </w:r>
          </w:p>
        </w:tc>
        <w:tc>
          <w:tcPr>
            <w:tcW w:w="1480" w:type="dxa"/>
            <w:vAlign w:val="center"/>
          </w:tcPr>
          <w:p w14:paraId="4CD08079">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w:t>
            </w:r>
          </w:p>
        </w:tc>
        <w:tc>
          <w:tcPr>
            <w:tcW w:w="1568" w:type="dxa"/>
            <w:vAlign w:val="center"/>
          </w:tcPr>
          <w:p w14:paraId="3887E506">
            <w:pPr>
              <w:jc w:val="center"/>
              <w:rPr>
                <w:rFonts w:hint="eastAsia" w:ascii="宋体" w:hAnsi="宋体" w:eastAsia="宋体" w:cs="宋体"/>
                <w:b/>
                <w:bCs/>
                <w:sz w:val="24"/>
                <w:szCs w:val="24"/>
                <w:vertAlign w:val="baseline"/>
                <w:lang w:val="en-US" w:eastAsia="zh-CN"/>
              </w:rPr>
            </w:pPr>
          </w:p>
        </w:tc>
        <w:tc>
          <w:tcPr>
            <w:tcW w:w="1771" w:type="dxa"/>
            <w:vAlign w:val="center"/>
          </w:tcPr>
          <w:p w14:paraId="59FE7FEB">
            <w:pPr>
              <w:jc w:val="center"/>
              <w:rPr>
                <w:rFonts w:hint="eastAsia" w:ascii="宋体" w:hAnsi="宋体" w:eastAsia="宋体" w:cs="宋体"/>
                <w:b/>
                <w:bCs/>
                <w:sz w:val="24"/>
                <w:szCs w:val="24"/>
                <w:vertAlign w:val="baseline"/>
                <w:lang w:val="en-US" w:eastAsia="zh-CN"/>
              </w:rPr>
            </w:pPr>
          </w:p>
        </w:tc>
      </w:tr>
      <w:tr w14:paraId="645E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0F5292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54FA478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康巴什部污泥处置</w:t>
            </w:r>
          </w:p>
        </w:tc>
        <w:tc>
          <w:tcPr>
            <w:tcW w:w="1480" w:type="dxa"/>
            <w:vAlign w:val="center"/>
          </w:tcPr>
          <w:p w14:paraId="172978A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吨</w:t>
            </w:r>
          </w:p>
        </w:tc>
        <w:tc>
          <w:tcPr>
            <w:tcW w:w="1480" w:type="dxa"/>
            <w:vAlign w:val="center"/>
          </w:tcPr>
          <w:p w14:paraId="50DA5D76">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1568" w:type="dxa"/>
            <w:vAlign w:val="center"/>
          </w:tcPr>
          <w:p w14:paraId="22544551">
            <w:pPr>
              <w:jc w:val="center"/>
              <w:rPr>
                <w:rFonts w:hint="eastAsia" w:ascii="宋体" w:hAnsi="宋体" w:eastAsia="宋体" w:cs="宋体"/>
                <w:b/>
                <w:bCs/>
                <w:sz w:val="24"/>
                <w:szCs w:val="24"/>
                <w:vertAlign w:val="baseline"/>
                <w:lang w:val="en-US" w:eastAsia="zh-CN"/>
              </w:rPr>
            </w:pPr>
          </w:p>
        </w:tc>
        <w:tc>
          <w:tcPr>
            <w:tcW w:w="1771" w:type="dxa"/>
            <w:vAlign w:val="center"/>
          </w:tcPr>
          <w:p w14:paraId="11C1969D">
            <w:pPr>
              <w:jc w:val="center"/>
              <w:rPr>
                <w:rFonts w:hint="eastAsia" w:ascii="宋体" w:hAnsi="宋体" w:eastAsia="宋体" w:cs="宋体"/>
                <w:b/>
                <w:bCs/>
                <w:sz w:val="24"/>
                <w:szCs w:val="24"/>
                <w:vertAlign w:val="baseline"/>
                <w:lang w:val="en-US" w:eastAsia="zh-CN"/>
              </w:rPr>
            </w:pPr>
          </w:p>
        </w:tc>
      </w:tr>
      <w:tr w14:paraId="3843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52623FD7">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合计：             </w:t>
            </w:r>
          </w:p>
        </w:tc>
      </w:tr>
    </w:tbl>
    <w:p w14:paraId="57FD91F9">
      <w:pPr>
        <w:rPr>
          <w:rFonts w:hint="default" w:ascii="宋体" w:hAnsi="宋体" w:eastAsia="宋体"/>
          <w:b/>
          <w:bCs/>
          <w:sz w:val="30"/>
          <w:szCs w:val="30"/>
          <w:lang w:val="en-US" w:eastAsia="zh-CN"/>
        </w:rPr>
      </w:pPr>
    </w:p>
    <w:p w14:paraId="03A68BA9">
      <w:pPr>
        <w:pStyle w:val="8"/>
        <w:rPr>
          <w:rFonts w:ascii="宋体" w:hAnsi="宋体" w:eastAsia="宋体"/>
          <w:sz w:val="24"/>
          <w:szCs w:val="24"/>
          <w:lang w:val="zh-CN"/>
        </w:rPr>
      </w:pPr>
    </w:p>
    <w:p w14:paraId="4F947E2D">
      <w:pPr>
        <w:pStyle w:val="8"/>
        <w:ind w:left="0" w:leftChars="0" w:firstLine="0" w:firstLineChars="0"/>
        <w:jc w:val="both"/>
        <w:rPr>
          <w:rFonts w:ascii="宋体" w:hAnsi="宋体" w:eastAsia="宋体"/>
          <w:sz w:val="24"/>
          <w:szCs w:val="24"/>
          <w:lang w:val="zh-CN"/>
        </w:rPr>
      </w:pPr>
    </w:p>
    <w:p w14:paraId="3594FF8C">
      <w:pPr>
        <w:rPr>
          <w:rFonts w:ascii="宋体" w:hAnsi="宋体" w:eastAsia="宋体"/>
          <w:sz w:val="24"/>
          <w:szCs w:val="24"/>
          <w:lang w:val="zh-CN"/>
        </w:rPr>
      </w:pPr>
    </w:p>
    <w:p w14:paraId="1F339C0E">
      <w:pPr>
        <w:rPr>
          <w:rFonts w:ascii="宋体" w:hAnsi="宋体" w:eastAsia="宋体"/>
          <w:sz w:val="24"/>
          <w:szCs w:val="24"/>
          <w:lang w:val="zh-CN"/>
        </w:rPr>
      </w:pPr>
    </w:p>
    <w:p w14:paraId="68785C4B">
      <w:pPr>
        <w:rPr>
          <w:lang w:val="zh-CN"/>
        </w:rPr>
      </w:pPr>
    </w:p>
    <w:p w14:paraId="4368EC89">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585CEADA">
      <w:pPr>
        <w:rPr>
          <w:rFonts w:ascii="宋体" w:hAnsi="宋体" w:eastAsia="宋体"/>
          <w:sz w:val="24"/>
          <w:szCs w:val="24"/>
          <w:lang w:val="zh-CN"/>
        </w:rPr>
      </w:pPr>
    </w:p>
    <w:p w14:paraId="1AE6957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5014C552">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50866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EBA13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AAD85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BE9AEF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3ABA49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75F5E3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21A29BE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9DE6C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5A1D5C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080153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AAA4E4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C57A5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A63B4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8FB42A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EDFCB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A2E8F3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25F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8A2016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371C4C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D713B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1CA03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5B7C89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BD4F6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166DB8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7786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56E53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7D9F8FB">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5B415FC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F2264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05AE1A4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A42EE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3D1915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6A61C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FA55B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6F5EFC78">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77A8E3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F121D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7CD370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EFC733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01708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ED319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C46EFB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72C07C0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BEB0D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080518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ECC73C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718B44C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97B51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7E87DE45">
      <w:pPr>
        <w:rPr>
          <w:lang w:val="zh-CN"/>
        </w:rPr>
      </w:pPr>
    </w:p>
    <w:p w14:paraId="1C3B0CD8">
      <w:pPr>
        <w:rPr>
          <w:lang w:val="zh-CN"/>
        </w:rPr>
      </w:pPr>
    </w:p>
    <w:p w14:paraId="5DBCBE27">
      <w:pPr>
        <w:rPr>
          <w:lang w:val="zh-CN"/>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w:t>
      </w:r>
      <w:r>
        <w:rPr>
          <w:rFonts w:hint="eastAsia" w:ascii="宋体" w:hAnsi="宋体" w:eastAsia="宋体" w:cs="宋体"/>
          <w:b/>
          <w:bCs/>
          <w:sz w:val="28"/>
          <w:szCs w:val="28"/>
          <w:lang w:val="en-US" w:eastAsia="zh-CN"/>
        </w:rPr>
        <w:t>标准与</w:t>
      </w:r>
      <w:r>
        <w:rPr>
          <w:rFonts w:hint="eastAsia" w:ascii="宋体" w:hAnsi="宋体" w:eastAsia="宋体" w:cs="宋体"/>
          <w:b/>
          <w:bCs/>
          <w:color w:val="000000"/>
          <w:kern w:val="2"/>
          <w:sz w:val="28"/>
          <w:szCs w:val="28"/>
          <w:lang w:val="en-US" w:eastAsia="zh-CN" w:bidi="ar-SA"/>
        </w:rPr>
        <w:t>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十三、其他</w:t>
      </w:r>
    </w:p>
    <w:p w14:paraId="6C826100">
      <w:pPr>
        <w:pStyle w:val="9"/>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3ECF1320"/>
    <w:multiLevelType w:val="singleLevel"/>
    <w:tmpl w:val="3ECF1320"/>
    <w:lvl w:ilvl="0" w:tentative="0">
      <w:start w:val="2"/>
      <w:numFmt w:val="chineseCounting"/>
      <w:suff w:val="nothing"/>
      <w:lvlText w:val="%1、"/>
      <w:lvlJc w:val="left"/>
      <w:rPr>
        <w:rFonts w:hint="eastAsia" w:ascii="宋体" w:hAnsi="宋体" w:eastAsia="宋体" w:cs="宋体"/>
        <w:sz w:val="28"/>
        <w:szCs w:val="28"/>
      </w:rPr>
    </w:lvl>
  </w:abstractNum>
  <w:abstractNum w:abstractNumId="5">
    <w:nsid w:val="4D5DB973"/>
    <w:multiLevelType w:val="singleLevel"/>
    <w:tmpl w:val="4D5DB973"/>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5D86E48"/>
    <w:rsid w:val="06CC6D2C"/>
    <w:rsid w:val="0AF36DAD"/>
    <w:rsid w:val="0B071A1E"/>
    <w:rsid w:val="0FA56EE1"/>
    <w:rsid w:val="115A46F8"/>
    <w:rsid w:val="133379FA"/>
    <w:rsid w:val="14DB04C0"/>
    <w:rsid w:val="1695469E"/>
    <w:rsid w:val="16E12027"/>
    <w:rsid w:val="181A358A"/>
    <w:rsid w:val="23CE1D2F"/>
    <w:rsid w:val="251E1D03"/>
    <w:rsid w:val="25C919AF"/>
    <w:rsid w:val="25D53313"/>
    <w:rsid w:val="27565784"/>
    <w:rsid w:val="2DB17BB8"/>
    <w:rsid w:val="36193433"/>
    <w:rsid w:val="37C51EB8"/>
    <w:rsid w:val="3CAB7EC8"/>
    <w:rsid w:val="3D026506"/>
    <w:rsid w:val="3EBE0FDE"/>
    <w:rsid w:val="44EE3048"/>
    <w:rsid w:val="489D725F"/>
    <w:rsid w:val="496367F5"/>
    <w:rsid w:val="513A6D82"/>
    <w:rsid w:val="53EC40E0"/>
    <w:rsid w:val="54821F72"/>
    <w:rsid w:val="58FA7E92"/>
    <w:rsid w:val="5F4955F3"/>
    <w:rsid w:val="60C72393"/>
    <w:rsid w:val="61DA622D"/>
    <w:rsid w:val="63882868"/>
    <w:rsid w:val="6524173B"/>
    <w:rsid w:val="67127F22"/>
    <w:rsid w:val="6A8B4D12"/>
    <w:rsid w:val="6EB75FF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Subtitle"/>
    <w:basedOn w:val="1"/>
    <w:next w:val="1"/>
    <w:qFormat/>
    <w:uiPriority w:val="0"/>
    <w:pPr>
      <w:autoSpaceDE/>
      <w:autoSpaceDN/>
      <w:spacing w:before="240" w:after="60" w:line="312" w:lineRule="auto"/>
      <w:ind w:firstLine="14"/>
      <w:jc w:val="center"/>
      <w:outlineLvl w:val="1"/>
    </w:pPr>
  </w:style>
  <w:style w:type="paragraph" w:styleId="9">
    <w:name w:val="Body Text 2"/>
    <w:basedOn w:val="1"/>
    <w:qFormat/>
    <w:uiPriority w:val="0"/>
    <w:pPr>
      <w:spacing w:after="120" w:afterLines="0" w:afterAutospacing="0" w:line="480" w:lineRule="auto"/>
    </w:p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14">
    <w:name w:val="font11"/>
    <w:basedOn w:val="12"/>
    <w:qFormat/>
    <w:uiPriority w:val="0"/>
    <w:rPr>
      <w:rFonts w:hint="eastAsia" w:ascii="宋体" w:hAnsi="宋体" w:eastAsia="宋体" w:cs="宋体"/>
      <w:color w:val="000000"/>
      <w:sz w:val="24"/>
      <w:szCs w:val="24"/>
      <w:u w:val="none"/>
    </w:rPr>
  </w:style>
  <w:style w:type="character" w:customStyle="1" w:styleId="15">
    <w:name w:val="font21"/>
    <w:basedOn w:val="12"/>
    <w:qFormat/>
    <w:uiPriority w:val="0"/>
    <w:rPr>
      <w:rFonts w:hint="default" w:ascii="Calibri" w:hAnsi="Calibri" w:cs="Calibri"/>
      <w:color w:val="000000"/>
      <w:sz w:val="24"/>
      <w:szCs w:val="24"/>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12"/>
    <w:qFormat/>
    <w:uiPriority w:val="0"/>
    <w:rPr>
      <w:rFonts w:hint="eastAsia" w:ascii="宋体" w:hAnsi="宋体" w:eastAsia="宋体" w:cs="宋体"/>
      <w:b/>
      <w:bCs/>
      <w:color w:val="000000"/>
      <w:sz w:val="22"/>
      <w:szCs w:val="22"/>
      <w:u w:val="none"/>
    </w:rPr>
  </w:style>
  <w:style w:type="paragraph" w:customStyle="1" w:styleId="18">
    <w:name w:val="Body Text First Indent 21"/>
    <w:basedOn w:val="4"/>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19">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10949</Words>
  <Characters>12784</Characters>
  <Lines>0</Lines>
  <Paragraphs>0</Paragraphs>
  <TotalTime>7</TotalTime>
  <ScaleCrop>false</ScaleCrop>
  <LinksUpToDate>false</LinksUpToDate>
  <CharactersWithSpaces>13329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zdw</cp:lastModifiedBy>
  <dcterms:modified xsi:type="dcterms:W3CDTF">2024-09-03T02:08:33Z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893E3461647D40EFA5A7724EA82CA15A_13</vt:lpwstr>
  </property>
</Properties>
</file>