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0890FF99">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VITEK质谱仪保修服务项目（二次</w:t>
      </w:r>
      <w:bookmarkStart w:id="1" w:name="_GoBack"/>
      <w:bookmarkEnd w:id="1"/>
      <w:r>
        <w:rPr>
          <w:rFonts w:hint="eastAsia" w:ascii="宋体" w:hAnsi="宋体" w:eastAsia="宋体" w:cs="宋体"/>
          <w:b/>
          <w:i w:val="0"/>
          <w:caps/>
          <w:color w:val="333333"/>
          <w:spacing w:val="0"/>
          <w:sz w:val="32"/>
          <w:szCs w:val="32"/>
          <w:lang w:val="en-US" w:eastAsia="zh-CN"/>
        </w:rPr>
        <w:t>）</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2024年9月11日</w:t>
      </w:r>
    </w:p>
    <w:p w14:paraId="37449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sz w:val="32"/>
          <w:szCs w:val="32"/>
          <w:lang w:val="en-US" w:eastAsia="zh-CN"/>
        </w:rPr>
      </w:pPr>
    </w:p>
    <w:p w14:paraId="4ED96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sz w:val="32"/>
          <w:szCs w:val="32"/>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58B7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C7E58BA">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6C29FB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193A3C5">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760A90F">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0A42443B">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20870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10842474">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FE44262">
            <w:pPr>
              <w:rPr>
                <w:rFonts w:hint="default" w:ascii="宋体" w:hAnsi="宋体" w:eastAsia="宋体" w:cs="宋体"/>
                <w:lang w:val="en-US" w:eastAsia="zh-CN"/>
              </w:rPr>
            </w:pPr>
            <w:r>
              <w:rPr>
                <w:rFonts w:hint="eastAsia" w:ascii="宋体" w:hAnsi="宋体" w:eastAsia="宋体" w:cs="宋体"/>
                <w:sz w:val="24"/>
                <w:szCs w:val="24"/>
                <w:lang w:val="en-US" w:eastAsia="zh-CN"/>
              </w:rPr>
              <w:t>VITEK质谱仪保修—东胜部</w:t>
            </w:r>
          </w:p>
        </w:tc>
        <w:tc>
          <w:tcPr>
            <w:tcW w:w="903" w:type="dxa"/>
            <w:vAlign w:val="center"/>
          </w:tcPr>
          <w:p w14:paraId="52BA529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826" w:type="dxa"/>
            <w:vAlign w:val="center"/>
          </w:tcPr>
          <w:p w14:paraId="4D90F04C">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051E0E64">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140000</w:t>
            </w:r>
          </w:p>
        </w:tc>
      </w:tr>
      <w:tr w14:paraId="21CE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1429806">
            <w:pPr>
              <w:rPr>
                <w:rFonts w:hint="eastAsia" w:ascii="宋体" w:hAnsi="宋体" w:eastAsia="宋体" w:cs="宋体"/>
                <w:sz w:val="24"/>
                <w:szCs w:val="24"/>
              </w:rPr>
            </w:pPr>
          </w:p>
        </w:tc>
        <w:tc>
          <w:tcPr>
            <w:tcW w:w="2865" w:type="dxa"/>
            <w:vAlign w:val="center"/>
          </w:tcPr>
          <w:p w14:paraId="33B9689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VITEK质谱仪保修—康巴什部</w:t>
            </w:r>
          </w:p>
        </w:tc>
        <w:tc>
          <w:tcPr>
            <w:tcW w:w="903" w:type="dxa"/>
            <w:vAlign w:val="center"/>
          </w:tcPr>
          <w:p w14:paraId="1D01D6F7">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F50CF21">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0E0A74BB">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140000</w:t>
            </w:r>
          </w:p>
        </w:tc>
      </w:tr>
      <w:tr w14:paraId="469F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5FAE044E">
            <w:pPr>
              <w:rPr>
                <w:rFonts w:hint="eastAsia" w:ascii="宋体" w:hAnsi="宋体" w:eastAsia="宋体" w:cs="宋体"/>
                <w:sz w:val="24"/>
                <w:szCs w:val="24"/>
              </w:rPr>
            </w:pPr>
          </w:p>
        </w:tc>
        <w:tc>
          <w:tcPr>
            <w:tcW w:w="4594" w:type="dxa"/>
            <w:gridSpan w:val="3"/>
            <w:vAlign w:val="center"/>
          </w:tcPr>
          <w:p w14:paraId="10E6B659">
            <w:pPr>
              <w:ind w:firstLine="1920" w:firstLineChars="8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2934" w:type="dxa"/>
            <w:vAlign w:val="center"/>
          </w:tcPr>
          <w:p w14:paraId="14EC6545">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280000</w:t>
            </w:r>
          </w:p>
        </w:tc>
      </w:tr>
      <w:tr w14:paraId="75ECF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7B49B633">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DEC51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0A821B33">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r w14:paraId="6EDB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35F1E1B9">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8646BDB">
            <w:pP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3"/>
            <w:vAlign w:val="center"/>
          </w:tcPr>
          <w:p w14:paraId="2F96F5C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4E76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1D340DA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B94025A">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6C546E4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保修期满1年，验收合格后3个月内一次性付清</w:t>
            </w:r>
          </w:p>
        </w:tc>
      </w:tr>
      <w:tr w14:paraId="2921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4AC13E4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66BC6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16119B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按合同签订的服务期限执行保修项目，保修期满，完成验收。</w:t>
            </w:r>
          </w:p>
        </w:tc>
      </w:tr>
    </w:tbl>
    <w:p w14:paraId="069F65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4C1E3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05EF8E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12765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368587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C7143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3FC130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04A416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4FA95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79315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6E232F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49A5931F">
      <w:pPr>
        <w:numPr>
          <w:ilvl w:val="0"/>
          <w:numId w:val="0"/>
        </w:numPr>
        <w:rPr>
          <w:rFonts w:hint="eastAsia" w:ascii="宋体" w:hAnsi="宋体" w:eastAsia="宋体" w:cs="宋体"/>
          <w:b/>
          <w:bCs/>
          <w:sz w:val="24"/>
          <w:szCs w:val="24"/>
          <w:lang w:val="en-US" w:eastAsia="zh-CN"/>
        </w:rPr>
      </w:pPr>
    </w:p>
    <w:tbl>
      <w:tblPr>
        <w:tblStyle w:val="14"/>
        <w:tblpPr w:leftFromText="180" w:rightFromText="180" w:vertAnchor="text" w:horzAnchor="page" w:tblpX="2201" w:tblpY="494"/>
        <w:tblOverlap w:val="never"/>
        <w:tblW w:w="78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7061"/>
      </w:tblGrid>
      <w:tr w14:paraId="76819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 w:hRule="atLeast"/>
        </w:trPr>
        <w:tc>
          <w:tcPr>
            <w:tcW w:w="750" w:type="dxa"/>
            <w:tcBorders>
              <w:tl2br w:val="nil"/>
              <w:tr2bl w:val="nil"/>
            </w:tcBorders>
            <w:vAlign w:val="center"/>
          </w:tcPr>
          <w:p w14:paraId="1FDAD9F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l2br w:val="nil"/>
              <w:tr2bl w:val="nil"/>
            </w:tcBorders>
            <w:vAlign w:val="center"/>
          </w:tcPr>
          <w:p w14:paraId="6526CA0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45377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183F11E">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w:t>
            </w:r>
          </w:p>
        </w:tc>
        <w:tc>
          <w:tcPr>
            <w:tcW w:w="7061" w:type="dxa"/>
            <w:tcBorders>
              <w:tl2br w:val="nil"/>
              <w:tr2bl w:val="nil"/>
            </w:tcBorders>
            <w:vAlign w:val="center"/>
          </w:tcPr>
          <w:p w14:paraId="4C8DE69F">
            <w:pPr>
              <w:widowControl/>
              <w:spacing w:line="240" w:lineRule="auto"/>
              <w:jc w:val="left"/>
              <w:rPr>
                <w:rFonts w:hint="eastAsia" w:ascii="宋体" w:hAnsi="宋体" w:eastAsia="宋体" w:cs="宋体"/>
                <w:kern w:val="0"/>
                <w:sz w:val="22"/>
                <w:szCs w:val="22"/>
                <w:lang w:eastAsia="zh-CN" w:bidi="lo-LA"/>
              </w:rPr>
            </w:pPr>
            <w:r>
              <w:rPr>
                <w:rFonts w:hint="eastAsia" w:ascii="宋体" w:hAnsi="宋体" w:eastAsia="宋体"/>
                <w:sz w:val="22"/>
                <w:szCs w:val="22"/>
              </w:rPr>
              <w:t>涵盖MS所有配件（不含计算机系统），预防性维护保养（含保养包，可选时间）。</w:t>
            </w:r>
          </w:p>
        </w:tc>
      </w:tr>
      <w:tr w14:paraId="67B85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3E4AFAC4">
            <w:pPr>
              <w:pStyle w:val="22"/>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2</w:t>
            </w:r>
          </w:p>
        </w:tc>
        <w:tc>
          <w:tcPr>
            <w:tcW w:w="7061" w:type="dxa"/>
            <w:tcBorders>
              <w:tl2br w:val="nil"/>
              <w:tr2bl w:val="nil"/>
            </w:tcBorders>
            <w:vAlign w:val="center"/>
          </w:tcPr>
          <w:p w14:paraId="59994102">
            <w:pPr>
              <w:pStyle w:val="11"/>
              <w:spacing w:line="360" w:lineRule="auto"/>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投标人设有长期稳定的服务机构≥2年，配备全职专业维修工程师≥4名，并提供经原厂认证的有效期内资质证明文件。</w:t>
            </w:r>
          </w:p>
        </w:tc>
      </w:tr>
      <w:tr w14:paraId="35AFA5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5257E820">
            <w:pPr>
              <w:pStyle w:val="22"/>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3</w:t>
            </w:r>
          </w:p>
        </w:tc>
        <w:tc>
          <w:tcPr>
            <w:tcW w:w="7061" w:type="dxa"/>
            <w:tcBorders>
              <w:tl2br w:val="nil"/>
              <w:tr2bl w:val="nil"/>
            </w:tcBorders>
            <w:vAlign w:val="center"/>
          </w:tcPr>
          <w:p w14:paraId="481BFB2F">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投标人具备同型号仪器的维保经验，用户≥3家，并提供书面证明材料</w:t>
            </w:r>
          </w:p>
        </w:tc>
      </w:tr>
      <w:tr w14:paraId="41500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44A6C4B0">
            <w:pPr>
              <w:pStyle w:val="22"/>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4</w:t>
            </w:r>
          </w:p>
        </w:tc>
        <w:tc>
          <w:tcPr>
            <w:tcW w:w="7061" w:type="dxa"/>
            <w:tcBorders>
              <w:tl2br w:val="nil"/>
              <w:tr2bl w:val="nil"/>
            </w:tcBorders>
            <w:vAlign w:val="center"/>
          </w:tcPr>
          <w:p w14:paraId="61524849">
            <w:pPr>
              <w:pStyle w:val="11"/>
              <w:spacing w:line="360" w:lineRule="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投标人须具有全套飞行质谱仪专业维修工具，包括：MS 激光信号传感器≥1套、MS 激光护目镜≥1套、MS 专用升降台≥1套、MS 油盒服务工具套件≥1套。</w:t>
            </w:r>
          </w:p>
        </w:tc>
      </w:tr>
      <w:tr w14:paraId="513CB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53877A45">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5</w:t>
            </w:r>
          </w:p>
        </w:tc>
        <w:tc>
          <w:tcPr>
            <w:tcW w:w="7061" w:type="dxa"/>
            <w:tcBorders>
              <w:tl2br w:val="nil"/>
              <w:tr2bl w:val="nil"/>
            </w:tcBorders>
            <w:vAlign w:val="center"/>
          </w:tcPr>
          <w:p w14:paraId="3FDA299A">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投标人必须设置有MS系列设备全国专职技术支持团队≥4人，且其中至少1名要求具备大于5年的投标人公司连续服务年限。</w:t>
            </w:r>
          </w:p>
        </w:tc>
      </w:tr>
      <w:tr w14:paraId="3D325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7CA46A65">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6</w:t>
            </w:r>
          </w:p>
        </w:tc>
        <w:tc>
          <w:tcPr>
            <w:tcW w:w="7061" w:type="dxa"/>
            <w:tcBorders>
              <w:tl2br w:val="nil"/>
              <w:tr2bl w:val="nil"/>
            </w:tcBorders>
            <w:vAlign w:val="center"/>
          </w:tcPr>
          <w:p w14:paraId="27F95112">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当所保设备出现故障时，中标人须提供7天×24小时的保修服务，及时派遣工程师进行电话指导或赴现场维修。 </w:t>
            </w:r>
          </w:p>
        </w:tc>
      </w:tr>
      <w:tr w14:paraId="6D3CCE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189F6AFB">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7</w:t>
            </w:r>
          </w:p>
        </w:tc>
        <w:tc>
          <w:tcPr>
            <w:tcW w:w="7061" w:type="dxa"/>
            <w:tcBorders>
              <w:tl2br w:val="nil"/>
              <w:tr2bl w:val="nil"/>
            </w:tcBorders>
            <w:vAlign w:val="center"/>
          </w:tcPr>
          <w:p w14:paraId="41134C31">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现场响应时间：按照院方合理需要，工程师24小时内抵达维修现场；所需更换配件48小时内到货安装.</w:t>
            </w:r>
          </w:p>
        </w:tc>
      </w:tr>
      <w:tr w14:paraId="44A272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0C6BB127">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8</w:t>
            </w:r>
          </w:p>
        </w:tc>
        <w:tc>
          <w:tcPr>
            <w:tcW w:w="7061" w:type="dxa"/>
            <w:tcBorders>
              <w:tl2br w:val="nil"/>
              <w:tr2bl w:val="nil"/>
            </w:tcBorders>
            <w:vAlign w:val="center"/>
          </w:tcPr>
          <w:p w14:paraId="572C05E4">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每年至少提供1次校准和保养服务，包括设备安全检查、设备除尘保养、运行状态检查、更换易损耗件及仪器各个组件的校准等，每年度向院方提供书面保养报告及整机质量评估报告。 </w:t>
            </w:r>
          </w:p>
        </w:tc>
      </w:tr>
      <w:tr w14:paraId="35AED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0405A24">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9</w:t>
            </w:r>
          </w:p>
        </w:tc>
        <w:tc>
          <w:tcPr>
            <w:tcW w:w="7061" w:type="dxa"/>
            <w:tcBorders>
              <w:tl2br w:val="nil"/>
              <w:tr2bl w:val="nil"/>
            </w:tcBorders>
            <w:vAlign w:val="center"/>
          </w:tcPr>
          <w:p w14:paraId="43BE71AD">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投标人保证设备全年开机率≥96%，按一年365天计算，即全年累计停机时间≤14天。若超出上述承诺停机天数，超出一天顺延24天保修。 </w:t>
            </w:r>
          </w:p>
          <w:p w14:paraId="07890167">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4.5、风险防控：投标人维修、保养、操作等原因给设备和人员带来的伤害所造成的损失由投标人无偿承担。 </w:t>
            </w:r>
          </w:p>
        </w:tc>
      </w:tr>
      <w:tr w14:paraId="2F526A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588FFB46">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10</w:t>
            </w:r>
          </w:p>
        </w:tc>
        <w:tc>
          <w:tcPr>
            <w:tcW w:w="7061" w:type="dxa"/>
            <w:tcBorders>
              <w:tl2br w:val="nil"/>
              <w:tr2bl w:val="nil"/>
            </w:tcBorders>
            <w:vAlign w:val="center"/>
          </w:tcPr>
          <w:p w14:paraId="18EF3298">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所更换的备件必须是原厂零配件，满足设备运行要求，不会给设备带来危害。维修备件确保100%供应保障且质保期为6个月。</w:t>
            </w:r>
          </w:p>
        </w:tc>
      </w:tr>
      <w:tr w14:paraId="105D71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052E0696">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11</w:t>
            </w:r>
          </w:p>
        </w:tc>
        <w:tc>
          <w:tcPr>
            <w:tcW w:w="7061" w:type="dxa"/>
            <w:tcBorders>
              <w:tl2br w:val="nil"/>
              <w:tr2bl w:val="nil"/>
            </w:tcBorders>
            <w:vAlign w:val="center"/>
          </w:tcPr>
          <w:p w14:paraId="5CBC8ECB">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CNAS评审任务时，中标公司须按照院方指定要求，无偿派遣工程师赴现场保障，确保设备正常运行</w:t>
            </w:r>
          </w:p>
        </w:tc>
      </w:tr>
      <w:tr w14:paraId="027A2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0AD30DE">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12</w:t>
            </w:r>
          </w:p>
        </w:tc>
        <w:tc>
          <w:tcPr>
            <w:tcW w:w="7061" w:type="dxa"/>
            <w:tcBorders>
              <w:tl2br w:val="nil"/>
              <w:tr2bl w:val="nil"/>
            </w:tcBorders>
            <w:vAlign w:val="center"/>
          </w:tcPr>
          <w:p w14:paraId="1C9B63D8">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LIS升级换代时，中标公司须按照院方指定要求，无偿派遣工程师配合LIS完成数据对接，保证数据传输畅通。 </w:t>
            </w:r>
          </w:p>
        </w:tc>
      </w:tr>
      <w:tr w14:paraId="0CEB6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11072B73">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13</w:t>
            </w:r>
          </w:p>
        </w:tc>
        <w:tc>
          <w:tcPr>
            <w:tcW w:w="7061" w:type="dxa"/>
            <w:tcBorders>
              <w:tl2br w:val="nil"/>
              <w:tr2bl w:val="nil"/>
            </w:tcBorders>
            <w:vAlign w:val="center"/>
          </w:tcPr>
          <w:p w14:paraId="7CA53224">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提供工作人员培训，工作人员培训应满足可自行保养和基本故障维修，并颁发证书。 </w:t>
            </w:r>
          </w:p>
        </w:tc>
      </w:tr>
    </w:tbl>
    <w:p w14:paraId="0A6B9935">
      <w:pPr>
        <w:numPr>
          <w:ilvl w:val="0"/>
          <w:numId w:val="0"/>
        </w:numPr>
        <w:rPr>
          <w:rFonts w:hint="default" w:ascii="宋体" w:hAnsi="宋体" w:eastAsia="宋体" w:cs="宋体"/>
          <w:b/>
          <w:bCs/>
          <w:sz w:val="24"/>
          <w:szCs w:val="24"/>
          <w:lang w:val="en-US" w:eastAsia="zh-CN"/>
        </w:rPr>
      </w:pPr>
    </w:p>
    <w:p w14:paraId="67CA7A52">
      <w:pPr>
        <w:numPr>
          <w:ilvl w:val="0"/>
          <w:numId w:val="0"/>
        </w:numPr>
        <w:rPr>
          <w:rFonts w:hint="default" w:ascii="宋体" w:hAnsi="宋体" w:eastAsia="宋体" w:cs="宋体"/>
          <w:b/>
          <w:bCs/>
          <w:sz w:val="24"/>
          <w:szCs w:val="24"/>
          <w:lang w:val="en-US" w:eastAsia="zh-CN"/>
        </w:rPr>
      </w:pPr>
    </w:p>
    <w:p w14:paraId="42E3EB61">
      <w:pPr>
        <w:numPr>
          <w:ilvl w:val="0"/>
          <w:numId w:val="0"/>
        </w:numPr>
        <w:rPr>
          <w:rFonts w:hint="default" w:ascii="宋体" w:hAnsi="宋体" w:eastAsia="宋体" w:cs="宋体"/>
          <w:b/>
          <w:bCs/>
          <w:sz w:val="24"/>
          <w:szCs w:val="24"/>
          <w:lang w:val="en-US" w:eastAsia="zh-CN"/>
        </w:rPr>
      </w:pPr>
    </w:p>
    <w:p w14:paraId="22E90F5C">
      <w:pPr>
        <w:numPr>
          <w:ilvl w:val="0"/>
          <w:numId w:val="0"/>
        </w:numPr>
        <w:rPr>
          <w:rFonts w:hint="default" w:ascii="宋体" w:hAnsi="宋体" w:eastAsia="宋体" w:cs="宋体"/>
          <w:b/>
          <w:bCs/>
          <w:sz w:val="24"/>
          <w:szCs w:val="24"/>
          <w:lang w:val="en-US" w:eastAsia="zh-CN"/>
        </w:rPr>
      </w:pPr>
    </w:p>
    <w:p w14:paraId="3027C3E2">
      <w:pPr>
        <w:numPr>
          <w:ilvl w:val="0"/>
          <w:numId w:val="0"/>
        </w:numPr>
        <w:rPr>
          <w:rFonts w:hint="default" w:ascii="宋体" w:hAnsi="宋体" w:eastAsia="宋体" w:cs="宋体"/>
          <w:b/>
          <w:bCs/>
          <w:sz w:val="24"/>
          <w:szCs w:val="24"/>
          <w:lang w:val="en-US" w:eastAsia="zh-CN"/>
        </w:rPr>
      </w:pPr>
    </w:p>
    <w:p w14:paraId="775F4339">
      <w:pPr>
        <w:numPr>
          <w:ilvl w:val="0"/>
          <w:numId w:val="0"/>
        </w:numPr>
        <w:rPr>
          <w:rFonts w:hint="default" w:ascii="宋体" w:hAnsi="宋体" w:eastAsia="宋体" w:cs="宋体"/>
          <w:b/>
          <w:bCs/>
          <w:sz w:val="24"/>
          <w:szCs w:val="24"/>
          <w:lang w:val="en-US" w:eastAsia="zh-CN"/>
        </w:rPr>
      </w:pPr>
    </w:p>
    <w:p w14:paraId="6847AEC6">
      <w:pPr>
        <w:numPr>
          <w:ilvl w:val="0"/>
          <w:numId w:val="0"/>
        </w:numPr>
        <w:rPr>
          <w:rFonts w:hint="default" w:ascii="宋体" w:hAnsi="宋体" w:eastAsia="宋体" w:cs="宋体"/>
          <w:b/>
          <w:bCs/>
          <w:sz w:val="24"/>
          <w:szCs w:val="24"/>
          <w:lang w:val="en-US" w:eastAsia="zh-CN"/>
        </w:rPr>
      </w:pPr>
    </w:p>
    <w:p w14:paraId="77286C2B">
      <w:pPr>
        <w:numPr>
          <w:ilvl w:val="0"/>
          <w:numId w:val="0"/>
        </w:numPr>
        <w:rPr>
          <w:rFonts w:hint="default" w:ascii="宋体" w:hAnsi="宋体" w:eastAsia="宋体" w:cs="宋体"/>
          <w:b/>
          <w:bCs/>
          <w:sz w:val="24"/>
          <w:szCs w:val="24"/>
          <w:lang w:val="en-US" w:eastAsia="zh-CN"/>
        </w:rPr>
      </w:pPr>
    </w:p>
    <w:p w14:paraId="7B31D70A">
      <w:pPr>
        <w:numPr>
          <w:ilvl w:val="0"/>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三、表1 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013A7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十三、售后服务方案.......................</w:t>
      </w:r>
      <w:r>
        <w:rPr>
          <w:rFonts w:hint="eastAsia" w:ascii="宋体" w:hAnsi="宋体" w:eastAsia="宋体" w:cs="宋体"/>
          <w:b w:val="0"/>
          <w:bCs w:val="0"/>
          <w:color w:val="000000"/>
          <w:kern w:val="2"/>
          <w:sz w:val="24"/>
          <w:szCs w:val="24"/>
          <w:lang w:val="en-US" w:eastAsia="zh-CN" w:bidi="ar-SA"/>
        </w:rPr>
        <w:t>.............................</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9B6F46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006C2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B6CAD8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86D8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9F9CD3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0"/>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0"/>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0"/>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0"/>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0"/>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0"/>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0"/>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0"/>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0"/>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0"/>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0"/>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0"/>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十三、售后服务方案</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27A7B60"/>
    <w:rsid w:val="13D937CD"/>
    <w:rsid w:val="141960BC"/>
    <w:rsid w:val="14511D5D"/>
    <w:rsid w:val="14597EA8"/>
    <w:rsid w:val="149B26E4"/>
    <w:rsid w:val="14A30191"/>
    <w:rsid w:val="154C7ECF"/>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5925C72"/>
    <w:rsid w:val="37E01129"/>
    <w:rsid w:val="37FD18FB"/>
    <w:rsid w:val="38BD12DD"/>
    <w:rsid w:val="39EF7A7C"/>
    <w:rsid w:val="3A0E46DA"/>
    <w:rsid w:val="3E843922"/>
    <w:rsid w:val="3E94009E"/>
    <w:rsid w:val="3FB454E1"/>
    <w:rsid w:val="3FBA5681"/>
    <w:rsid w:val="415D48B4"/>
    <w:rsid w:val="425449BF"/>
    <w:rsid w:val="43E1752F"/>
    <w:rsid w:val="4803283D"/>
    <w:rsid w:val="49477DDF"/>
    <w:rsid w:val="4AAA66D6"/>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Indent"/>
    <w:basedOn w:val="1"/>
    <w:autoRedefine/>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autoSpaceDE/>
      <w:autoSpaceDN/>
      <w:spacing w:before="240" w:after="60" w:line="312" w:lineRule="auto"/>
      <w:ind w:firstLine="14"/>
      <w:jc w:val="center"/>
      <w:outlineLvl w:val="1"/>
    </w:p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autoRedefine/>
    <w:qFormat/>
    <w:uiPriority w:val="0"/>
    <w:pPr>
      <w:ind w:firstLine="420" w:firstLineChars="200"/>
    </w:p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styleId="22">
    <w:name w:val="List Paragraph"/>
    <w:basedOn w:val="1"/>
    <w:autoRedefine/>
    <w:qFormat/>
    <w:uiPriority w:val="34"/>
    <w:pPr>
      <w:ind w:firstLine="420" w:firstLineChars="200"/>
    </w:pPr>
  </w:style>
  <w:style w:type="paragraph" w:customStyle="1" w:styleId="23">
    <w:name w:val="表格正文"/>
    <w:autoRedefine/>
    <w:qFormat/>
    <w:uiPriority w:val="0"/>
    <w:rPr>
      <w:rFonts w:ascii="宋体" w:hAnsi="宋体"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6246</Words>
  <Characters>6949</Characters>
  <Lines>0</Lines>
  <Paragraphs>0</Paragraphs>
  <TotalTime>0</TotalTime>
  <ScaleCrop>false</ScaleCrop>
  <LinksUpToDate>false</LinksUpToDate>
  <CharactersWithSpaces>7402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2024-09-11T01:47:37Z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91AE86EA4AD0401BBB8D40F707EAEDD7_13</vt:lpwstr>
  </property>
</Properties>
</file>