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49CF7F9">
      <w:pPr>
        <w:numPr>
          <w:ilvl w:val="0"/>
          <w:numId w:val="0"/>
        </w:numPr>
        <w:jc w:val="center"/>
        <w:rPr>
          <w:rFonts w:hint="eastAsia"/>
          <w:b/>
          <w:bCs/>
          <w:sz w:val="44"/>
          <w:szCs w:val="44"/>
          <w:lang w:val="en-US" w:eastAsia="zh-CN"/>
        </w:rPr>
      </w:pPr>
    </w:p>
    <w:p w14:paraId="44C98FAB">
      <w:pPr>
        <w:numPr>
          <w:ilvl w:val="0"/>
          <w:numId w:val="0"/>
        </w:numPr>
        <w:jc w:val="center"/>
        <w:rPr>
          <w:rFonts w:hint="eastAsia"/>
          <w:b/>
          <w:bCs/>
          <w:sz w:val="44"/>
          <w:szCs w:val="44"/>
          <w:lang w:val="en-US" w:eastAsia="zh-CN"/>
        </w:rPr>
      </w:pPr>
    </w:p>
    <w:p w14:paraId="7C84FAE4">
      <w:pPr>
        <w:numPr>
          <w:ilvl w:val="0"/>
          <w:numId w:val="0"/>
        </w:numPr>
        <w:jc w:val="center"/>
        <w:rPr>
          <w:rFonts w:hint="eastAsia"/>
          <w:b/>
          <w:bCs/>
          <w:sz w:val="44"/>
          <w:szCs w:val="44"/>
          <w:lang w:val="en-US" w:eastAsia="zh-CN"/>
        </w:rPr>
      </w:pPr>
    </w:p>
    <w:p w14:paraId="63FAADD8">
      <w:pPr>
        <w:numPr>
          <w:ilvl w:val="0"/>
          <w:numId w:val="0"/>
        </w:numPr>
        <w:jc w:val="center"/>
        <w:rPr>
          <w:rFonts w:hint="eastAsia"/>
          <w:b/>
          <w:bCs/>
          <w:sz w:val="44"/>
          <w:szCs w:val="44"/>
          <w:lang w:val="en-US" w:eastAsia="zh-CN"/>
        </w:rPr>
      </w:pPr>
    </w:p>
    <w:p w14:paraId="5B5FEF55">
      <w:pPr>
        <w:numPr>
          <w:ilvl w:val="0"/>
          <w:numId w:val="0"/>
        </w:numPr>
        <w:jc w:val="center"/>
        <w:rPr>
          <w:rFonts w:hint="eastAsia"/>
          <w:b/>
          <w:bCs/>
          <w:sz w:val="44"/>
          <w:szCs w:val="44"/>
          <w:lang w:val="en-US" w:eastAsia="zh-CN"/>
        </w:rPr>
      </w:pPr>
      <w:r>
        <w:rPr>
          <w:rFonts w:hint="eastAsia"/>
          <w:b/>
          <w:bCs/>
          <w:sz w:val="44"/>
          <w:szCs w:val="44"/>
          <w:lang w:val="en-US" w:eastAsia="zh-CN"/>
        </w:rPr>
        <w:t>鄂尔多斯市中心医院</w:t>
      </w:r>
    </w:p>
    <w:p w14:paraId="35B22BB9">
      <w:pPr>
        <w:numPr>
          <w:ilvl w:val="0"/>
          <w:numId w:val="0"/>
        </w:numPr>
        <w:jc w:val="center"/>
        <w:rPr>
          <w:rFonts w:hint="eastAsia"/>
          <w:b/>
          <w:bCs/>
          <w:sz w:val="44"/>
          <w:szCs w:val="44"/>
          <w:lang w:val="en-US" w:eastAsia="zh-CN"/>
        </w:rPr>
      </w:pPr>
    </w:p>
    <w:p w14:paraId="7AFA774D">
      <w:pPr>
        <w:numPr>
          <w:ilvl w:val="0"/>
          <w:numId w:val="0"/>
        </w:numPr>
        <w:jc w:val="center"/>
        <w:rPr>
          <w:rFonts w:hint="eastAsia"/>
          <w:b/>
          <w:bCs/>
          <w:sz w:val="44"/>
          <w:szCs w:val="44"/>
          <w:lang w:val="en-US" w:eastAsia="zh-CN"/>
        </w:rPr>
      </w:pPr>
    </w:p>
    <w:p w14:paraId="2572A1AE">
      <w:pPr>
        <w:numPr>
          <w:ilvl w:val="0"/>
          <w:numId w:val="0"/>
        </w:numPr>
        <w:ind w:firstLine="2209" w:firstLineChars="500"/>
        <w:jc w:val="both"/>
        <w:rPr>
          <w:rFonts w:hint="default"/>
          <w:b/>
          <w:bCs/>
          <w:sz w:val="44"/>
          <w:szCs w:val="44"/>
          <w:lang w:val="en-US" w:eastAsia="zh-CN"/>
        </w:rPr>
      </w:pPr>
      <w:r>
        <w:rPr>
          <w:rFonts w:hint="eastAsia"/>
          <w:b/>
          <w:bCs/>
          <w:sz w:val="44"/>
          <w:szCs w:val="44"/>
          <w:lang w:val="en-US" w:eastAsia="zh-CN"/>
        </w:rPr>
        <w:t>院内招标采购招标文件</w:t>
      </w:r>
    </w:p>
    <w:p w14:paraId="6C703416">
      <w:pPr>
        <w:numPr>
          <w:ilvl w:val="0"/>
          <w:numId w:val="0"/>
        </w:numPr>
        <w:jc w:val="center"/>
        <w:rPr>
          <w:rFonts w:hint="eastAsia"/>
          <w:b/>
          <w:bCs/>
          <w:sz w:val="28"/>
          <w:szCs w:val="28"/>
          <w:lang w:val="en-US" w:eastAsia="zh-CN"/>
        </w:rPr>
      </w:pPr>
    </w:p>
    <w:p w14:paraId="378339FC">
      <w:pPr>
        <w:numPr>
          <w:ilvl w:val="0"/>
          <w:numId w:val="0"/>
        </w:numPr>
        <w:jc w:val="center"/>
        <w:rPr>
          <w:rFonts w:hint="eastAsia"/>
          <w:b/>
          <w:bCs/>
          <w:sz w:val="28"/>
          <w:szCs w:val="28"/>
          <w:lang w:val="en-US" w:eastAsia="zh-CN"/>
        </w:rPr>
      </w:pPr>
    </w:p>
    <w:p w14:paraId="2CCBE1BE">
      <w:pPr>
        <w:numPr>
          <w:ilvl w:val="0"/>
          <w:numId w:val="0"/>
        </w:numPr>
        <w:jc w:val="center"/>
        <w:rPr>
          <w:rFonts w:hint="eastAsia"/>
          <w:b/>
          <w:bCs/>
          <w:sz w:val="28"/>
          <w:szCs w:val="28"/>
          <w:lang w:val="en-US" w:eastAsia="zh-CN"/>
        </w:rPr>
      </w:pPr>
      <w:r>
        <w:rPr>
          <w:rFonts w:hint="eastAsia"/>
          <w:b/>
          <w:sz w:val="28"/>
          <w:szCs w:val="28"/>
          <w:lang w:val="en-US" w:eastAsia="zh-CN"/>
        </w:rPr>
        <w:drawing>
          <wp:inline distT="0" distB="0" distL="114300" distR="114300">
            <wp:extent cx="2361565" cy="2361565"/>
            <wp:effectExtent l="0" t="0" r="0" b="0"/>
            <wp:docPr id="1" name="图片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LOGO"/>
                    <pic:cNvPicPr>
                      <a:picLocks noChangeAspect="1"/>
                    </pic:cNvPicPr>
                  </pic:nvPicPr>
                  <pic:blipFill>
                    <a:blip r:embed="rId7"/>
                    <a:stretch>
                      <a:fillRect/>
                    </a:stretch>
                  </pic:blipFill>
                  <pic:spPr>
                    <a:xfrm>
                      <a:off x="0" y="0"/>
                      <a:ext cx="2361565" cy="2361565"/>
                    </a:xfrm>
                    <a:prstGeom prst="rect">
                      <a:avLst/>
                    </a:prstGeom>
                  </pic:spPr>
                </pic:pic>
              </a:graphicData>
            </a:graphic>
          </wp:inline>
        </w:drawing>
      </w:r>
    </w:p>
    <w:p w14:paraId="170C01BA">
      <w:pPr>
        <w:numPr>
          <w:ilvl w:val="0"/>
          <w:numId w:val="0"/>
        </w:numPr>
        <w:rPr>
          <w:rFonts w:hint="eastAsia"/>
          <w:b/>
          <w:bCs/>
          <w:sz w:val="28"/>
          <w:szCs w:val="28"/>
          <w:lang w:val="en-US" w:eastAsia="zh-CN"/>
        </w:rPr>
      </w:pPr>
      <w:r>
        <w:rPr>
          <w:rFonts w:hint="eastAsia"/>
          <w:lang w:val="en-US" w:eastAsia="zh-CN"/>
        </w:rPr>
        <w:t xml:space="preserve">                          </w:t>
      </w:r>
    </w:p>
    <w:p w14:paraId="2D353509">
      <w:pPr>
        <w:numPr>
          <w:ilvl w:val="0"/>
          <w:numId w:val="0"/>
        </w:numPr>
        <w:jc w:val="both"/>
        <w:rPr>
          <w:rFonts w:hint="eastAsia"/>
          <w:b/>
          <w:bCs/>
          <w:sz w:val="36"/>
          <w:szCs w:val="36"/>
          <w:lang w:val="en-US" w:eastAsia="zh-CN"/>
        </w:rPr>
      </w:pPr>
    </w:p>
    <w:p w14:paraId="27BD2B90">
      <w:pPr>
        <w:numPr>
          <w:ilvl w:val="0"/>
          <w:numId w:val="0"/>
        </w:numPr>
        <w:jc w:val="center"/>
        <w:rPr>
          <w:rFonts w:hint="eastAsia"/>
          <w:b/>
          <w:bCs/>
          <w:sz w:val="36"/>
          <w:szCs w:val="36"/>
          <w:lang w:val="en-US" w:eastAsia="zh-CN"/>
        </w:rPr>
      </w:pPr>
    </w:p>
    <w:p w14:paraId="4D9C83EE">
      <w:pPr>
        <w:pStyle w:val="11"/>
        <w:pBdr>
          <w:top w:val="none" w:color="000000" w:sz="0" w:space="0"/>
          <w:left w:val="none" w:color="000000" w:sz="0" w:space="0"/>
          <w:bottom w:val="none" w:color="000000" w:sz="0" w:space="0"/>
          <w:right w:val="none" w:color="000000" w:sz="0" w:space="0"/>
        </w:pBdr>
        <w:spacing w:before="0" w:after="150" w:line="420" w:lineRule="atLeast"/>
        <w:ind w:left="0" w:right="450" w:firstLine="420"/>
        <w:jc w:val="center"/>
        <w:rPr>
          <w:rFonts w:hint="eastAsia" w:ascii="宋体" w:hAnsi="宋体" w:eastAsia="宋体" w:cs="宋体"/>
          <w:b/>
          <w:i w:val="0"/>
          <w:caps/>
          <w:color w:val="333333"/>
          <w:spacing w:val="0"/>
          <w:sz w:val="36"/>
          <w:szCs w:val="36"/>
          <w:lang w:eastAsia="zh-CN"/>
        </w:rPr>
      </w:pPr>
      <w:bookmarkStart w:id="1" w:name="_GoBack"/>
      <w:r>
        <w:rPr>
          <w:rFonts w:hint="eastAsia" w:ascii="宋体" w:hAnsi="宋体" w:eastAsia="宋体" w:cs="宋体"/>
          <w:b/>
          <w:i w:val="0"/>
          <w:caps/>
          <w:color w:val="333333"/>
          <w:spacing w:val="0"/>
          <w:sz w:val="32"/>
          <w:szCs w:val="32"/>
          <w:lang w:val="en-US" w:eastAsia="zh-CN"/>
        </w:rPr>
        <w:t>消防系统及设备设施维保及检查服务项目</w:t>
      </w:r>
      <w:bookmarkEnd w:id="1"/>
    </w:p>
    <w:p w14:paraId="5AE1B96A">
      <w:pPr>
        <w:numPr>
          <w:ilvl w:val="0"/>
          <w:numId w:val="0"/>
        </w:numPr>
        <w:jc w:val="center"/>
        <w:rPr>
          <w:rFonts w:hint="eastAsia"/>
          <w:b/>
          <w:bCs/>
          <w:sz w:val="32"/>
          <w:szCs w:val="32"/>
          <w:lang w:val="en-US" w:eastAsia="zh-CN"/>
        </w:rPr>
      </w:pPr>
      <w:r>
        <w:rPr>
          <w:rFonts w:hint="eastAsia"/>
          <w:b/>
          <w:bCs/>
          <w:sz w:val="32"/>
          <w:szCs w:val="32"/>
          <w:lang w:val="en-US" w:eastAsia="zh-CN"/>
        </w:rPr>
        <w:t>2024年9月18日</w:t>
      </w:r>
    </w:p>
    <w:p w14:paraId="666E6246">
      <w:pPr>
        <w:pStyle w:val="8"/>
        <w:rPr>
          <w:rFonts w:hint="eastAsia"/>
          <w:lang w:val="en-US" w:eastAsia="zh-CN"/>
        </w:rPr>
      </w:pPr>
    </w:p>
    <w:p w14:paraId="58A2DDB3">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宋体" w:hAnsi="宋体" w:eastAsia="宋体" w:cs="宋体"/>
          <w:b/>
          <w:bCs/>
          <w:sz w:val="32"/>
          <w:szCs w:val="32"/>
          <w:lang w:val="en-US" w:eastAsia="zh-CN"/>
        </w:rPr>
      </w:pPr>
      <w:r>
        <w:rPr>
          <w:rFonts w:hint="eastAsia" w:ascii="宋体" w:hAnsi="宋体" w:eastAsia="宋体" w:cs="宋体"/>
          <w:b/>
          <w:bCs/>
          <w:sz w:val="32"/>
          <w:szCs w:val="32"/>
          <w:lang w:val="en-US" w:eastAsia="zh-CN"/>
        </w:rPr>
        <w:t>第一章 项目信息</w:t>
      </w:r>
    </w:p>
    <w:p w14:paraId="45CEEB0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一、商务条款</w:t>
      </w:r>
    </w:p>
    <w:tbl>
      <w:tblPr>
        <w:tblStyle w:val="14"/>
        <w:tblW w:w="84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39"/>
        <w:gridCol w:w="2865"/>
        <w:gridCol w:w="903"/>
        <w:gridCol w:w="826"/>
        <w:gridCol w:w="2934"/>
      </w:tblGrid>
      <w:tr w14:paraId="16296C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4" w:hRule="atLeast"/>
          <w:jc w:val="center"/>
        </w:trPr>
        <w:tc>
          <w:tcPr>
            <w:tcW w:w="939" w:type="dxa"/>
            <w:vAlign w:val="center"/>
          </w:tcPr>
          <w:p w14:paraId="2E0821E2">
            <w:pPr>
              <w:rPr>
                <w:rFonts w:hint="eastAsia" w:ascii="宋体" w:hAnsi="宋体" w:eastAsia="宋体" w:cs="宋体"/>
                <w:sz w:val="24"/>
                <w:szCs w:val="24"/>
              </w:rPr>
            </w:pPr>
            <w:r>
              <w:rPr>
                <w:rFonts w:hint="eastAsia" w:ascii="宋体" w:hAnsi="宋体" w:eastAsia="宋体" w:cs="宋体"/>
                <w:sz w:val="24"/>
                <w:szCs w:val="24"/>
              </w:rPr>
              <w:t>序号</w:t>
            </w:r>
          </w:p>
        </w:tc>
        <w:tc>
          <w:tcPr>
            <w:tcW w:w="2865" w:type="dxa"/>
            <w:vAlign w:val="center"/>
          </w:tcPr>
          <w:p w14:paraId="15FBEADF">
            <w:pPr>
              <w:rPr>
                <w:rFonts w:hint="eastAsia" w:ascii="宋体" w:hAnsi="宋体" w:eastAsia="宋体" w:cs="宋体"/>
                <w:sz w:val="24"/>
                <w:szCs w:val="24"/>
              </w:rPr>
            </w:pPr>
            <w:r>
              <w:rPr>
                <w:rFonts w:hint="eastAsia" w:ascii="宋体" w:hAnsi="宋体" w:eastAsia="宋体" w:cs="宋体"/>
                <w:sz w:val="24"/>
                <w:szCs w:val="24"/>
              </w:rPr>
              <w:t>名称</w:t>
            </w:r>
          </w:p>
        </w:tc>
        <w:tc>
          <w:tcPr>
            <w:tcW w:w="903" w:type="dxa"/>
            <w:vAlign w:val="center"/>
          </w:tcPr>
          <w:p w14:paraId="1598DA0D">
            <w:pPr>
              <w:rPr>
                <w:rFonts w:hint="eastAsia" w:ascii="宋体" w:hAnsi="宋体" w:eastAsia="宋体" w:cs="宋体"/>
                <w:sz w:val="24"/>
                <w:szCs w:val="24"/>
              </w:rPr>
            </w:pPr>
            <w:r>
              <w:rPr>
                <w:rFonts w:hint="eastAsia" w:ascii="宋体" w:hAnsi="宋体" w:eastAsia="宋体" w:cs="宋体"/>
                <w:sz w:val="24"/>
                <w:szCs w:val="24"/>
              </w:rPr>
              <w:t>单位</w:t>
            </w:r>
          </w:p>
        </w:tc>
        <w:tc>
          <w:tcPr>
            <w:tcW w:w="826" w:type="dxa"/>
            <w:vAlign w:val="center"/>
          </w:tcPr>
          <w:p w14:paraId="40FAB5CD">
            <w:pPr>
              <w:rPr>
                <w:rFonts w:hint="eastAsia" w:ascii="宋体" w:hAnsi="宋体" w:eastAsia="宋体" w:cs="宋体"/>
                <w:sz w:val="24"/>
                <w:szCs w:val="24"/>
              </w:rPr>
            </w:pPr>
            <w:r>
              <w:rPr>
                <w:rFonts w:hint="eastAsia" w:ascii="宋体" w:hAnsi="宋体" w:eastAsia="宋体" w:cs="宋体"/>
                <w:sz w:val="24"/>
                <w:szCs w:val="24"/>
              </w:rPr>
              <w:t>数量</w:t>
            </w:r>
          </w:p>
        </w:tc>
        <w:tc>
          <w:tcPr>
            <w:tcW w:w="2934" w:type="dxa"/>
            <w:vAlign w:val="center"/>
          </w:tcPr>
          <w:p w14:paraId="227467C6">
            <w:pPr>
              <w:ind w:firstLine="960" w:firstLineChars="400"/>
              <w:rPr>
                <w:rFonts w:hint="eastAsia" w:ascii="宋体" w:hAnsi="宋体" w:eastAsia="宋体" w:cs="宋体"/>
                <w:sz w:val="24"/>
                <w:szCs w:val="24"/>
              </w:rPr>
            </w:pPr>
            <w:r>
              <w:rPr>
                <w:rFonts w:hint="eastAsia" w:ascii="宋体" w:hAnsi="宋体" w:eastAsia="宋体" w:cs="宋体"/>
                <w:sz w:val="24"/>
                <w:szCs w:val="24"/>
              </w:rPr>
              <w:t>预算总价</w:t>
            </w:r>
          </w:p>
        </w:tc>
      </w:tr>
      <w:tr w14:paraId="39C9C1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69" w:hRule="atLeast"/>
          <w:jc w:val="center"/>
        </w:trPr>
        <w:tc>
          <w:tcPr>
            <w:tcW w:w="939" w:type="dxa"/>
            <w:vAlign w:val="center"/>
          </w:tcPr>
          <w:p w14:paraId="0C223EF1">
            <w:pPr>
              <w:rPr>
                <w:rFonts w:hint="eastAsia" w:ascii="宋体" w:hAnsi="宋体" w:eastAsia="宋体" w:cs="宋体"/>
                <w:sz w:val="24"/>
                <w:szCs w:val="24"/>
              </w:rPr>
            </w:pPr>
            <w:r>
              <w:rPr>
                <w:rFonts w:hint="eastAsia" w:ascii="宋体" w:hAnsi="宋体" w:eastAsia="宋体" w:cs="宋体"/>
                <w:sz w:val="24"/>
                <w:szCs w:val="24"/>
              </w:rPr>
              <w:t>1</w:t>
            </w:r>
          </w:p>
        </w:tc>
        <w:tc>
          <w:tcPr>
            <w:tcW w:w="2865" w:type="dxa"/>
            <w:vAlign w:val="center"/>
          </w:tcPr>
          <w:p w14:paraId="530896C0">
            <w:pPr>
              <w:rPr>
                <w:rFonts w:hint="default" w:ascii="宋体" w:hAnsi="宋体" w:eastAsia="宋体" w:cs="宋体"/>
                <w:lang w:val="en-US" w:eastAsia="zh-CN"/>
              </w:rPr>
            </w:pPr>
            <w:r>
              <w:rPr>
                <w:rFonts w:hint="eastAsia" w:ascii="宋体" w:hAnsi="宋体" w:eastAsia="宋体" w:cs="宋体"/>
                <w:sz w:val="24"/>
                <w:szCs w:val="24"/>
                <w:lang w:val="en-US" w:eastAsia="zh-CN"/>
              </w:rPr>
              <w:t>消防系统及设备设施维保及检查服务项目</w:t>
            </w:r>
          </w:p>
        </w:tc>
        <w:tc>
          <w:tcPr>
            <w:tcW w:w="903" w:type="dxa"/>
            <w:vAlign w:val="center"/>
          </w:tcPr>
          <w:p w14:paraId="641F4E8B">
            <w:pPr>
              <w:ind w:firstLine="240" w:firstLineChars="100"/>
              <w:rPr>
                <w:rFonts w:hint="eastAsia" w:ascii="宋体" w:hAnsi="宋体" w:eastAsia="宋体" w:cs="宋体"/>
                <w:sz w:val="24"/>
                <w:szCs w:val="24"/>
                <w:lang w:eastAsia="zh-CN"/>
              </w:rPr>
            </w:pPr>
            <w:r>
              <w:rPr>
                <w:rFonts w:hint="eastAsia" w:ascii="宋体" w:hAnsi="宋体" w:eastAsia="宋体" w:cs="宋体"/>
                <w:sz w:val="24"/>
                <w:szCs w:val="24"/>
                <w:lang w:val="en-US" w:eastAsia="zh-CN"/>
              </w:rPr>
              <w:t>项</w:t>
            </w:r>
          </w:p>
        </w:tc>
        <w:tc>
          <w:tcPr>
            <w:tcW w:w="826" w:type="dxa"/>
            <w:vAlign w:val="center"/>
          </w:tcPr>
          <w:p w14:paraId="0B359F63">
            <w:pPr>
              <w:ind w:firstLine="240" w:firstLineChars="100"/>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1</w:t>
            </w:r>
          </w:p>
        </w:tc>
        <w:tc>
          <w:tcPr>
            <w:tcW w:w="2934" w:type="dxa"/>
            <w:vAlign w:val="center"/>
          </w:tcPr>
          <w:p w14:paraId="7D150D09">
            <w:pPr>
              <w:ind w:firstLine="960" w:firstLineChars="400"/>
              <w:rPr>
                <w:rFonts w:hint="default" w:ascii="宋体" w:hAnsi="宋体" w:eastAsia="宋体" w:cs="宋体"/>
                <w:sz w:val="24"/>
                <w:szCs w:val="24"/>
                <w:lang w:val="en-US"/>
              </w:rPr>
            </w:pPr>
            <w:r>
              <w:rPr>
                <w:rFonts w:hint="eastAsia" w:ascii="宋体" w:hAnsi="宋体" w:eastAsia="宋体" w:cs="宋体"/>
                <w:sz w:val="24"/>
                <w:szCs w:val="24"/>
                <w:lang w:val="en-US" w:eastAsia="zh-CN"/>
              </w:rPr>
              <w:t>660000元</w:t>
            </w:r>
          </w:p>
        </w:tc>
      </w:tr>
      <w:tr w14:paraId="143A55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9" w:hRule="atLeast"/>
          <w:jc w:val="center"/>
        </w:trPr>
        <w:tc>
          <w:tcPr>
            <w:tcW w:w="939" w:type="dxa"/>
            <w:vAlign w:val="center"/>
          </w:tcPr>
          <w:p w14:paraId="180C3270">
            <w:pPr>
              <w:rPr>
                <w:rFonts w:hint="eastAsia" w:ascii="宋体" w:hAnsi="宋体" w:eastAsia="宋体" w:cs="宋体"/>
                <w:sz w:val="24"/>
                <w:szCs w:val="24"/>
              </w:rPr>
            </w:pPr>
            <w:r>
              <w:rPr>
                <w:rFonts w:hint="eastAsia" w:ascii="宋体" w:hAnsi="宋体" w:eastAsia="宋体" w:cs="宋体"/>
                <w:sz w:val="24"/>
                <w:szCs w:val="24"/>
              </w:rPr>
              <w:t>2</w:t>
            </w:r>
          </w:p>
        </w:tc>
        <w:tc>
          <w:tcPr>
            <w:tcW w:w="2865" w:type="dxa"/>
            <w:vAlign w:val="center"/>
          </w:tcPr>
          <w:p w14:paraId="15A09B1A">
            <w:pP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资质要求</w:t>
            </w:r>
          </w:p>
        </w:tc>
        <w:tc>
          <w:tcPr>
            <w:tcW w:w="4663" w:type="dxa"/>
            <w:gridSpan w:val="3"/>
            <w:vAlign w:val="center"/>
          </w:tcPr>
          <w:p w14:paraId="19AC6EBA">
            <w:pPr>
              <w:numPr>
                <w:ilvl w:val="0"/>
                <w:numId w:val="0"/>
              </w:numP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在“社会消防技术服务信息系统”中录入并使用，提供页面截图</w:t>
            </w:r>
          </w:p>
        </w:tc>
      </w:tr>
      <w:tr w14:paraId="721905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6" w:hRule="atLeast"/>
          <w:jc w:val="center"/>
        </w:trPr>
        <w:tc>
          <w:tcPr>
            <w:tcW w:w="939" w:type="dxa"/>
            <w:vAlign w:val="center"/>
          </w:tcPr>
          <w:p w14:paraId="692AEA66">
            <w:pPr>
              <w:rPr>
                <w:rFonts w:hint="eastAsia" w:ascii="宋体" w:hAnsi="宋体" w:eastAsia="宋体" w:cs="宋体"/>
                <w:sz w:val="24"/>
                <w:szCs w:val="24"/>
              </w:rPr>
            </w:pPr>
            <w:r>
              <w:rPr>
                <w:rFonts w:hint="eastAsia" w:ascii="宋体" w:hAnsi="宋体" w:eastAsia="宋体" w:cs="宋体"/>
                <w:sz w:val="24"/>
                <w:szCs w:val="24"/>
              </w:rPr>
              <w:t>3</w:t>
            </w:r>
          </w:p>
        </w:tc>
        <w:tc>
          <w:tcPr>
            <w:tcW w:w="2865" w:type="dxa"/>
            <w:vAlign w:val="center"/>
          </w:tcPr>
          <w:p w14:paraId="55AE11D2">
            <w:pPr>
              <w:rPr>
                <w:rFonts w:hint="eastAsia" w:ascii="宋体" w:hAnsi="宋体" w:eastAsia="宋体" w:cs="宋体"/>
                <w:sz w:val="24"/>
                <w:szCs w:val="24"/>
              </w:rPr>
            </w:pPr>
            <w:r>
              <w:rPr>
                <w:rFonts w:hint="eastAsia" w:ascii="宋体" w:hAnsi="宋体" w:eastAsia="宋体" w:cs="宋体"/>
                <w:sz w:val="24"/>
                <w:szCs w:val="24"/>
                <w:lang w:val="en-US" w:eastAsia="zh-CN"/>
              </w:rPr>
              <w:t>服务期</w:t>
            </w:r>
          </w:p>
        </w:tc>
        <w:tc>
          <w:tcPr>
            <w:tcW w:w="4663" w:type="dxa"/>
            <w:gridSpan w:val="3"/>
            <w:vAlign w:val="center"/>
          </w:tcPr>
          <w:p w14:paraId="7A39A3F4">
            <w:pP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本次招标有效期为三年，合同一年一签。合同有效期为自合同签订之日起一年。合同签订实行考核制度，合同期末由院方对中标单位进行考核，如考核合格则按中标价格继续与该公司签订下一年服务合同，如考核不合格，则取消或终止合同。</w:t>
            </w:r>
          </w:p>
        </w:tc>
      </w:tr>
      <w:tr w14:paraId="1E22F9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89" w:hRule="atLeast"/>
          <w:jc w:val="center"/>
        </w:trPr>
        <w:tc>
          <w:tcPr>
            <w:tcW w:w="939" w:type="dxa"/>
            <w:vAlign w:val="center"/>
          </w:tcPr>
          <w:p w14:paraId="2FAFB2EE">
            <w:pPr>
              <w:rPr>
                <w:rFonts w:hint="eastAsia" w:ascii="宋体" w:hAnsi="宋体" w:eastAsia="宋体" w:cs="宋体"/>
                <w:sz w:val="24"/>
                <w:szCs w:val="24"/>
              </w:rPr>
            </w:pPr>
            <w:r>
              <w:rPr>
                <w:rFonts w:hint="eastAsia" w:ascii="宋体" w:hAnsi="宋体" w:eastAsia="宋体" w:cs="宋体"/>
                <w:sz w:val="24"/>
                <w:szCs w:val="24"/>
              </w:rPr>
              <w:t>4</w:t>
            </w:r>
          </w:p>
        </w:tc>
        <w:tc>
          <w:tcPr>
            <w:tcW w:w="2865" w:type="dxa"/>
            <w:vAlign w:val="center"/>
          </w:tcPr>
          <w:p w14:paraId="10C87A76">
            <w:pPr>
              <w:rPr>
                <w:rFonts w:hint="eastAsia" w:ascii="宋体" w:hAnsi="宋体" w:eastAsia="宋体" w:cs="宋体"/>
                <w:sz w:val="24"/>
                <w:szCs w:val="24"/>
              </w:rPr>
            </w:pPr>
            <w:r>
              <w:rPr>
                <w:rFonts w:hint="eastAsia" w:ascii="宋体" w:hAnsi="宋体" w:eastAsia="宋体" w:cs="宋体"/>
                <w:sz w:val="24"/>
                <w:szCs w:val="24"/>
              </w:rPr>
              <w:t>付款方式</w:t>
            </w:r>
          </w:p>
        </w:tc>
        <w:tc>
          <w:tcPr>
            <w:tcW w:w="4663" w:type="dxa"/>
            <w:gridSpan w:val="3"/>
            <w:vAlign w:val="center"/>
          </w:tcPr>
          <w:p w14:paraId="4A59EB7D">
            <w:pP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经考核后，服务满6个月支付50%，满一年支付剩余50%</w:t>
            </w:r>
          </w:p>
        </w:tc>
      </w:tr>
      <w:tr w14:paraId="0E302D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89" w:hRule="atLeast"/>
          <w:jc w:val="center"/>
        </w:trPr>
        <w:tc>
          <w:tcPr>
            <w:tcW w:w="939" w:type="dxa"/>
            <w:vAlign w:val="center"/>
          </w:tcPr>
          <w:p w14:paraId="3B08FB03">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w:t>
            </w:r>
          </w:p>
        </w:tc>
        <w:tc>
          <w:tcPr>
            <w:tcW w:w="2865" w:type="dxa"/>
            <w:vAlign w:val="center"/>
          </w:tcPr>
          <w:p w14:paraId="70379A66">
            <w:pP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进场时间</w:t>
            </w:r>
          </w:p>
        </w:tc>
        <w:tc>
          <w:tcPr>
            <w:tcW w:w="4663" w:type="dxa"/>
            <w:gridSpan w:val="3"/>
            <w:vAlign w:val="center"/>
          </w:tcPr>
          <w:p w14:paraId="53EF40B4">
            <w:pP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合同签订后7日内</w:t>
            </w:r>
          </w:p>
        </w:tc>
      </w:tr>
    </w:tbl>
    <w:p w14:paraId="4A6CE0E0">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default" w:ascii="宋体" w:hAnsi="宋体" w:eastAsia="宋体" w:cs="宋体"/>
          <w:b/>
          <w:bCs/>
          <w:sz w:val="24"/>
          <w:szCs w:val="24"/>
          <w:lang w:val="en-US" w:eastAsia="zh-CN"/>
        </w:rPr>
      </w:pPr>
    </w:p>
    <w:p w14:paraId="49010C2E">
      <w:pPr>
        <w:numPr>
          <w:ilvl w:val="0"/>
          <w:numId w:val="0"/>
        </w:numPr>
        <w:rPr>
          <w:rFonts w:hint="default" w:ascii="宋体" w:hAnsi="宋体" w:eastAsia="宋体" w:cs="宋体"/>
          <w:b/>
          <w:bCs/>
          <w:sz w:val="24"/>
          <w:szCs w:val="24"/>
          <w:lang w:val="en-US" w:eastAsia="zh-CN"/>
        </w:rPr>
      </w:pPr>
      <w:r>
        <w:rPr>
          <w:rFonts w:hint="eastAsia" w:ascii="宋体" w:hAnsi="宋体" w:eastAsia="宋体" w:cs="宋体"/>
          <w:b/>
          <w:bCs/>
          <w:sz w:val="24"/>
          <w:szCs w:val="24"/>
          <w:lang w:val="en-US" w:eastAsia="zh-CN"/>
        </w:rPr>
        <w:t>二、项目概况</w:t>
      </w:r>
    </w:p>
    <w:p w14:paraId="4D492FB3">
      <w:pPr>
        <w:spacing w:line="560" w:lineRule="exact"/>
        <w:ind w:firstLine="600" w:firstLineChars="200"/>
        <w:rPr>
          <w:rFonts w:ascii="仿宋" w:hAnsi="仿宋" w:eastAsia="仿宋" w:cs="仿宋"/>
          <w:sz w:val="30"/>
          <w:szCs w:val="30"/>
        </w:rPr>
      </w:pPr>
      <w:r>
        <w:rPr>
          <w:rFonts w:hint="eastAsia" w:ascii="仿宋" w:hAnsi="仿宋" w:eastAsia="仿宋" w:cs="仿宋"/>
          <w:sz w:val="30"/>
          <w:szCs w:val="30"/>
        </w:rPr>
        <w:t>鄂尔多斯市中心医院总建筑面积约</w:t>
      </w:r>
      <w:r>
        <w:rPr>
          <w:rFonts w:hint="eastAsia" w:ascii="仿宋" w:hAnsi="仿宋" w:eastAsia="仿宋" w:cs="仿宋"/>
          <w:sz w:val="30"/>
          <w:szCs w:val="30"/>
          <w:lang w:val="en-US" w:eastAsia="zh-CN"/>
        </w:rPr>
        <w:t>30</w:t>
      </w:r>
      <w:r>
        <w:rPr>
          <w:rFonts w:hint="eastAsia" w:ascii="仿宋" w:hAnsi="仿宋" w:eastAsia="仿宋" w:cs="仿宋"/>
          <w:sz w:val="30"/>
          <w:szCs w:val="30"/>
        </w:rPr>
        <w:t>万平米。</w:t>
      </w:r>
    </w:p>
    <w:p w14:paraId="6116821F">
      <w:pPr>
        <w:spacing w:line="560" w:lineRule="exact"/>
        <w:ind w:firstLine="600" w:firstLineChars="200"/>
        <w:rPr>
          <w:rFonts w:ascii="仿宋" w:hAnsi="仿宋" w:eastAsia="仿宋" w:cs="仿宋"/>
          <w:sz w:val="30"/>
          <w:szCs w:val="30"/>
        </w:rPr>
      </w:pPr>
      <w:r>
        <w:rPr>
          <w:rFonts w:hint="eastAsia" w:ascii="仿宋" w:hAnsi="仿宋" w:eastAsia="仿宋" w:cs="仿宋"/>
          <w:sz w:val="30"/>
          <w:szCs w:val="30"/>
        </w:rPr>
        <w:t>东胜部</w:t>
      </w:r>
      <w:r>
        <w:rPr>
          <w:rFonts w:hint="eastAsia" w:ascii="仿宋" w:hAnsi="仿宋" w:eastAsia="仿宋" w:cs="仿宋"/>
          <w:color w:val="C00000"/>
          <w:sz w:val="30"/>
          <w:szCs w:val="30"/>
        </w:rPr>
        <w:t>约</w:t>
      </w:r>
      <w:r>
        <w:rPr>
          <w:rFonts w:hint="eastAsia" w:ascii="仿宋" w:hAnsi="仿宋" w:eastAsia="仿宋" w:cs="仿宋"/>
          <w:sz w:val="30"/>
          <w:szCs w:val="30"/>
        </w:rPr>
        <w:t>1</w:t>
      </w:r>
      <w:r>
        <w:rPr>
          <w:rFonts w:hint="eastAsia" w:ascii="仿宋" w:hAnsi="仿宋" w:eastAsia="仿宋" w:cs="仿宋"/>
          <w:sz w:val="30"/>
          <w:szCs w:val="30"/>
          <w:lang w:val="en-US" w:eastAsia="zh-CN"/>
        </w:rPr>
        <w:t>60</w:t>
      </w:r>
      <w:r>
        <w:rPr>
          <w:rFonts w:hint="eastAsia" w:ascii="仿宋" w:hAnsi="仿宋" w:eastAsia="仿宋" w:cs="仿宋"/>
          <w:sz w:val="30"/>
          <w:szCs w:val="30"/>
        </w:rPr>
        <w:t>000平米，包括门诊楼：地上十一层，地下一层，其中一层二层为大厅，三层到九层为标准层，十层为会议室，两套步行梯，有高位水箱和地下泵房。医技楼：地上三层，</w:t>
      </w:r>
      <w:r>
        <w:rPr>
          <w:rFonts w:hint="eastAsia" w:ascii="仿宋" w:hAnsi="仿宋" w:eastAsia="仿宋" w:cs="仿宋"/>
          <w:color w:val="C00000"/>
          <w:sz w:val="30"/>
          <w:szCs w:val="30"/>
        </w:rPr>
        <w:t>三</w:t>
      </w:r>
      <w:r>
        <w:rPr>
          <w:rFonts w:hint="eastAsia" w:ascii="仿宋" w:hAnsi="仿宋" w:eastAsia="仿宋" w:cs="仿宋"/>
          <w:sz w:val="30"/>
          <w:szCs w:val="30"/>
        </w:rPr>
        <w:t>套步行梯，与院街连接处有地下消防水池。</w:t>
      </w:r>
      <w:r>
        <w:rPr>
          <w:rFonts w:hint="eastAsia" w:ascii="仿宋" w:hAnsi="仿宋" w:eastAsia="仿宋" w:cs="仿宋"/>
          <w:color w:val="FF0000"/>
          <w:sz w:val="30"/>
          <w:szCs w:val="30"/>
        </w:rPr>
        <w:t>住院楼东区</w:t>
      </w:r>
      <w:r>
        <w:rPr>
          <w:rFonts w:hint="eastAsia" w:ascii="仿宋" w:hAnsi="仿宋" w:eastAsia="仿宋" w:cs="仿宋"/>
          <w:sz w:val="30"/>
          <w:szCs w:val="30"/>
        </w:rPr>
        <w:t>：地上二十三层，地下一层，其中一层二层为大厅，三层为手术室，四层为设备层，五层为ICU、血透室，六层到二十三层为标准层，两套步行梯，有高位水箱和地下泵房。科研教学楼：地上九层，地下一层，其中一二层为大厅（包含附楼，附楼为会议室、教室），三层到九层为标准层，两套步行梯，有高位水箱、地下泵房和消防水池。七层旧住院楼：地上七层，其中一层为儿科（后改造增加儿科ICU），二层到七层为标准层，两套步行梯。四层旧住院楼：地上四层，均为标准层，一套步行梯。三层旧住院楼：地上三层，其中一层为大厅，二层为肿瘤内科病房，三层为康复科病房，两套步行梯。二层旧住院楼：分别为中西医、眼科、介入室，一套步行梯。百家汇巷内医院办公楼四楼：地上四层，一套步行梯。餐厅：四、五层消防设施，消火栓管道。</w:t>
      </w:r>
      <w:r>
        <w:rPr>
          <w:rFonts w:hint="eastAsia" w:ascii="仿宋" w:hAnsi="仿宋" w:eastAsia="仿宋" w:cs="仿宋"/>
          <w:sz w:val="30"/>
          <w:szCs w:val="30"/>
          <w:lang w:val="en-US" w:eastAsia="zh-CN"/>
        </w:rPr>
        <w:t>新建医疗综合楼、</w:t>
      </w:r>
      <w:r>
        <w:rPr>
          <w:rFonts w:hint="eastAsia" w:ascii="仿宋" w:hAnsi="仿宋" w:eastAsia="仿宋" w:cs="仿宋"/>
          <w:sz w:val="30"/>
          <w:szCs w:val="30"/>
        </w:rPr>
        <w:t>污水处理、发电机房、锅炉房、库房等部位。主要消防设施：</w:t>
      </w:r>
      <w:r>
        <w:rPr>
          <w:rFonts w:hint="eastAsia" w:ascii="仿宋" w:hAnsi="仿宋" w:eastAsia="仿宋" w:cs="仿宋"/>
          <w:sz w:val="30"/>
          <w:szCs w:val="30"/>
          <w:lang w:val="en-US" w:eastAsia="zh-CN"/>
        </w:rPr>
        <w:t>三</w:t>
      </w:r>
      <w:r>
        <w:rPr>
          <w:rFonts w:hint="eastAsia" w:ascii="仿宋" w:hAnsi="仿宋" w:eastAsia="仿宋" w:cs="仿宋"/>
          <w:sz w:val="30"/>
          <w:szCs w:val="30"/>
        </w:rPr>
        <w:t>套火灾自动报警系统（</w:t>
      </w:r>
      <w:r>
        <w:rPr>
          <w:rFonts w:hint="eastAsia" w:ascii="仿宋" w:hAnsi="仿宋" w:eastAsia="仿宋" w:cs="仿宋"/>
          <w:sz w:val="30"/>
          <w:szCs w:val="30"/>
          <w:lang w:val="en-US" w:eastAsia="zh-CN"/>
        </w:rPr>
        <w:t>住院楼东区、</w:t>
      </w:r>
      <w:r>
        <w:rPr>
          <w:rFonts w:hint="eastAsia" w:ascii="仿宋" w:hAnsi="仿宋" w:eastAsia="仿宋" w:cs="仿宋"/>
          <w:sz w:val="30"/>
          <w:szCs w:val="30"/>
        </w:rPr>
        <w:t>门诊楼、医技楼</w:t>
      </w:r>
      <w:r>
        <w:rPr>
          <w:rFonts w:hint="eastAsia" w:ascii="仿宋" w:hAnsi="仿宋" w:eastAsia="仿宋" w:cs="仿宋"/>
          <w:sz w:val="30"/>
          <w:szCs w:val="30"/>
          <w:lang w:eastAsia="zh-CN"/>
        </w:rPr>
        <w:t>、</w:t>
      </w:r>
      <w:r>
        <w:rPr>
          <w:rFonts w:hint="eastAsia" w:ascii="仿宋" w:hAnsi="仿宋" w:eastAsia="仿宋" w:cs="仿宋"/>
          <w:sz w:val="30"/>
          <w:szCs w:val="30"/>
          <w:lang w:val="en-US" w:eastAsia="zh-CN"/>
        </w:rPr>
        <w:t>医疗综合楼</w:t>
      </w:r>
      <w:r>
        <w:rPr>
          <w:rFonts w:hint="eastAsia" w:ascii="仿宋" w:hAnsi="仿宋" w:eastAsia="仿宋" w:cs="仿宋"/>
          <w:sz w:val="30"/>
          <w:szCs w:val="30"/>
        </w:rPr>
        <w:t>为海湾；科研教学楼为上海松江），覆盖全院的消火栓系统，防火卷帘25个，排烟机19个，送风机16个，七氟丙烷气体自动灭火系统20</w:t>
      </w:r>
      <w:r>
        <w:rPr>
          <w:rFonts w:hint="eastAsia" w:ascii="仿宋" w:hAnsi="仿宋" w:eastAsia="仿宋" w:cs="仿宋"/>
          <w:color w:val="FF0000"/>
          <w:sz w:val="30"/>
          <w:szCs w:val="30"/>
        </w:rPr>
        <w:t>套</w:t>
      </w:r>
      <w:r>
        <w:rPr>
          <w:rFonts w:hint="eastAsia" w:ascii="仿宋" w:hAnsi="仿宋" w:eastAsia="仿宋" w:cs="仿宋"/>
          <w:sz w:val="30"/>
          <w:szCs w:val="30"/>
        </w:rPr>
        <w:t>，高位水箱3个，地下泵房3个，消防水池2个</w:t>
      </w:r>
      <w:r>
        <w:rPr>
          <w:rFonts w:hint="eastAsia" w:ascii="仿宋" w:hAnsi="仿宋" w:eastAsia="仿宋" w:cs="仿宋"/>
          <w:sz w:val="30"/>
          <w:szCs w:val="30"/>
          <w:lang w:eastAsia="zh-CN"/>
        </w:rPr>
        <w:t>，</w:t>
      </w:r>
      <w:r>
        <w:rPr>
          <w:rFonts w:hint="eastAsia" w:ascii="仿宋" w:hAnsi="仿宋" w:eastAsia="仿宋" w:cs="仿宋"/>
          <w:sz w:val="30"/>
          <w:szCs w:val="30"/>
          <w:lang w:val="en-US" w:eastAsia="zh-CN"/>
        </w:rPr>
        <w:t>因新建医疗综合楼未交工，火灾报警系统及消防设施设备暂未统计，但包含在本次维保服务中包含</w:t>
      </w:r>
      <w:r>
        <w:rPr>
          <w:rFonts w:hint="eastAsia" w:ascii="仿宋" w:hAnsi="仿宋" w:eastAsia="仿宋" w:cs="仿宋"/>
          <w:sz w:val="30"/>
          <w:szCs w:val="30"/>
        </w:rPr>
        <w:t>。</w:t>
      </w:r>
    </w:p>
    <w:p w14:paraId="7309CD33">
      <w:pPr>
        <w:spacing w:line="560" w:lineRule="exact"/>
        <w:ind w:firstLine="600" w:firstLineChars="200"/>
        <w:rPr>
          <w:rFonts w:ascii="仿宋" w:hAnsi="仿宋" w:eastAsia="仿宋" w:cs="仿宋"/>
          <w:sz w:val="30"/>
          <w:szCs w:val="30"/>
        </w:rPr>
      </w:pPr>
      <w:r>
        <w:rPr>
          <w:rFonts w:hint="eastAsia" w:ascii="仿宋" w:hAnsi="仿宋" w:eastAsia="仿宋" w:cs="仿宋"/>
          <w:sz w:val="30"/>
          <w:szCs w:val="30"/>
        </w:rPr>
        <w:t>康巴什部</w:t>
      </w:r>
      <w:r>
        <w:rPr>
          <w:rFonts w:hint="eastAsia" w:ascii="仿宋" w:hAnsi="仿宋" w:eastAsia="仿宋" w:cs="仿宋"/>
          <w:color w:val="FF0000"/>
          <w:sz w:val="30"/>
          <w:szCs w:val="30"/>
        </w:rPr>
        <w:t>约</w:t>
      </w:r>
      <w:r>
        <w:rPr>
          <w:rFonts w:hint="eastAsia" w:ascii="仿宋" w:hAnsi="仿宋" w:eastAsia="仿宋" w:cs="仿宋"/>
          <w:sz w:val="30"/>
          <w:szCs w:val="30"/>
        </w:rPr>
        <w:t>142800平米，包括门诊楼：地上四层，地下一层，门诊地下室东有消防水泵房和消防水池。感染科三层：地上三层，两套步行梯。医技楼：地上5层，地下一层。住院楼：东西区，地上11层地下一层，5层以下互通，四套步行梯，其中西区楼顶有高位水箱。行政楼：地上七层，三层以下有副楼，副楼为会议室，有两套步行梯。污水处理、发电机房、锅炉房、高压氧舱等部位。主要消防设施：火灾自动报警系统（海湾），覆盖全院的消火栓系统，防火卷帘63个，排烟机28个，送风机15个，七氟丙烷气体自动灭火系统29</w:t>
      </w:r>
      <w:r>
        <w:rPr>
          <w:rFonts w:hint="eastAsia" w:ascii="仿宋" w:hAnsi="仿宋" w:eastAsia="仿宋" w:cs="仿宋"/>
          <w:color w:val="FF0000"/>
          <w:sz w:val="30"/>
          <w:szCs w:val="30"/>
        </w:rPr>
        <w:t>套</w:t>
      </w:r>
      <w:r>
        <w:rPr>
          <w:rFonts w:hint="eastAsia" w:ascii="仿宋" w:hAnsi="仿宋" w:eastAsia="仿宋" w:cs="仿宋"/>
          <w:sz w:val="30"/>
          <w:szCs w:val="30"/>
        </w:rPr>
        <w:t>，高位水箱1个，地下泵房1个，消防水池1个，消防水</w:t>
      </w:r>
      <w:r>
        <w:rPr>
          <w:rFonts w:hint="eastAsia" w:ascii="仿宋" w:hAnsi="仿宋" w:eastAsia="仿宋" w:cs="仿宋"/>
          <w:color w:val="FF0000"/>
          <w:sz w:val="30"/>
          <w:szCs w:val="30"/>
        </w:rPr>
        <w:t>炮</w:t>
      </w:r>
      <w:r>
        <w:rPr>
          <w:rFonts w:hint="eastAsia" w:ascii="仿宋" w:hAnsi="仿宋" w:eastAsia="仿宋" w:cs="仿宋"/>
          <w:sz w:val="30"/>
          <w:szCs w:val="30"/>
        </w:rPr>
        <w:t>7个。</w:t>
      </w:r>
    </w:p>
    <w:p w14:paraId="1D77A11D">
      <w:pPr>
        <w:spacing w:line="560" w:lineRule="exact"/>
        <w:ind w:firstLine="600" w:firstLineChars="200"/>
        <w:rPr>
          <w:rFonts w:ascii="仿宋" w:hAnsi="仿宋" w:eastAsia="仿宋" w:cs="仿宋"/>
          <w:sz w:val="30"/>
          <w:szCs w:val="30"/>
        </w:rPr>
      </w:pPr>
      <w:r>
        <w:rPr>
          <w:rFonts w:hint="eastAsia" w:ascii="黑体" w:hAnsi="黑体" w:eastAsia="黑体" w:cs="黑体"/>
          <w:sz w:val="30"/>
          <w:szCs w:val="30"/>
        </w:rPr>
        <w:t>三、消防设备设施维护保养及检测范围（包含但不限于以下内容）：</w:t>
      </w:r>
    </w:p>
    <w:p w14:paraId="2CAD1B44">
      <w:pPr>
        <w:spacing w:line="560" w:lineRule="exact"/>
        <w:ind w:firstLine="600" w:firstLineChars="200"/>
        <w:rPr>
          <w:rFonts w:hint="eastAsia" w:ascii="仿宋" w:hAnsi="仿宋" w:eastAsia="仿宋" w:cs="仿宋"/>
          <w:sz w:val="30"/>
          <w:szCs w:val="30"/>
        </w:rPr>
      </w:pPr>
      <w:r>
        <w:rPr>
          <w:rFonts w:hint="eastAsia" w:ascii="仿宋" w:hAnsi="仿宋" w:eastAsia="仿宋" w:cs="仿宋"/>
          <w:sz w:val="30"/>
          <w:szCs w:val="30"/>
        </w:rPr>
        <w:t>（一）消防控制主机</w:t>
      </w:r>
    </w:p>
    <w:p w14:paraId="63985AC3">
      <w:pPr>
        <w:spacing w:line="560" w:lineRule="exact"/>
        <w:ind w:firstLine="600" w:firstLineChars="200"/>
        <w:rPr>
          <w:rFonts w:hint="eastAsia" w:ascii="仿宋" w:hAnsi="仿宋" w:eastAsia="仿宋" w:cs="仿宋"/>
          <w:sz w:val="30"/>
          <w:szCs w:val="30"/>
        </w:rPr>
      </w:pPr>
      <w:r>
        <w:rPr>
          <w:rFonts w:hint="eastAsia" w:ascii="仿宋" w:hAnsi="仿宋" w:eastAsia="仿宋" w:cs="仿宋"/>
          <w:sz w:val="30"/>
          <w:szCs w:val="30"/>
        </w:rPr>
        <w:t>1.每月对消防控制主机电源检查项目:</w:t>
      </w:r>
    </w:p>
    <w:p w14:paraId="7ECE4FCE">
      <w:pPr>
        <w:spacing w:line="560" w:lineRule="exact"/>
        <w:ind w:firstLine="600" w:firstLineChars="200"/>
        <w:rPr>
          <w:rFonts w:hint="eastAsia" w:ascii="仿宋" w:hAnsi="仿宋" w:eastAsia="仿宋" w:cs="仿宋"/>
          <w:sz w:val="30"/>
          <w:szCs w:val="30"/>
        </w:rPr>
      </w:pPr>
      <w:r>
        <w:rPr>
          <w:rFonts w:hint="eastAsia" w:ascii="仿宋" w:hAnsi="仿宋" w:eastAsia="仿宋" w:cs="仿宋"/>
          <w:sz w:val="30"/>
          <w:szCs w:val="30"/>
        </w:rPr>
        <w:t>（1）检查系统电压偏移是否在允许范围内。</w:t>
      </w:r>
    </w:p>
    <w:p w14:paraId="5799C8DF">
      <w:pPr>
        <w:spacing w:line="560" w:lineRule="exact"/>
        <w:ind w:firstLine="600" w:firstLineChars="200"/>
        <w:rPr>
          <w:rFonts w:hint="eastAsia" w:ascii="仿宋" w:hAnsi="仿宋" w:eastAsia="仿宋" w:cs="仿宋"/>
          <w:sz w:val="30"/>
          <w:szCs w:val="30"/>
        </w:rPr>
      </w:pPr>
      <w:r>
        <w:rPr>
          <w:rFonts w:hint="eastAsia" w:ascii="仿宋" w:hAnsi="仿宋" w:eastAsia="仿宋" w:cs="仿宋"/>
          <w:sz w:val="30"/>
          <w:szCs w:val="30"/>
        </w:rPr>
        <w:t>（2）查看消防控制</w:t>
      </w:r>
      <w:r>
        <w:rPr>
          <w:rFonts w:hint="eastAsia" w:ascii="仿宋" w:hAnsi="仿宋" w:eastAsia="仿宋" w:cs="仿宋"/>
          <w:sz w:val="30"/>
          <w:szCs w:val="30"/>
          <w:lang w:val="en-US" w:eastAsia="zh-CN"/>
        </w:rPr>
        <w:t>主机</w:t>
      </w:r>
      <w:r>
        <w:rPr>
          <w:rFonts w:hint="eastAsia" w:ascii="仿宋" w:hAnsi="仿宋" w:eastAsia="仿宋" w:cs="仿宋"/>
          <w:sz w:val="30"/>
          <w:szCs w:val="30"/>
        </w:rPr>
        <w:t>配电箱的标志，以及仪表、指示灯、开关、控制按钮。</w:t>
      </w:r>
    </w:p>
    <w:p w14:paraId="2D909043">
      <w:pPr>
        <w:spacing w:line="560" w:lineRule="exact"/>
        <w:ind w:firstLine="600" w:firstLineChars="200"/>
        <w:rPr>
          <w:rFonts w:hint="eastAsia" w:ascii="仿宋" w:hAnsi="仿宋" w:eastAsia="仿宋" w:cs="仿宋"/>
          <w:sz w:val="30"/>
          <w:szCs w:val="30"/>
        </w:rPr>
      </w:pPr>
      <w:r>
        <w:rPr>
          <w:rFonts w:hint="eastAsia" w:ascii="仿宋" w:hAnsi="仿宋" w:eastAsia="仿宋" w:cs="仿宋"/>
          <w:sz w:val="30"/>
          <w:szCs w:val="30"/>
        </w:rPr>
        <w:t>（3）检查主电源和备用电源之间的自动切换是否正常。</w:t>
      </w:r>
    </w:p>
    <w:p w14:paraId="62C49F0A">
      <w:pPr>
        <w:spacing w:line="560" w:lineRule="exact"/>
        <w:ind w:firstLine="600" w:firstLineChars="200"/>
        <w:rPr>
          <w:rFonts w:hint="eastAsia" w:ascii="仿宋" w:hAnsi="仿宋" w:eastAsia="仿宋" w:cs="仿宋"/>
          <w:sz w:val="30"/>
          <w:szCs w:val="30"/>
        </w:rPr>
      </w:pPr>
      <w:r>
        <w:rPr>
          <w:rFonts w:hint="eastAsia" w:ascii="仿宋" w:hAnsi="仿宋" w:eastAsia="仿宋" w:cs="仿宋"/>
          <w:sz w:val="30"/>
          <w:szCs w:val="30"/>
        </w:rPr>
        <w:t>检查方式﹕</w:t>
      </w:r>
    </w:p>
    <w:p w14:paraId="65B53016">
      <w:pPr>
        <w:spacing w:line="560" w:lineRule="exact"/>
        <w:ind w:firstLine="600" w:firstLineChars="200"/>
        <w:rPr>
          <w:rFonts w:hint="eastAsia" w:ascii="仿宋" w:hAnsi="仿宋" w:eastAsia="仿宋" w:cs="仿宋"/>
          <w:sz w:val="30"/>
          <w:szCs w:val="30"/>
        </w:rPr>
      </w:pPr>
      <w:r>
        <w:rPr>
          <w:rFonts w:hint="eastAsia" w:ascii="仿宋" w:hAnsi="仿宋" w:eastAsia="仿宋" w:cs="仿宋"/>
          <w:sz w:val="30"/>
          <w:szCs w:val="30"/>
        </w:rPr>
        <w:t>①自动控制方式下,手动切断消防主电源,观察备用消防电源的投入以及指示灯的显示。</w:t>
      </w:r>
    </w:p>
    <w:p w14:paraId="2E0E54E0">
      <w:pPr>
        <w:spacing w:line="560" w:lineRule="exact"/>
        <w:ind w:firstLine="600" w:firstLineChars="200"/>
        <w:rPr>
          <w:rFonts w:hint="eastAsia" w:ascii="仿宋" w:hAnsi="仿宋" w:eastAsia="仿宋" w:cs="仿宋"/>
          <w:sz w:val="30"/>
          <w:szCs w:val="30"/>
        </w:rPr>
      </w:pPr>
      <w:r>
        <w:rPr>
          <w:rFonts w:hint="eastAsia" w:ascii="仿宋" w:hAnsi="仿宋" w:eastAsia="仿宋" w:cs="仿宋"/>
          <w:sz w:val="30"/>
          <w:szCs w:val="30"/>
        </w:rPr>
        <w:t>②手动控制方式下,在低压配电室应先切断消防主电源,后闭合备用消防电源,观察备用消防电源的投入以及指示灯的显示。</w:t>
      </w:r>
    </w:p>
    <w:p w14:paraId="14873AD8">
      <w:pPr>
        <w:spacing w:line="560" w:lineRule="exact"/>
        <w:ind w:firstLine="600" w:firstLineChars="200"/>
        <w:rPr>
          <w:rFonts w:hint="eastAsia" w:ascii="仿宋" w:hAnsi="仿宋" w:eastAsia="仿宋" w:cs="仿宋"/>
          <w:sz w:val="30"/>
          <w:szCs w:val="30"/>
        </w:rPr>
      </w:pPr>
      <w:r>
        <w:rPr>
          <w:rFonts w:hint="eastAsia" w:ascii="仿宋" w:hAnsi="仿宋" w:eastAsia="仿宋" w:cs="仿宋"/>
          <w:sz w:val="30"/>
          <w:szCs w:val="30"/>
        </w:rPr>
        <w:t>③每季度要对备用电源进行1到2次充放电实验,1到3次主电源和备用电源自动切换实验。</w:t>
      </w:r>
    </w:p>
    <w:p w14:paraId="0C2B006F">
      <w:pPr>
        <w:spacing w:line="560" w:lineRule="exact"/>
        <w:ind w:firstLine="600" w:firstLineChars="200"/>
        <w:rPr>
          <w:rFonts w:hint="eastAsia" w:ascii="仿宋" w:hAnsi="仿宋" w:eastAsia="仿宋" w:cs="仿宋"/>
          <w:sz w:val="30"/>
          <w:szCs w:val="30"/>
        </w:rPr>
      </w:pPr>
      <w:r>
        <w:rPr>
          <w:rFonts w:hint="eastAsia" w:ascii="仿宋" w:hAnsi="仿宋" w:eastAsia="仿宋" w:cs="仿宋"/>
          <w:sz w:val="30"/>
          <w:szCs w:val="30"/>
        </w:rPr>
        <w:t>2.每月对消防控制主机检查项目﹕</w:t>
      </w:r>
    </w:p>
    <w:p w14:paraId="72A5EFAB">
      <w:pPr>
        <w:spacing w:line="560" w:lineRule="exact"/>
        <w:ind w:firstLine="600" w:firstLineChars="200"/>
        <w:rPr>
          <w:rFonts w:hint="eastAsia" w:ascii="仿宋" w:hAnsi="仿宋" w:eastAsia="仿宋" w:cs="仿宋"/>
          <w:sz w:val="30"/>
          <w:szCs w:val="30"/>
        </w:rPr>
      </w:pPr>
      <w:r>
        <w:rPr>
          <w:rFonts w:hint="eastAsia" w:ascii="仿宋" w:hAnsi="仿宋" w:eastAsia="仿宋" w:cs="仿宋"/>
          <w:sz w:val="30"/>
          <w:szCs w:val="30"/>
        </w:rPr>
        <w:t>（1）触发自检键，进行功能自检。</w:t>
      </w:r>
    </w:p>
    <w:p w14:paraId="707BC2B8">
      <w:pPr>
        <w:spacing w:line="560" w:lineRule="exact"/>
        <w:ind w:firstLine="600" w:firstLineChars="200"/>
        <w:rPr>
          <w:rFonts w:hint="eastAsia" w:ascii="仿宋" w:hAnsi="仿宋" w:eastAsia="仿宋" w:cs="仿宋"/>
          <w:sz w:val="30"/>
          <w:szCs w:val="30"/>
        </w:rPr>
      </w:pPr>
      <w:r>
        <w:rPr>
          <w:rFonts w:hint="eastAsia" w:ascii="仿宋" w:hAnsi="仿宋" w:eastAsia="仿宋" w:cs="仿宋"/>
          <w:sz w:val="30"/>
          <w:szCs w:val="30"/>
        </w:rPr>
        <w:t>（2）对控制器电源全部发光显示器进行检验,并循环三次。</w:t>
      </w:r>
    </w:p>
    <w:p w14:paraId="0DCEAB37">
      <w:pPr>
        <w:spacing w:line="560" w:lineRule="exact"/>
        <w:ind w:firstLine="600" w:firstLineChars="200"/>
        <w:rPr>
          <w:rFonts w:hint="eastAsia" w:ascii="仿宋" w:hAnsi="仿宋" w:eastAsia="仿宋" w:cs="仿宋"/>
          <w:sz w:val="30"/>
          <w:szCs w:val="30"/>
        </w:rPr>
      </w:pPr>
      <w:r>
        <w:rPr>
          <w:rFonts w:hint="eastAsia" w:ascii="仿宋" w:hAnsi="仿宋" w:eastAsia="仿宋" w:cs="仿宋"/>
          <w:sz w:val="30"/>
          <w:szCs w:val="30"/>
        </w:rPr>
        <w:t>（3）对Ⅱ级编程继电器进行检验,检验期间继电器触点动作。</w:t>
      </w:r>
    </w:p>
    <w:p w14:paraId="052C6743">
      <w:pPr>
        <w:spacing w:line="560" w:lineRule="exact"/>
        <w:ind w:firstLine="600" w:firstLineChars="200"/>
        <w:rPr>
          <w:rFonts w:hint="eastAsia" w:ascii="仿宋" w:hAnsi="仿宋" w:eastAsia="仿宋" w:cs="仿宋"/>
          <w:sz w:val="30"/>
          <w:szCs w:val="30"/>
        </w:rPr>
      </w:pPr>
      <w:r>
        <w:rPr>
          <w:rFonts w:hint="eastAsia" w:ascii="仿宋" w:hAnsi="仿宋" w:eastAsia="仿宋" w:cs="仿宋"/>
          <w:sz w:val="30"/>
          <w:szCs w:val="30"/>
        </w:rPr>
        <w:t>（4）对打印机功能进行检验。</w:t>
      </w:r>
    </w:p>
    <w:p w14:paraId="6CE2AE19">
      <w:pPr>
        <w:spacing w:line="560" w:lineRule="exact"/>
        <w:ind w:firstLine="600" w:firstLineChars="200"/>
        <w:rPr>
          <w:rFonts w:hint="eastAsia" w:ascii="仿宋" w:hAnsi="仿宋" w:eastAsia="仿宋" w:cs="仿宋"/>
          <w:sz w:val="30"/>
          <w:szCs w:val="30"/>
        </w:rPr>
      </w:pPr>
      <w:r>
        <w:rPr>
          <w:rFonts w:hint="eastAsia" w:ascii="仿宋" w:hAnsi="仿宋" w:eastAsia="仿宋" w:cs="仿宋"/>
          <w:sz w:val="30"/>
          <w:szCs w:val="30"/>
        </w:rPr>
        <w:t>（5）对控制器的主要硬件接口芯片,存储器芯片及各类插件的主要芯片进行自动实时故障检测。</w:t>
      </w:r>
    </w:p>
    <w:p w14:paraId="71B15086">
      <w:pPr>
        <w:spacing w:line="560" w:lineRule="exact"/>
        <w:ind w:firstLine="600" w:firstLineChars="200"/>
        <w:rPr>
          <w:rFonts w:hint="eastAsia" w:ascii="仿宋" w:hAnsi="仿宋" w:eastAsia="仿宋" w:cs="仿宋"/>
          <w:sz w:val="30"/>
          <w:szCs w:val="30"/>
        </w:rPr>
      </w:pPr>
      <w:r>
        <w:rPr>
          <w:rFonts w:hint="eastAsia" w:ascii="仿宋" w:hAnsi="仿宋" w:eastAsia="仿宋" w:cs="仿宋"/>
          <w:sz w:val="30"/>
          <w:szCs w:val="30"/>
        </w:rPr>
        <w:t>（6）切断主电源，查看备用直流电源自动投入和主、备电源的状态显示情况。</w:t>
      </w:r>
    </w:p>
    <w:p w14:paraId="44AD7AA6">
      <w:pPr>
        <w:spacing w:line="560" w:lineRule="exact"/>
        <w:ind w:firstLine="600" w:firstLineChars="200"/>
        <w:rPr>
          <w:rFonts w:hint="eastAsia" w:ascii="仿宋" w:hAnsi="仿宋" w:eastAsia="仿宋" w:cs="仿宋"/>
          <w:sz w:val="30"/>
          <w:szCs w:val="30"/>
        </w:rPr>
      </w:pPr>
      <w:r>
        <w:rPr>
          <w:rFonts w:hint="eastAsia" w:ascii="仿宋" w:hAnsi="仿宋" w:eastAsia="仿宋" w:cs="仿宋"/>
          <w:sz w:val="30"/>
          <w:szCs w:val="30"/>
        </w:rPr>
        <w:t>（7）在备用直流电源供电状态下，进行断路故障报警及火警优先功能。</w:t>
      </w:r>
    </w:p>
    <w:p w14:paraId="7629AF8E">
      <w:pPr>
        <w:spacing w:line="560" w:lineRule="exact"/>
        <w:ind w:firstLine="600" w:firstLineChars="200"/>
        <w:rPr>
          <w:rFonts w:hint="eastAsia" w:ascii="仿宋" w:hAnsi="仿宋" w:eastAsia="仿宋" w:cs="仿宋"/>
          <w:sz w:val="30"/>
          <w:szCs w:val="30"/>
        </w:rPr>
      </w:pPr>
      <w:r>
        <w:rPr>
          <w:rFonts w:hint="eastAsia" w:ascii="仿宋" w:hAnsi="仿宋" w:eastAsia="仿宋" w:cs="仿宋"/>
          <w:sz w:val="30"/>
          <w:szCs w:val="30"/>
        </w:rPr>
        <w:t>报警功能检测：</w:t>
      </w:r>
    </w:p>
    <w:p w14:paraId="1952C850">
      <w:pPr>
        <w:spacing w:line="560" w:lineRule="exact"/>
        <w:ind w:firstLine="600" w:firstLineChars="200"/>
        <w:rPr>
          <w:rFonts w:hint="eastAsia" w:ascii="仿宋" w:hAnsi="仿宋" w:eastAsia="仿宋" w:cs="仿宋"/>
          <w:sz w:val="30"/>
          <w:szCs w:val="30"/>
        </w:rPr>
      </w:pPr>
      <w:r>
        <w:rPr>
          <w:rFonts w:hint="eastAsia" w:ascii="仿宋" w:hAnsi="仿宋" w:eastAsia="仿宋" w:cs="仿宋"/>
          <w:sz w:val="30"/>
          <w:szCs w:val="30"/>
        </w:rPr>
        <w:t>①类比探测器、手动报警按钮断路故障，查看故障显示。</w:t>
      </w:r>
    </w:p>
    <w:p w14:paraId="628EE604">
      <w:pPr>
        <w:spacing w:line="560" w:lineRule="exact"/>
        <w:ind w:firstLine="600" w:firstLineChars="200"/>
        <w:rPr>
          <w:rFonts w:hint="eastAsia" w:ascii="仿宋" w:hAnsi="仿宋" w:eastAsia="仿宋" w:cs="仿宋"/>
          <w:sz w:val="30"/>
          <w:szCs w:val="30"/>
        </w:rPr>
      </w:pPr>
      <w:r>
        <w:rPr>
          <w:rFonts w:hint="eastAsia" w:ascii="仿宋" w:hAnsi="仿宋" w:eastAsia="仿宋" w:cs="仿宋"/>
          <w:sz w:val="30"/>
          <w:szCs w:val="30"/>
        </w:rPr>
        <w:t>②断路故障报警期间，采用发烟装置或温度不低于54℃的热源先后向同一回路中两个探测器施放烟气或加热，查看火灾报警控制器的火警信号、报警部位显示及记录。每个探测器检测后只消音不重定。</w:t>
      </w:r>
    </w:p>
    <w:p w14:paraId="269CA115">
      <w:pPr>
        <w:spacing w:line="560" w:lineRule="exact"/>
        <w:ind w:firstLine="600" w:firstLineChars="200"/>
        <w:rPr>
          <w:rFonts w:hint="eastAsia" w:ascii="仿宋" w:hAnsi="仿宋" w:eastAsia="仿宋" w:cs="仿宋"/>
          <w:sz w:val="30"/>
          <w:szCs w:val="30"/>
        </w:rPr>
      </w:pPr>
      <w:r>
        <w:rPr>
          <w:rFonts w:hint="eastAsia" w:ascii="仿宋" w:hAnsi="仿宋" w:eastAsia="仿宋" w:cs="仿宋"/>
          <w:sz w:val="30"/>
          <w:szCs w:val="30"/>
        </w:rPr>
        <w:t>（8）用万用表测量火灾报警控制器的联动输出信号。</w:t>
      </w:r>
    </w:p>
    <w:p w14:paraId="0900DE37">
      <w:pPr>
        <w:spacing w:line="560" w:lineRule="exact"/>
        <w:ind w:firstLine="600" w:firstLineChars="200"/>
        <w:rPr>
          <w:rFonts w:hint="eastAsia" w:ascii="仿宋" w:hAnsi="仿宋" w:eastAsia="仿宋" w:cs="仿宋"/>
          <w:sz w:val="30"/>
          <w:szCs w:val="30"/>
        </w:rPr>
      </w:pPr>
      <w:r>
        <w:rPr>
          <w:rFonts w:hint="eastAsia" w:ascii="仿宋" w:hAnsi="仿宋" w:eastAsia="仿宋" w:cs="仿宋"/>
          <w:sz w:val="30"/>
          <w:szCs w:val="30"/>
        </w:rPr>
        <w:t>（9）系统重定，恢复到正常警戒状态。</w:t>
      </w:r>
    </w:p>
    <w:p w14:paraId="4E007C60">
      <w:pPr>
        <w:spacing w:line="560" w:lineRule="exact"/>
        <w:ind w:firstLine="600" w:firstLineChars="200"/>
        <w:rPr>
          <w:rFonts w:hint="eastAsia" w:ascii="仿宋" w:hAnsi="仿宋" w:eastAsia="仿宋" w:cs="仿宋"/>
          <w:sz w:val="30"/>
          <w:szCs w:val="30"/>
        </w:rPr>
      </w:pPr>
      <w:r>
        <w:rPr>
          <w:rFonts w:hint="eastAsia" w:ascii="仿宋" w:hAnsi="仿宋" w:eastAsia="仿宋" w:cs="仿宋"/>
          <w:sz w:val="30"/>
          <w:szCs w:val="30"/>
        </w:rPr>
        <w:t>（二）火灾自动报警系统</w:t>
      </w:r>
    </w:p>
    <w:p w14:paraId="6EB7E52A">
      <w:pPr>
        <w:spacing w:line="560" w:lineRule="exact"/>
        <w:ind w:firstLine="600" w:firstLineChars="200"/>
        <w:rPr>
          <w:rFonts w:hint="eastAsia" w:ascii="仿宋" w:hAnsi="仿宋" w:eastAsia="仿宋" w:cs="仿宋"/>
          <w:sz w:val="30"/>
          <w:szCs w:val="30"/>
        </w:rPr>
      </w:pPr>
      <w:r>
        <w:rPr>
          <w:rFonts w:hint="eastAsia" w:ascii="仿宋" w:hAnsi="仿宋" w:eastAsia="仿宋" w:cs="仿宋"/>
          <w:sz w:val="30"/>
          <w:szCs w:val="30"/>
        </w:rPr>
        <w:t>1.为使火灾探测器保持性能良好,正常运行，在维保期内全部进行清洗一遍。</w:t>
      </w:r>
    </w:p>
    <w:p w14:paraId="0234C354">
      <w:pPr>
        <w:spacing w:line="560" w:lineRule="exact"/>
        <w:ind w:firstLine="600" w:firstLineChars="200"/>
        <w:rPr>
          <w:rFonts w:hint="eastAsia" w:ascii="仿宋" w:hAnsi="仿宋" w:eastAsia="仿宋" w:cs="仿宋"/>
          <w:sz w:val="30"/>
          <w:szCs w:val="30"/>
        </w:rPr>
      </w:pPr>
      <w:r>
        <w:rPr>
          <w:rFonts w:hint="eastAsia" w:ascii="仿宋" w:hAnsi="仿宋" w:eastAsia="仿宋" w:cs="仿宋"/>
          <w:sz w:val="30"/>
          <w:szCs w:val="30"/>
        </w:rPr>
        <w:t>2.每月应对所有的火灾探测器采用抽测的方式进行测试﹕</w:t>
      </w:r>
    </w:p>
    <w:p w14:paraId="08E86891">
      <w:pPr>
        <w:spacing w:line="560" w:lineRule="exact"/>
        <w:ind w:firstLine="600" w:firstLineChars="200"/>
        <w:rPr>
          <w:rFonts w:hint="eastAsia" w:ascii="仿宋" w:hAnsi="仿宋" w:eastAsia="仿宋" w:cs="仿宋"/>
          <w:sz w:val="30"/>
          <w:szCs w:val="30"/>
        </w:rPr>
      </w:pPr>
      <w:r>
        <w:rPr>
          <w:rFonts w:hint="eastAsia" w:ascii="仿宋" w:hAnsi="仿宋" w:eastAsia="仿宋" w:cs="仿宋"/>
          <w:sz w:val="30"/>
          <w:szCs w:val="30"/>
        </w:rPr>
        <w:t>（1）点型感烟探测器</w:t>
      </w:r>
    </w:p>
    <w:p w14:paraId="17A2CAD1">
      <w:pPr>
        <w:spacing w:line="560" w:lineRule="exact"/>
        <w:ind w:firstLine="600" w:firstLineChars="200"/>
        <w:rPr>
          <w:rFonts w:hint="eastAsia" w:ascii="仿宋" w:hAnsi="仿宋" w:eastAsia="仿宋" w:cs="仿宋"/>
          <w:sz w:val="30"/>
          <w:szCs w:val="30"/>
        </w:rPr>
      </w:pPr>
      <w:r>
        <w:rPr>
          <w:rFonts w:hint="eastAsia" w:ascii="仿宋" w:hAnsi="仿宋" w:eastAsia="仿宋" w:cs="仿宋"/>
          <w:sz w:val="30"/>
          <w:szCs w:val="30"/>
        </w:rPr>
        <w:t>①采用发烟装置向探测器施放烟气，查看探测器报警确认灯、以及火灾报警控制器的火警信号显示。</w:t>
      </w:r>
    </w:p>
    <w:p w14:paraId="438AAF97">
      <w:pPr>
        <w:spacing w:line="560" w:lineRule="exact"/>
        <w:ind w:firstLine="600" w:firstLineChars="200"/>
        <w:rPr>
          <w:rFonts w:hint="eastAsia" w:ascii="仿宋" w:hAnsi="仿宋" w:eastAsia="仿宋" w:cs="仿宋"/>
          <w:sz w:val="30"/>
          <w:szCs w:val="30"/>
        </w:rPr>
      </w:pPr>
      <w:r>
        <w:rPr>
          <w:rFonts w:hint="eastAsia" w:ascii="仿宋" w:hAnsi="仿宋" w:eastAsia="仿宋" w:cs="仿宋"/>
          <w:sz w:val="30"/>
          <w:szCs w:val="30"/>
        </w:rPr>
        <w:t>②消除探测器内及周围烟雾，报警控制器手动重定，观察探测器报警确认灯在重定前后的变化情况。</w:t>
      </w:r>
    </w:p>
    <w:p w14:paraId="359CF797">
      <w:pPr>
        <w:spacing w:line="560" w:lineRule="exact"/>
        <w:ind w:firstLine="600" w:firstLineChars="200"/>
        <w:rPr>
          <w:rFonts w:hint="eastAsia" w:ascii="仿宋" w:hAnsi="仿宋" w:eastAsia="仿宋" w:cs="仿宋"/>
          <w:sz w:val="30"/>
          <w:szCs w:val="30"/>
        </w:rPr>
      </w:pPr>
      <w:r>
        <w:rPr>
          <w:rFonts w:hint="eastAsia" w:ascii="仿宋" w:hAnsi="仿宋" w:eastAsia="仿宋" w:cs="仿宋"/>
          <w:sz w:val="30"/>
          <w:szCs w:val="30"/>
        </w:rPr>
        <w:t>（2）点型感温探测器</w:t>
      </w:r>
    </w:p>
    <w:p w14:paraId="43455930">
      <w:pPr>
        <w:spacing w:line="560" w:lineRule="exact"/>
        <w:ind w:firstLine="600" w:firstLineChars="200"/>
        <w:rPr>
          <w:rFonts w:hint="eastAsia" w:ascii="仿宋" w:hAnsi="仿宋" w:eastAsia="仿宋" w:cs="仿宋"/>
          <w:sz w:val="30"/>
          <w:szCs w:val="30"/>
        </w:rPr>
      </w:pPr>
      <w:r>
        <w:rPr>
          <w:rFonts w:hint="eastAsia" w:ascii="仿宋" w:hAnsi="仿宋" w:eastAsia="仿宋" w:cs="仿宋"/>
          <w:sz w:val="30"/>
          <w:szCs w:val="30"/>
        </w:rPr>
        <w:t>可重定点型感温探测器，使用温度不低于54℃的热源加热，查看探测器报警确认灯和火灾报警控制器火警信号显示；移开加热源，手动重定火灾报警控制器，查看探测器报警确认灯在重定前后的变化情况。</w:t>
      </w:r>
    </w:p>
    <w:p w14:paraId="7AFBABAE">
      <w:pPr>
        <w:spacing w:line="560" w:lineRule="exact"/>
        <w:ind w:firstLine="600" w:firstLineChars="200"/>
        <w:rPr>
          <w:rFonts w:hint="eastAsia" w:ascii="仿宋" w:hAnsi="仿宋" w:eastAsia="仿宋" w:cs="仿宋"/>
          <w:sz w:val="30"/>
          <w:szCs w:val="30"/>
        </w:rPr>
      </w:pPr>
      <w:r>
        <w:rPr>
          <w:rFonts w:hint="eastAsia" w:ascii="仿宋" w:hAnsi="仿宋" w:eastAsia="仿宋" w:cs="仿宋"/>
          <w:sz w:val="30"/>
          <w:szCs w:val="30"/>
        </w:rPr>
        <w:t>①对测试过的火灾探测器做地址记录,以免在下期测试中重复测试同一个点。在一年内通过定期测试后将所有火灾探测器测试一遍。</w:t>
      </w:r>
    </w:p>
    <w:p w14:paraId="2D012670">
      <w:pPr>
        <w:spacing w:line="560" w:lineRule="exact"/>
        <w:ind w:firstLine="600" w:firstLineChars="200"/>
        <w:rPr>
          <w:rFonts w:hint="eastAsia" w:ascii="仿宋" w:hAnsi="仿宋" w:eastAsia="仿宋" w:cs="仿宋"/>
          <w:sz w:val="30"/>
          <w:szCs w:val="30"/>
        </w:rPr>
      </w:pPr>
      <w:r>
        <w:rPr>
          <w:rFonts w:hint="eastAsia" w:ascii="仿宋" w:hAnsi="仿宋" w:eastAsia="仿宋" w:cs="仿宋"/>
          <w:sz w:val="30"/>
          <w:szCs w:val="30"/>
        </w:rPr>
        <w:t>②测试中应核对火灾探测器的地址是否正确。</w:t>
      </w:r>
    </w:p>
    <w:p w14:paraId="7CD7A692">
      <w:pPr>
        <w:spacing w:line="560" w:lineRule="exact"/>
        <w:ind w:firstLine="600" w:firstLineChars="200"/>
        <w:rPr>
          <w:rFonts w:hint="eastAsia" w:ascii="仿宋" w:hAnsi="仿宋" w:eastAsia="仿宋" w:cs="仿宋"/>
          <w:sz w:val="30"/>
          <w:szCs w:val="30"/>
        </w:rPr>
      </w:pPr>
      <w:r>
        <w:rPr>
          <w:rFonts w:hint="eastAsia" w:ascii="仿宋" w:hAnsi="仿宋" w:eastAsia="仿宋" w:cs="仿宋"/>
          <w:sz w:val="30"/>
          <w:szCs w:val="30"/>
        </w:rPr>
        <w:t>③在测试过程中,应对火灾探测器报警的迟缓程度做记录,通过汇总,对其工作状态有一个大致的了解,为是否对火灾探测器进行清洗提供佐证。</w:t>
      </w:r>
    </w:p>
    <w:p w14:paraId="3BD0A17A">
      <w:pPr>
        <w:spacing w:line="560" w:lineRule="exact"/>
        <w:ind w:firstLine="600" w:firstLineChars="200"/>
        <w:rPr>
          <w:rFonts w:hint="eastAsia" w:ascii="仿宋" w:hAnsi="仿宋" w:eastAsia="仿宋" w:cs="仿宋"/>
          <w:sz w:val="30"/>
          <w:szCs w:val="30"/>
        </w:rPr>
      </w:pPr>
      <w:r>
        <w:rPr>
          <w:rFonts w:hint="eastAsia" w:ascii="仿宋" w:hAnsi="仿宋" w:eastAsia="仿宋" w:cs="仿宋"/>
          <w:sz w:val="30"/>
          <w:szCs w:val="30"/>
        </w:rPr>
        <w:t>④对于探测装置因环境条件的改变，而不能适用时，应通过设计、施工部门及时更换。</w:t>
      </w:r>
    </w:p>
    <w:p w14:paraId="75DE269C">
      <w:pPr>
        <w:spacing w:line="560" w:lineRule="exact"/>
        <w:ind w:firstLine="600" w:firstLineChars="200"/>
        <w:rPr>
          <w:rFonts w:hint="eastAsia" w:ascii="仿宋" w:hAnsi="仿宋" w:eastAsia="仿宋" w:cs="仿宋"/>
          <w:sz w:val="30"/>
          <w:szCs w:val="30"/>
        </w:rPr>
      </w:pPr>
      <w:r>
        <w:rPr>
          <w:rFonts w:hint="eastAsia" w:ascii="仿宋" w:hAnsi="仿宋" w:eastAsia="仿宋" w:cs="仿宋"/>
          <w:sz w:val="30"/>
          <w:szCs w:val="30"/>
        </w:rPr>
        <w:t>⑤要防止外部干扰或意外损坏。对于探测器不仅要防止烟、灰尘及类似的气溶胶、小动物的侵入、水蒸汽凝结、结冰等外部自然因素的影响而且还要防止人为的因素如书架、贮藏架的摆放或设备、隔断等分隔对探测器和手动报警按钮的影响。</w:t>
      </w:r>
    </w:p>
    <w:p w14:paraId="6153C139">
      <w:pPr>
        <w:spacing w:line="560" w:lineRule="exact"/>
        <w:ind w:firstLine="600" w:firstLineChars="200"/>
        <w:rPr>
          <w:rFonts w:hint="eastAsia" w:ascii="仿宋" w:hAnsi="仿宋" w:eastAsia="仿宋" w:cs="仿宋"/>
          <w:sz w:val="30"/>
          <w:szCs w:val="30"/>
        </w:rPr>
      </w:pPr>
      <w:r>
        <w:rPr>
          <w:rFonts w:hint="eastAsia" w:ascii="仿宋" w:hAnsi="仿宋" w:eastAsia="仿宋" w:cs="仿宋"/>
          <w:sz w:val="30"/>
          <w:szCs w:val="30"/>
        </w:rPr>
        <w:t>（3）手动报警按钮</w:t>
      </w:r>
    </w:p>
    <w:p w14:paraId="6840C6C4">
      <w:pPr>
        <w:spacing w:line="560" w:lineRule="exact"/>
        <w:ind w:firstLine="600" w:firstLineChars="200"/>
        <w:rPr>
          <w:rFonts w:hint="eastAsia" w:ascii="仿宋" w:hAnsi="仿宋" w:eastAsia="仿宋" w:cs="仿宋"/>
          <w:sz w:val="30"/>
          <w:szCs w:val="30"/>
        </w:rPr>
      </w:pPr>
      <w:r>
        <w:rPr>
          <w:rFonts w:hint="eastAsia" w:ascii="仿宋" w:hAnsi="仿宋" w:eastAsia="仿宋" w:cs="仿宋"/>
          <w:sz w:val="30"/>
          <w:szCs w:val="30"/>
        </w:rPr>
        <w:t>①每月巡检手动报警按钮装置,检查外罩玻璃是否有破损。如有损坏应及时更换,以免发生误报。</w:t>
      </w:r>
    </w:p>
    <w:p w14:paraId="4F2637C0">
      <w:pPr>
        <w:spacing w:line="560" w:lineRule="exact"/>
        <w:ind w:firstLine="600" w:firstLineChars="200"/>
        <w:rPr>
          <w:rFonts w:hint="eastAsia" w:ascii="仿宋" w:hAnsi="仿宋" w:eastAsia="仿宋" w:cs="仿宋"/>
          <w:sz w:val="30"/>
          <w:szCs w:val="30"/>
        </w:rPr>
      </w:pPr>
      <w:r>
        <w:rPr>
          <w:rFonts w:hint="eastAsia" w:ascii="仿宋" w:hAnsi="仿宋" w:eastAsia="仿宋" w:cs="仿宋"/>
          <w:sz w:val="30"/>
          <w:szCs w:val="30"/>
        </w:rPr>
        <w:t>②每季度巡检时,触发按钮查看火灾报警控制器信号和按钮的报警确认灯是否准确。</w:t>
      </w:r>
    </w:p>
    <w:p w14:paraId="10AE841D">
      <w:pPr>
        <w:spacing w:line="560" w:lineRule="exact"/>
        <w:ind w:firstLine="600" w:firstLineChars="200"/>
        <w:rPr>
          <w:rFonts w:hint="eastAsia" w:ascii="仿宋" w:hAnsi="仿宋" w:eastAsia="仿宋" w:cs="仿宋"/>
          <w:sz w:val="30"/>
          <w:szCs w:val="30"/>
        </w:rPr>
      </w:pPr>
      <w:r>
        <w:rPr>
          <w:rFonts w:hint="eastAsia" w:ascii="仿宋" w:hAnsi="仿宋" w:eastAsia="仿宋" w:cs="仿宋"/>
          <w:sz w:val="30"/>
          <w:szCs w:val="30"/>
        </w:rPr>
        <w:t>③每季度对警铃及广播测试一遍，发现故障及时维修。</w:t>
      </w:r>
    </w:p>
    <w:p w14:paraId="6A625073">
      <w:pPr>
        <w:spacing w:line="560" w:lineRule="exact"/>
        <w:ind w:firstLine="600" w:firstLineChars="200"/>
        <w:rPr>
          <w:rFonts w:hint="eastAsia" w:ascii="仿宋" w:hAnsi="仿宋" w:eastAsia="仿宋" w:cs="仿宋"/>
          <w:sz w:val="30"/>
          <w:szCs w:val="30"/>
        </w:rPr>
      </w:pPr>
      <w:r>
        <w:rPr>
          <w:rFonts w:hint="eastAsia" w:ascii="仿宋" w:hAnsi="仿宋" w:eastAsia="仿宋" w:cs="仿宋"/>
          <w:sz w:val="30"/>
          <w:szCs w:val="30"/>
        </w:rPr>
        <w:t>（三）消防给水系统</w:t>
      </w:r>
    </w:p>
    <w:p w14:paraId="2406CF93">
      <w:pPr>
        <w:spacing w:line="560" w:lineRule="exact"/>
        <w:ind w:firstLine="600" w:firstLineChars="200"/>
        <w:rPr>
          <w:rFonts w:hint="eastAsia" w:ascii="仿宋" w:hAnsi="仿宋" w:eastAsia="仿宋" w:cs="仿宋"/>
          <w:sz w:val="30"/>
          <w:szCs w:val="30"/>
        </w:rPr>
      </w:pPr>
      <w:r>
        <w:rPr>
          <w:rFonts w:hint="eastAsia" w:ascii="仿宋" w:hAnsi="仿宋" w:eastAsia="仿宋" w:cs="仿宋"/>
          <w:sz w:val="30"/>
          <w:szCs w:val="30"/>
        </w:rPr>
        <w:t>1.消防水池</w:t>
      </w:r>
    </w:p>
    <w:p w14:paraId="331810D5">
      <w:pPr>
        <w:spacing w:line="560" w:lineRule="exact"/>
        <w:ind w:firstLine="600" w:firstLineChars="200"/>
        <w:rPr>
          <w:rFonts w:hint="eastAsia" w:ascii="仿宋" w:hAnsi="仿宋" w:eastAsia="仿宋" w:cs="仿宋"/>
          <w:sz w:val="30"/>
          <w:szCs w:val="30"/>
        </w:rPr>
      </w:pPr>
      <w:r>
        <w:rPr>
          <w:rFonts w:hint="eastAsia" w:ascii="仿宋" w:hAnsi="仿宋" w:eastAsia="仿宋" w:cs="仿宋"/>
          <w:sz w:val="30"/>
          <w:szCs w:val="30"/>
        </w:rPr>
        <w:t>（1）每月查看消防水池水位及消防用水不被他用的状况。</w:t>
      </w:r>
    </w:p>
    <w:p w14:paraId="40F41D1F">
      <w:pPr>
        <w:spacing w:line="560" w:lineRule="exact"/>
        <w:ind w:firstLine="600" w:firstLineChars="200"/>
        <w:rPr>
          <w:rFonts w:hint="eastAsia" w:ascii="仿宋" w:hAnsi="仿宋" w:eastAsia="仿宋" w:cs="仿宋"/>
          <w:sz w:val="30"/>
          <w:szCs w:val="30"/>
        </w:rPr>
      </w:pPr>
      <w:r>
        <w:rPr>
          <w:rFonts w:hint="eastAsia" w:ascii="仿宋" w:hAnsi="仿宋" w:eastAsia="仿宋" w:cs="仿宋"/>
          <w:sz w:val="30"/>
          <w:szCs w:val="30"/>
        </w:rPr>
        <w:t xml:space="preserve">（2）每月查看补水设施。 </w:t>
      </w:r>
    </w:p>
    <w:p w14:paraId="28397342">
      <w:pPr>
        <w:spacing w:line="560" w:lineRule="exact"/>
        <w:ind w:firstLine="600" w:firstLineChars="200"/>
        <w:rPr>
          <w:rFonts w:hint="eastAsia" w:ascii="仿宋" w:hAnsi="仿宋" w:eastAsia="仿宋" w:cs="仿宋"/>
          <w:sz w:val="30"/>
          <w:szCs w:val="30"/>
        </w:rPr>
      </w:pPr>
      <w:r>
        <w:rPr>
          <w:rFonts w:hint="eastAsia" w:ascii="仿宋" w:hAnsi="仿宋" w:eastAsia="仿宋" w:cs="仿宋"/>
          <w:sz w:val="30"/>
          <w:szCs w:val="30"/>
        </w:rPr>
        <w:t>（3）每年对水源的供水能力进行一次测定。</w:t>
      </w:r>
    </w:p>
    <w:p w14:paraId="36156BFE">
      <w:pPr>
        <w:spacing w:line="560" w:lineRule="exact"/>
        <w:ind w:firstLine="600" w:firstLineChars="200"/>
        <w:rPr>
          <w:rFonts w:hint="eastAsia" w:ascii="仿宋" w:hAnsi="仿宋" w:eastAsia="仿宋" w:cs="仿宋"/>
          <w:sz w:val="30"/>
          <w:szCs w:val="30"/>
        </w:rPr>
      </w:pPr>
      <w:r>
        <w:rPr>
          <w:rFonts w:hint="eastAsia" w:ascii="仿宋" w:hAnsi="仿宋" w:eastAsia="仿宋" w:cs="仿宋"/>
          <w:sz w:val="30"/>
          <w:szCs w:val="30"/>
        </w:rPr>
        <w:t>（4）每年对消防水池进行一次清洗、排污。</w:t>
      </w:r>
    </w:p>
    <w:p w14:paraId="08E6841B">
      <w:pPr>
        <w:spacing w:line="560" w:lineRule="exact"/>
        <w:ind w:firstLine="600" w:firstLineChars="200"/>
        <w:rPr>
          <w:rFonts w:hint="eastAsia" w:ascii="仿宋" w:hAnsi="仿宋" w:eastAsia="仿宋" w:cs="仿宋"/>
          <w:sz w:val="30"/>
          <w:szCs w:val="30"/>
        </w:rPr>
      </w:pPr>
      <w:r>
        <w:rPr>
          <w:rFonts w:hint="eastAsia" w:ascii="仿宋" w:hAnsi="仿宋" w:eastAsia="仿宋" w:cs="仿宋"/>
          <w:sz w:val="30"/>
          <w:szCs w:val="30"/>
        </w:rPr>
        <w:t>2.消防管路系统</w:t>
      </w:r>
    </w:p>
    <w:p w14:paraId="4C913C36">
      <w:pPr>
        <w:spacing w:line="560" w:lineRule="exact"/>
        <w:ind w:firstLine="600" w:firstLineChars="200"/>
        <w:rPr>
          <w:rFonts w:hint="eastAsia" w:ascii="仿宋" w:hAnsi="仿宋" w:eastAsia="仿宋" w:cs="仿宋"/>
          <w:sz w:val="30"/>
          <w:szCs w:val="30"/>
        </w:rPr>
      </w:pPr>
      <w:r>
        <w:rPr>
          <w:rFonts w:hint="eastAsia" w:ascii="仿宋" w:hAnsi="仿宋" w:eastAsia="仿宋" w:cs="仿宋"/>
          <w:sz w:val="30"/>
          <w:szCs w:val="30"/>
        </w:rPr>
        <w:t>（1）观察稳压泵的启动频率，确定管网有无渗漏现象。</w:t>
      </w:r>
    </w:p>
    <w:p w14:paraId="34EC024D">
      <w:pPr>
        <w:spacing w:line="560" w:lineRule="exact"/>
        <w:ind w:firstLine="600" w:firstLineChars="200"/>
        <w:rPr>
          <w:rFonts w:hint="eastAsia" w:ascii="仿宋" w:hAnsi="仿宋" w:eastAsia="仿宋" w:cs="仿宋"/>
          <w:sz w:val="30"/>
          <w:szCs w:val="30"/>
        </w:rPr>
      </w:pPr>
      <w:r>
        <w:rPr>
          <w:rFonts w:hint="eastAsia" w:ascii="仿宋" w:hAnsi="仿宋" w:eastAsia="仿宋" w:cs="仿宋"/>
          <w:sz w:val="30"/>
          <w:szCs w:val="30"/>
        </w:rPr>
        <w:t>（2）外观检查：检查管道有无机械损伤、油漆脱落、锈蚀等，管道固定是否牢固，发现问题应及时处理。</w:t>
      </w:r>
    </w:p>
    <w:p w14:paraId="57512339">
      <w:pPr>
        <w:spacing w:line="560" w:lineRule="exact"/>
        <w:ind w:firstLine="600" w:firstLineChars="200"/>
        <w:rPr>
          <w:rFonts w:hint="eastAsia" w:ascii="仿宋" w:hAnsi="仿宋" w:eastAsia="仿宋" w:cs="仿宋"/>
          <w:sz w:val="30"/>
          <w:szCs w:val="30"/>
        </w:rPr>
      </w:pPr>
      <w:r>
        <w:rPr>
          <w:rFonts w:hint="eastAsia" w:ascii="仿宋" w:hAnsi="仿宋" w:eastAsia="仿宋" w:cs="仿宋"/>
          <w:sz w:val="30"/>
          <w:szCs w:val="30"/>
        </w:rPr>
        <w:t>（3）清除堵塞：系统管道中,可能因施工疏忽残留有砂、石、木屑或水源带来的垃圾、铁锈等，这样会造成喷头堵塞、报警阀关闭不严、水力警铃输水管堵塞等。</w:t>
      </w:r>
    </w:p>
    <w:p w14:paraId="002B7320">
      <w:pPr>
        <w:spacing w:line="560" w:lineRule="exact"/>
        <w:ind w:firstLine="600" w:firstLineChars="200"/>
        <w:rPr>
          <w:rFonts w:hint="eastAsia" w:ascii="仿宋" w:hAnsi="仿宋" w:eastAsia="仿宋" w:cs="仿宋"/>
          <w:sz w:val="30"/>
          <w:szCs w:val="30"/>
        </w:rPr>
      </w:pPr>
      <w:r>
        <w:rPr>
          <w:rFonts w:hint="eastAsia" w:ascii="仿宋" w:hAnsi="仿宋" w:eastAsia="仿宋" w:cs="仿宋"/>
          <w:sz w:val="30"/>
          <w:szCs w:val="30"/>
        </w:rPr>
        <w:t xml:space="preserve">（4）每季度需对不少于25%的管道末端进行放水，确保管道内的水质良好，并对水流指示器的报警功能进行检查。    </w:t>
      </w:r>
    </w:p>
    <w:p w14:paraId="0855416D">
      <w:pPr>
        <w:spacing w:line="560" w:lineRule="exact"/>
        <w:ind w:firstLine="600" w:firstLineChars="200"/>
        <w:rPr>
          <w:rFonts w:hint="eastAsia" w:ascii="仿宋" w:hAnsi="仿宋" w:eastAsia="仿宋" w:cs="仿宋"/>
          <w:sz w:val="30"/>
          <w:szCs w:val="30"/>
        </w:rPr>
      </w:pPr>
      <w:r>
        <w:rPr>
          <w:rFonts w:hint="eastAsia" w:ascii="仿宋" w:hAnsi="仿宋" w:eastAsia="仿宋" w:cs="仿宋"/>
          <w:sz w:val="30"/>
          <w:szCs w:val="30"/>
        </w:rPr>
        <w:t>3.稳压泵及气压水罐</w:t>
      </w:r>
    </w:p>
    <w:p w14:paraId="581A769D">
      <w:pPr>
        <w:spacing w:line="560" w:lineRule="exact"/>
        <w:ind w:firstLine="600" w:firstLineChars="200"/>
        <w:rPr>
          <w:rFonts w:hint="eastAsia" w:ascii="仿宋" w:hAnsi="仿宋" w:eastAsia="仿宋" w:cs="仿宋"/>
          <w:sz w:val="30"/>
          <w:szCs w:val="30"/>
        </w:rPr>
      </w:pPr>
      <w:r>
        <w:rPr>
          <w:rFonts w:hint="eastAsia" w:ascii="仿宋" w:hAnsi="仿宋" w:eastAsia="仿宋" w:cs="仿宋"/>
          <w:sz w:val="30"/>
          <w:szCs w:val="30"/>
        </w:rPr>
        <w:t>每月检查应依据如下步骤进行﹕</w:t>
      </w:r>
    </w:p>
    <w:p w14:paraId="44CAE253">
      <w:pPr>
        <w:spacing w:line="560" w:lineRule="exact"/>
        <w:ind w:firstLine="600" w:firstLineChars="200"/>
        <w:rPr>
          <w:rFonts w:hint="eastAsia" w:ascii="仿宋" w:hAnsi="仿宋" w:eastAsia="仿宋" w:cs="仿宋"/>
          <w:sz w:val="30"/>
          <w:szCs w:val="30"/>
        </w:rPr>
      </w:pPr>
      <w:r>
        <w:rPr>
          <w:rFonts w:hint="eastAsia" w:ascii="仿宋" w:hAnsi="仿宋" w:eastAsia="仿宋" w:cs="仿宋"/>
          <w:sz w:val="30"/>
          <w:szCs w:val="30"/>
        </w:rPr>
        <w:t>（1）打开排气阀，检查是否能够自动加压。</w:t>
      </w:r>
    </w:p>
    <w:p w14:paraId="600D00BF">
      <w:pPr>
        <w:spacing w:line="560" w:lineRule="exact"/>
        <w:ind w:firstLine="600" w:firstLineChars="200"/>
        <w:rPr>
          <w:rFonts w:hint="eastAsia" w:ascii="仿宋" w:hAnsi="仿宋" w:eastAsia="仿宋" w:cs="仿宋"/>
          <w:sz w:val="30"/>
          <w:szCs w:val="30"/>
        </w:rPr>
      </w:pPr>
      <w:r>
        <w:rPr>
          <w:rFonts w:hint="eastAsia" w:ascii="仿宋" w:hAnsi="仿宋" w:eastAsia="仿宋" w:cs="仿宋"/>
          <w:sz w:val="30"/>
          <w:szCs w:val="30"/>
        </w:rPr>
        <w:t>（2）打开试验排水阀，检查减水时能否自动供水，加压装置及供水装置压力表是否显示正常。</w:t>
      </w:r>
    </w:p>
    <w:p w14:paraId="68C8B21B">
      <w:pPr>
        <w:spacing w:line="560" w:lineRule="exact"/>
        <w:ind w:firstLine="600" w:firstLineChars="200"/>
        <w:rPr>
          <w:rFonts w:hint="eastAsia" w:ascii="仿宋" w:hAnsi="仿宋" w:eastAsia="仿宋" w:cs="仿宋"/>
          <w:sz w:val="30"/>
          <w:szCs w:val="30"/>
        </w:rPr>
      </w:pPr>
      <w:r>
        <w:rPr>
          <w:rFonts w:hint="eastAsia" w:ascii="仿宋" w:hAnsi="仿宋" w:eastAsia="仿宋" w:cs="仿宋"/>
          <w:sz w:val="30"/>
          <w:szCs w:val="30"/>
        </w:rPr>
        <w:t xml:space="preserve">（3）打开排气阀或试验排水阀时，为防止气压水罐内的压力较高造成危险应慢慢将阀门打开。 </w:t>
      </w:r>
    </w:p>
    <w:p w14:paraId="33ABF2EF">
      <w:pPr>
        <w:spacing w:line="560" w:lineRule="exact"/>
        <w:ind w:firstLine="600" w:firstLineChars="200"/>
        <w:rPr>
          <w:rFonts w:hint="eastAsia" w:ascii="仿宋" w:hAnsi="仿宋" w:eastAsia="仿宋" w:cs="仿宋"/>
          <w:sz w:val="30"/>
          <w:szCs w:val="30"/>
        </w:rPr>
      </w:pPr>
      <w:r>
        <w:rPr>
          <w:rFonts w:hint="eastAsia" w:ascii="仿宋" w:hAnsi="仿宋" w:eastAsia="仿宋" w:cs="仿宋"/>
          <w:sz w:val="30"/>
          <w:szCs w:val="30"/>
        </w:rPr>
        <w:t>（四）消防水泵</w:t>
      </w:r>
    </w:p>
    <w:p w14:paraId="5320539F">
      <w:pPr>
        <w:spacing w:line="560" w:lineRule="exact"/>
        <w:ind w:firstLine="600" w:firstLineChars="200"/>
        <w:rPr>
          <w:rFonts w:hint="eastAsia" w:ascii="仿宋" w:hAnsi="仿宋" w:eastAsia="仿宋" w:cs="仿宋"/>
          <w:sz w:val="30"/>
          <w:szCs w:val="30"/>
        </w:rPr>
      </w:pPr>
      <w:r>
        <w:rPr>
          <w:rFonts w:hint="eastAsia" w:ascii="仿宋" w:hAnsi="仿宋" w:eastAsia="仿宋" w:cs="仿宋"/>
          <w:sz w:val="30"/>
          <w:szCs w:val="30"/>
        </w:rPr>
        <w:t>1.每日查看水泵和阀门的标志；转动阀门手轮，检查阀门状态；观察阀杆及手轮位置；阀杆是否需要加注润滑油。</w:t>
      </w:r>
    </w:p>
    <w:p w14:paraId="4FFBF960">
      <w:pPr>
        <w:spacing w:line="560" w:lineRule="exact"/>
        <w:ind w:firstLine="600" w:firstLineChars="200"/>
        <w:rPr>
          <w:rFonts w:hint="eastAsia" w:ascii="仿宋" w:hAnsi="仿宋" w:eastAsia="仿宋" w:cs="仿宋"/>
          <w:sz w:val="30"/>
          <w:szCs w:val="30"/>
        </w:rPr>
      </w:pPr>
      <w:r>
        <w:rPr>
          <w:rFonts w:hint="eastAsia" w:ascii="仿宋" w:hAnsi="仿宋" w:eastAsia="仿宋" w:cs="仿宋"/>
          <w:sz w:val="30"/>
          <w:szCs w:val="30"/>
        </w:rPr>
        <w:t>2.每月在泵房控制柜处启动水泵，查看运行情况。消防水泵应每月启动运转1～3次；当消防水泵为自动控制启动时，应每月类比自动控制的条件启动运转1～3次。手动、自动控制启水泵1～3次，查信号有否返馈，水压是否上升，电机转动是否正常。有无变形、发热等状况。轴与电机、连接部件是否有松动、锈蚀、变形、发热，是否要加油。运行时间一般不少于5分钟。</w:t>
      </w:r>
    </w:p>
    <w:p w14:paraId="3AD4EBA2">
      <w:pPr>
        <w:spacing w:line="560" w:lineRule="exact"/>
        <w:ind w:firstLine="600" w:firstLineChars="200"/>
        <w:rPr>
          <w:rFonts w:hint="eastAsia" w:ascii="仿宋" w:hAnsi="仿宋" w:eastAsia="仿宋" w:cs="仿宋"/>
          <w:sz w:val="30"/>
          <w:szCs w:val="30"/>
        </w:rPr>
      </w:pPr>
      <w:r>
        <w:rPr>
          <w:rFonts w:hint="eastAsia" w:ascii="仿宋" w:hAnsi="仿宋" w:eastAsia="仿宋" w:cs="仿宋"/>
          <w:sz w:val="30"/>
          <w:szCs w:val="30"/>
        </w:rPr>
        <w:t>3.每月在消防主机控制室启动水泵，查看运行及反馈信号。</w:t>
      </w:r>
    </w:p>
    <w:p w14:paraId="0D907F12">
      <w:pPr>
        <w:spacing w:line="560" w:lineRule="exact"/>
        <w:ind w:firstLine="600" w:firstLineChars="200"/>
        <w:rPr>
          <w:rFonts w:hint="eastAsia" w:ascii="仿宋" w:hAnsi="仿宋" w:eastAsia="仿宋" w:cs="仿宋"/>
          <w:sz w:val="30"/>
          <w:szCs w:val="30"/>
        </w:rPr>
      </w:pPr>
      <w:r>
        <w:rPr>
          <w:rFonts w:hint="eastAsia" w:ascii="仿宋" w:hAnsi="仿宋" w:eastAsia="仿宋" w:cs="仿宋"/>
          <w:sz w:val="30"/>
          <w:szCs w:val="30"/>
        </w:rPr>
        <w:t>4.每月检查消防水泵动力运行是否可靠，水泵能否正常运转，流量和压力能否保证；电力上有无保证不间断供电设施，其性能是否良好。</w:t>
      </w:r>
    </w:p>
    <w:p w14:paraId="64C33214">
      <w:pPr>
        <w:spacing w:line="560" w:lineRule="exact"/>
        <w:ind w:firstLine="600" w:firstLineChars="200"/>
        <w:rPr>
          <w:rFonts w:hint="eastAsia" w:ascii="仿宋" w:hAnsi="仿宋" w:eastAsia="仿宋" w:cs="仿宋"/>
          <w:sz w:val="30"/>
          <w:szCs w:val="30"/>
        </w:rPr>
      </w:pPr>
      <w:r>
        <w:rPr>
          <w:rFonts w:hint="eastAsia" w:ascii="仿宋" w:hAnsi="仿宋" w:eastAsia="仿宋" w:cs="仿宋"/>
          <w:sz w:val="30"/>
          <w:szCs w:val="30"/>
        </w:rPr>
        <w:t>5.每月检查主、备泵能否自动切换</w:t>
      </w:r>
    </w:p>
    <w:p w14:paraId="2F52F4B7">
      <w:pPr>
        <w:spacing w:line="560" w:lineRule="exact"/>
        <w:ind w:firstLine="600" w:firstLineChars="200"/>
        <w:rPr>
          <w:rFonts w:hint="eastAsia" w:ascii="仿宋" w:hAnsi="仿宋" w:eastAsia="仿宋" w:cs="仿宋"/>
          <w:sz w:val="30"/>
          <w:szCs w:val="30"/>
        </w:rPr>
      </w:pPr>
      <w:r>
        <w:rPr>
          <w:rFonts w:hint="eastAsia" w:ascii="仿宋" w:hAnsi="仿宋" w:eastAsia="仿宋" w:cs="仿宋"/>
          <w:sz w:val="30"/>
          <w:szCs w:val="30"/>
        </w:rPr>
        <w:t>6.每月检查压力表是否变形、水泵启动后动作是否正常。</w:t>
      </w:r>
    </w:p>
    <w:p w14:paraId="7BC69264">
      <w:pPr>
        <w:spacing w:line="560" w:lineRule="exact"/>
        <w:ind w:firstLine="600" w:firstLineChars="200"/>
        <w:rPr>
          <w:rFonts w:hint="eastAsia" w:ascii="仿宋" w:hAnsi="仿宋" w:eastAsia="仿宋" w:cs="仿宋"/>
          <w:sz w:val="30"/>
          <w:szCs w:val="30"/>
        </w:rPr>
      </w:pPr>
      <w:r>
        <w:rPr>
          <w:rFonts w:hint="eastAsia" w:ascii="仿宋" w:hAnsi="仿宋" w:eastAsia="仿宋" w:cs="仿宋"/>
          <w:sz w:val="30"/>
          <w:szCs w:val="30"/>
        </w:rPr>
        <w:t>7.每月启动水泵后，打开试验阀，观察压力保持情况。</w:t>
      </w:r>
    </w:p>
    <w:p w14:paraId="42616E02">
      <w:pPr>
        <w:spacing w:line="560" w:lineRule="exact"/>
        <w:ind w:firstLine="600" w:firstLineChars="200"/>
        <w:rPr>
          <w:rFonts w:hint="eastAsia" w:ascii="仿宋" w:hAnsi="仿宋" w:eastAsia="仿宋" w:cs="仿宋"/>
          <w:sz w:val="30"/>
          <w:szCs w:val="30"/>
        </w:rPr>
      </w:pPr>
      <w:r>
        <w:rPr>
          <w:rFonts w:hint="eastAsia" w:ascii="仿宋" w:hAnsi="仿宋" w:eastAsia="仿宋" w:cs="仿宋"/>
          <w:sz w:val="30"/>
          <w:szCs w:val="30"/>
        </w:rPr>
        <w:t>8.对消防水泵大修一次，添加润滑油，清洗内部杂质。</w:t>
      </w:r>
    </w:p>
    <w:p w14:paraId="522DEBCE">
      <w:pPr>
        <w:spacing w:line="560" w:lineRule="exact"/>
        <w:ind w:firstLine="600" w:firstLineChars="200"/>
        <w:rPr>
          <w:rFonts w:hint="eastAsia" w:ascii="仿宋" w:hAnsi="仿宋" w:eastAsia="仿宋" w:cs="仿宋"/>
          <w:sz w:val="30"/>
          <w:szCs w:val="30"/>
        </w:rPr>
      </w:pPr>
      <w:r>
        <w:rPr>
          <w:rFonts w:hint="eastAsia" w:ascii="仿宋" w:hAnsi="仿宋" w:eastAsia="仿宋" w:cs="仿宋"/>
          <w:sz w:val="30"/>
          <w:szCs w:val="30"/>
        </w:rPr>
        <w:t>9.每年度对水泵电动机的维护保养：</w:t>
      </w:r>
    </w:p>
    <w:p w14:paraId="1F326753">
      <w:pPr>
        <w:spacing w:line="560" w:lineRule="exact"/>
        <w:ind w:firstLine="600" w:firstLineChars="200"/>
        <w:rPr>
          <w:rFonts w:hint="eastAsia" w:ascii="仿宋" w:hAnsi="仿宋" w:eastAsia="仿宋" w:cs="仿宋"/>
          <w:sz w:val="30"/>
          <w:szCs w:val="30"/>
        </w:rPr>
      </w:pPr>
      <w:r>
        <w:rPr>
          <w:rFonts w:hint="eastAsia" w:ascii="仿宋" w:hAnsi="仿宋" w:eastAsia="仿宋" w:cs="仿宋"/>
          <w:sz w:val="30"/>
          <w:szCs w:val="30"/>
        </w:rPr>
        <w:t>（1）电动机轴承润滑油是否加足，有无严重脏污、变质现象。转动转轴，检查旋转是否正常。</w:t>
      </w:r>
    </w:p>
    <w:p w14:paraId="79B9A3C0">
      <w:pPr>
        <w:spacing w:line="560" w:lineRule="exact"/>
        <w:ind w:firstLine="600" w:firstLineChars="200"/>
        <w:rPr>
          <w:rFonts w:hint="eastAsia" w:ascii="仿宋" w:hAnsi="仿宋" w:eastAsia="仿宋" w:cs="仿宋"/>
          <w:sz w:val="30"/>
          <w:szCs w:val="30"/>
        </w:rPr>
      </w:pPr>
      <w:r>
        <w:rPr>
          <w:rFonts w:hint="eastAsia" w:ascii="仿宋" w:hAnsi="仿宋" w:eastAsia="仿宋" w:cs="仿宋"/>
          <w:sz w:val="30"/>
          <w:szCs w:val="30"/>
        </w:rPr>
        <w:t>（2）电动机是否变形、损伤、锈蚀，机械性能是否良好（电动机在运行时应不发热、无异常振动及杂音）。</w:t>
      </w:r>
    </w:p>
    <w:p w14:paraId="17EC9DC0">
      <w:pPr>
        <w:spacing w:line="560" w:lineRule="exact"/>
        <w:ind w:firstLine="600" w:firstLineChars="200"/>
        <w:rPr>
          <w:rFonts w:hint="eastAsia" w:ascii="仿宋" w:hAnsi="仿宋" w:eastAsia="仿宋" w:cs="仿宋"/>
          <w:sz w:val="30"/>
          <w:szCs w:val="30"/>
        </w:rPr>
      </w:pPr>
      <w:r>
        <w:rPr>
          <w:rFonts w:hint="eastAsia" w:ascii="仿宋" w:hAnsi="仿宋" w:eastAsia="仿宋" w:cs="仿宋"/>
          <w:sz w:val="30"/>
          <w:szCs w:val="30"/>
        </w:rPr>
        <w:t>（3）水泵轴与电动机的连接部位是否松动、变形、损伤和严重锈蚀。</w:t>
      </w:r>
    </w:p>
    <w:p w14:paraId="706C7DCD">
      <w:pPr>
        <w:spacing w:line="560" w:lineRule="exact"/>
        <w:ind w:firstLine="600" w:firstLineChars="200"/>
        <w:rPr>
          <w:rFonts w:hint="eastAsia" w:ascii="仿宋" w:hAnsi="仿宋" w:eastAsia="仿宋" w:cs="仿宋"/>
          <w:sz w:val="30"/>
          <w:szCs w:val="30"/>
        </w:rPr>
      </w:pPr>
      <w:r>
        <w:rPr>
          <w:rFonts w:hint="eastAsia" w:ascii="仿宋" w:hAnsi="仿宋" w:eastAsia="仿宋" w:cs="仿宋"/>
          <w:sz w:val="30"/>
          <w:szCs w:val="30"/>
        </w:rPr>
        <w:t>（4）填料是否明显漏水，有无变形损伤，螺栓螺母是否松动。</w:t>
      </w:r>
    </w:p>
    <w:p w14:paraId="0721EA40">
      <w:pPr>
        <w:spacing w:line="560" w:lineRule="exact"/>
        <w:ind w:firstLine="600" w:firstLineChars="200"/>
        <w:rPr>
          <w:rFonts w:hint="eastAsia" w:ascii="仿宋" w:hAnsi="仿宋" w:eastAsia="仿宋" w:cs="仿宋"/>
          <w:sz w:val="30"/>
          <w:szCs w:val="30"/>
        </w:rPr>
      </w:pPr>
      <w:r>
        <w:rPr>
          <w:rFonts w:hint="eastAsia" w:ascii="仿宋" w:hAnsi="仿宋" w:eastAsia="仿宋" w:cs="仿宋"/>
          <w:sz w:val="30"/>
          <w:szCs w:val="30"/>
        </w:rPr>
        <w:t>（五）电控柜的维护保养</w:t>
      </w:r>
    </w:p>
    <w:p w14:paraId="32DF4CF0">
      <w:pPr>
        <w:spacing w:line="560" w:lineRule="exact"/>
        <w:ind w:firstLine="600" w:firstLineChars="200"/>
        <w:rPr>
          <w:rFonts w:hint="eastAsia" w:ascii="仿宋" w:hAnsi="仿宋" w:eastAsia="仿宋" w:cs="仿宋"/>
          <w:sz w:val="30"/>
          <w:szCs w:val="30"/>
        </w:rPr>
      </w:pPr>
      <w:r>
        <w:rPr>
          <w:rFonts w:hint="eastAsia" w:ascii="仿宋" w:hAnsi="仿宋" w:eastAsia="仿宋" w:cs="仿宋"/>
          <w:sz w:val="30"/>
          <w:szCs w:val="30"/>
        </w:rPr>
        <w:t>1.每月检查控制柜有无变形、损伤、腐蚀。</w:t>
      </w:r>
    </w:p>
    <w:p w14:paraId="157716B9">
      <w:pPr>
        <w:spacing w:line="560" w:lineRule="exact"/>
        <w:ind w:firstLine="600" w:firstLineChars="200"/>
        <w:rPr>
          <w:rFonts w:hint="eastAsia" w:ascii="仿宋" w:hAnsi="仿宋" w:eastAsia="仿宋" w:cs="仿宋"/>
          <w:sz w:val="30"/>
          <w:szCs w:val="30"/>
        </w:rPr>
      </w:pPr>
      <w:r>
        <w:rPr>
          <w:rFonts w:hint="eastAsia" w:ascii="仿宋" w:hAnsi="仿宋" w:eastAsia="仿宋" w:cs="仿宋"/>
          <w:sz w:val="30"/>
          <w:szCs w:val="30"/>
        </w:rPr>
        <w:t>2.每月检查线路图及操作说明是否齐全。</w:t>
      </w:r>
    </w:p>
    <w:p w14:paraId="6F4FD2F8">
      <w:pPr>
        <w:spacing w:line="560" w:lineRule="exact"/>
        <w:ind w:firstLine="600" w:firstLineChars="200"/>
        <w:rPr>
          <w:rFonts w:hint="eastAsia" w:ascii="仿宋" w:hAnsi="仿宋" w:eastAsia="仿宋" w:cs="仿宋"/>
          <w:sz w:val="30"/>
          <w:szCs w:val="30"/>
        </w:rPr>
      </w:pPr>
      <w:r>
        <w:rPr>
          <w:rFonts w:hint="eastAsia" w:ascii="仿宋" w:hAnsi="仿宋" w:eastAsia="仿宋" w:cs="仿宋"/>
          <w:sz w:val="30"/>
          <w:szCs w:val="30"/>
        </w:rPr>
        <w:t>3.每月检查电压、电流表的指标是否在规定的范围内。开关是否有变形、损伤、标志脱落、处于正常状态。控制盘的指示灯是否正常。</w:t>
      </w:r>
    </w:p>
    <w:p w14:paraId="73E3836A">
      <w:pPr>
        <w:spacing w:line="560" w:lineRule="exact"/>
        <w:ind w:firstLine="600" w:firstLineChars="200"/>
        <w:rPr>
          <w:rFonts w:hint="eastAsia" w:ascii="仿宋" w:hAnsi="仿宋" w:eastAsia="仿宋" w:cs="仿宋"/>
          <w:sz w:val="30"/>
          <w:szCs w:val="30"/>
        </w:rPr>
      </w:pPr>
      <w:r>
        <w:rPr>
          <w:rFonts w:hint="eastAsia" w:ascii="仿宋" w:hAnsi="仿宋" w:eastAsia="仿宋" w:cs="仿宋"/>
          <w:sz w:val="30"/>
          <w:szCs w:val="30"/>
        </w:rPr>
        <w:t>4.每月检查电控柜内继电器是否脱落、松动，接点是否烧损，转换开关应处于自动状态。各导线连接处是否松脱，绝缘是否损伤。</w:t>
      </w:r>
    </w:p>
    <w:p w14:paraId="61CB12A3">
      <w:pPr>
        <w:spacing w:line="560" w:lineRule="exact"/>
        <w:ind w:firstLine="600" w:firstLineChars="200"/>
        <w:rPr>
          <w:rFonts w:hint="eastAsia" w:ascii="仿宋" w:hAnsi="仿宋" w:eastAsia="仿宋" w:cs="仿宋"/>
          <w:sz w:val="30"/>
          <w:szCs w:val="30"/>
        </w:rPr>
      </w:pPr>
      <w:r>
        <w:rPr>
          <w:rFonts w:hint="eastAsia" w:ascii="仿宋" w:hAnsi="仿宋" w:eastAsia="仿宋" w:cs="仿宋"/>
          <w:sz w:val="30"/>
          <w:szCs w:val="30"/>
        </w:rPr>
        <w:t>5.类比主泵故障，查看自动切换启动备用泵情况，同时查看仪表及指示灯显示。</w:t>
      </w:r>
    </w:p>
    <w:p w14:paraId="6BD95573">
      <w:pPr>
        <w:spacing w:line="560" w:lineRule="exact"/>
        <w:ind w:firstLine="600" w:firstLineChars="200"/>
        <w:rPr>
          <w:rFonts w:hint="eastAsia" w:ascii="仿宋" w:hAnsi="仿宋" w:eastAsia="仿宋" w:cs="仿宋"/>
          <w:sz w:val="30"/>
          <w:szCs w:val="30"/>
        </w:rPr>
      </w:pPr>
      <w:r>
        <w:rPr>
          <w:rFonts w:hint="eastAsia" w:ascii="仿宋" w:hAnsi="仿宋" w:eastAsia="仿宋" w:cs="仿宋"/>
          <w:sz w:val="30"/>
          <w:szCs w:val="30"/>
        </w:rPr>
        <w:t>（六）水泵接合器</w:t>
      </w:r>
    </w:p>
    <w:p w14:paraId="06F2C477">
      <w:pPr>
        <w:spacing w:line="560" w:lineRule="exact"/>
        <w:ind w:firstLine="600" w:firstLineChars="200"/>
        <w:rPr>
          <w:rFonts w:hint="eastAsia" w:ascii="仿宋" w:hAnsi="仿宋" w:eastAsia="仿宋" w:cs="仿宋"/>
          <w:sz w:val="30"/>
          <w:szCs w:val="30"/>
        </w:rPr>
      </w:pPr>
      <w:r>
        <w:rPr>
          <w:rFonts w:hint="eastAsia" w:ascii="仿宋" w:hAnsi="仿宋" w:eastAsia="仿宋" w:cs="仿宋"/>
          <w:sz w:val="30"/>
          <w:szCs w:val="30"/>
        </w:rPr>
        <w:t xml:space="preserve">每月查看标志牌、止回阀。 </w:t>
      </w:r>
    </w:p>
    <w:p w14:paraId="2B0B00A8">
      <w:pPr>
        <w:spacing w:line="560" w:lineRule="exact"/>
        <w:ind w:firstLine="600" w:firstLineChars="200"/>
        <w:rPr>
          <w:rFonts w:hint="eastAsia" w:ascii="仿宋" w:hAnsi="仿宋" w:eastAsia="仿宋" w:cs="仿宋"/>
          <w:sz w:val="30"/>
          <w:szCs w:val="30"/>
        </w:rPr>
      </w:pPr>
      <w:r>
        <w:rPr>
          <w:rFonts w:hint="eastAsia" w:ascii="仿宋" w:hAnsi="仿宋" w:eastAsia="仿宋" w:cs="仿宋"/>
          <w:sz w:val="30"/>
          <w:szCs w:val="30"/>
        </w:rPr>
        <w:t>（七）室内消火栓</w:t>
      </w:r>
    </w:p>
    <w:p w14:paraId="25F0462F">
      <w:pPr>
        <w:spacing w:line="560" w:lineRule="exact"/>
        <w:ind w:firstLine="600" w:firstLineChars="200"/>
        <w:rPr>
          <w:rFonts w:hint="eastAsia" w:ascii="仿宋" w:hAnsi="仿宋" w:eastAsia="仿宋" w:cs="仿宋"/>
          <w:sz w:val="30"/>
          <w:szCs w:val="30"/>
        </w:rPr>
      </w:pPr>
      <w:r>
        <w:rPr>
          <w:rFonts w:hint="eastAsia" w:ascii="仿宋" w:hAnsi="仿宋" w:eastAsia="仿宋" w:cs="仿宋"/>
          <w:sz w:val="30"/>
          <w:szCs w:val="30"/>
        </w:rPr>
        <w:t>每月对消火栓进行如下检查﹕</w:t>
      </w:r>
    </w:p>
    <w:p w14:paraId="665C79B1">
      <w:pPr>
        <w:spacing w:line="560" w:lineRule="exact"/>
        <w:ind w:firstLine="600" w:firstLineChars="200"/>
        <w:rPr>
          <w:rFonts w:hint="eastAsia" w:ascii="仿宋" w:hAnsi="仿宋" w:eastAsia="仿宋" w:cs="仿宋"/>
          <w:sz w:val="30"/>
          <w:szCs w:val="30"/>
        </w:rPr>
      </w:pPr>
      <w:r>
        <w:rPr>
          <w:rFonts w:hint="eastAsia" w:ascii="仿宋" w:hAnsi="仿宋" w:eastAsia="仿宋" w:cs="仿宋"/>
          <w:sz w:val="30"/>
          <w:szCs w:val="30"/>
        </w:rPr>
        <w:t>1.确保消火栓周围没有障碍物阻挡,消火栓门锁完好，取用方便。</w:t>
      </w:r>
    </w:p>
    <w:p w14:paraId="462FEFDE">
      <w:pPr>
        <w:spacing w:line="560" w:lineRule="exact"/>
        <w:ind w:firstLine="600" w:firstLineChars="200"/>
        <w:rPr>
          <w:rFonts w:hint="eastAsia" w:ascii="仿宋" w:hAnsi="仿宋" w:eastAsia="仿宋" w:cs="仿宋"/>
          <w:sz w:val="30"/>
          <w:szCs w:val="30"/>
        </w:rPr>
      </w:pPr>
      <w:r>
        <w:rPr>
          <w:rFonts w:hint="eastAsia" w:ascii="仿宋" w:hAnsi="仿宋" w:eastAsia="仿宋" w:cs="仿宋"/>
          <w:sz w:val="30"/>
          <w:szCs w:val="30"/>
        </w:rPr>
        <w:t>2.确保消火栓外观整洁、标示清晰、无机械损伤及严重腐蚀。</w:t>
      </w:r>
    </w:p>
    <w:p w14:paraId="0D919EF5">
      <w:pPr>
        <w:spacing w:line="560" w:lineRule="exact"/>
        <w:ind w:firstLine="600" w:firstLineChars="200"/>
        <w:rPr>
          <w:rFonts w:hint="eastAsia" w:ascii="仿宋" w:hAnsi="仿宋" w:eastAsia="仿宋" w:cs="仿宋"/>
          <w:sz w:val="30"/>
          <w:szCs w:val="30"/>
        </w:rPr>
      </w:pPr>
      <w:r>
        <w:rPr>
          <w:rFonts w:hint="eastAsia" w:ascii="仿宋" w:hAnsi="仿宋" w:eastAsia="仿宋" w:cs="仿宋"/>
          <w:sz w:val="30"/>
          <w:szCs w:val="30"/>
        </w:rPr>
        <w:t>3.检查消火栓有无生锈漏水现象;栓口的橡胶垫圈等密封件有无损坏或丢失;消火栓的闸阀开启是否灵活，必要时应对阀杆加润滑油。</w:t>
      </w:r>
    </w:p>
    <w:p w14:paraId="26013CD6">
      <w:pPr>
        <w:spacing w:line="560" w:lineRule="exact"/>
        <w:ind w:firstLine="600" w:firstLineChars="200"/>
        <w:rPr>
          <w:rFonts w:hint="eastAsia" w:ascii="仿宋" w:hAnsi="仿宋" w:eastAsia="仿宋" w:cs="仿宋"/>
          <w:sz w:val="30"/>
          <w:szCs w:val="30"/>
        </w:rPr>
      </w:pPr>
      <w:r>
        <w:rPr>
          <w:rFonts w:hint="eastAsia" w:ascii="仿宋" w:hAnsi="仿宋" w:eastAsia="仿宋" w:cs="仿宋"/>
          <w:sz w:val="30"/>
          <w:szCs w:val="30"/>
        </w:rPr>
        <w:t>4.对室内消火栓还应检查消火栓箱内的水枪、水带等设备是否完备配套，水带有无霉腐，破玻按钮工作状态正常。</w:t>
      </w:r>
    </w:p>
    <w:p w14:paraId="495CCBB0">
      <w:pPr>
        <w:spacing w:line="560" w:lineRule="exact"/>
        <w:ind w:firstLine="600" w:firstLineChars="200"/>
        <w:rPr>
          <w:rFonts w:hint="eastAsia" w:ascii="仿宋" w:hAnsi="仿宋" w:eastAsia="仿宋" w:cs="仿宋"/>
          <w:sz w:val="30"/>
          <w:szCs w:val="30"/>
        </w:rPr>
      </w:pPr>
      <w:r>
        <w:rPr>
          <w:rFonts w:hint="eastAsia" w:ascii="仿宋" w:hAnsi="仿宋" w:eastAsia="仿宋" w:cs="仿宋"/>
          <w:sz w:val="30"/>
          <w:szCs w:val="30"/>
        </w:rPr>
        <w:t>5.随时抽查消火栓的出水情况。对重点部位的消火栓每年应逐个进行出水检查；对非重点部位的消火栓可按消火栓总数的10％～20％进行出水抽测实验。连接水带、水枪，触发启泵按钮，查看消防泵启动和信号显示。</w:t>
      </w:r>
    </w:p>
    <w:p w14:paraId="40DCC8F2">
      <w:pPr>
        <w:spacing w:line="560" w:lineRule="exact"/>
        <w:ind w:firstLine="600" w:firstLineChars="200"/>
        <w:rPr>
          <w:rFonts w:hint="eastAsia" w:ascii="仿宋" w:hAnsi="仿宋" w:eastAsia="仿宋" w:cs="仿宋"/>
          <w:sz w:val="30"/>
          <w:szCs w:val="30"/>
        </w:rPr>
      </w:pPr>
      <w:r>
        <w:rPr>
          <w:rFonts w:hint="eastAsia" w:ascii="仿宋" w:hAnsi="仿宋" w:eastAsia="仿宋" w:cs="仿宋"/>
          <w:sz w:val="30"/>
          <w:szCs w:val="30"/>
        </w:rPr>
        <w:t>6.室内消火栓系统还应随时观察消防水池、水箱的水位情况，发现不足应及时补充。</w:t>
      </w:r>
    </w:p>
    <w:p w14:paraId="79D35198">
      <w:pPr>
        <w:spacing w:line="560" w:lineRule="exact"/>
        <w:ind w:firstLine="600" w:firstLineChars="200"/>
        <w:rPr>
          <w:rFonts w:hint="eastAsia" w:ascii="仿宋" w:hAnsi="仿宋" w:eastAsia="仿宋" w:cs="仿宋"/>
          <w:sz w:val="30"/>
          <w:szCs w:val="30"/>
        </w:rPr>
      </w:pPr>
      <w:r>
        <w:rPr>
          <w:rFonts w:hint="eastAsia" w:ascii="仿宋" w:hAnsi="仿宋" w:eastAsia="仿宋" w:cs="仿宋"/>
          <w:sz w:val="30"/>
          <w:szCs w:val="30"/>
        </w:rPr>
        <w:t>（八）室外消火栓</w:t>
      </w:r>
    </w:p>
    <w:p w14:paraId="1B1FC5D2">
      <w:pPr>
        <w:spacing w:line="560" w:lineRule="exact"/>
        <w:ind w:firstLine="600" w:firstLineChars="200"/>
        <w:rPr>
          <w:rFonts w:hint="eastAsia" w:ascii="仿宋" w:hAnsi="仿宋" w:eastAsia="仿宋" w:cs="仿宋"/>
          <w:sz w:val="30"/>
          <w:szCs w:val="30"/>
        </w:rPr>
      </w:pPr>
      <w:r>
        <w:rPr>
          <w:rFonts w:hint="eastAsia" w:ascii="仿宋" w:hAnsi="仿宋" w:eastAsia="仿宋" w:cs="仿宋"/>
          <w:sz w:val="30"/>
          <w:szCs w:val="30"/>
        </w:rPr>
        <w:t>室外消火栓应每季度进行一次检查保养，其内容主要包括：</w:t>
      </w:r>
    </w:p>
    <w:p w14:paraId="3BDE875B">
      <w:pPr>
        <w:spacing w:line="560" w:lineRule="exact"/>
        <w:ind w:firstLine="600" w:firstLineChars="200"/>
        <w:rPr>
          <w:rFonts w:hint="eastAsia" w:ascii="仿宋" w:hAnsi="仿宋" w:eastAsia="仿宋" w:cs="仿宋"/>
          <w:sz w:val="30"/>
          <w:szCs w:val="30"/>
        </w:rPr>
      </w:pPr>
      <w:r>
        <w:rPr>
          <w:rFonts w:hint="eastAsia" w:ascii="仿宋" w:hAnsi="仿宋" w:eastAsia="仿宋" w:cs="仿宋"/>
          <w:sz w:val="30"/>
          <w:szCs w:val="30"/>
        </w:rPr>
        <w:t>1.用专用扳手转动消火栓启闭杆观察其灵活性。必要时加注润滑油。</w:t>
      </w:r>
    </w:p>
    <w:p w14:paraId="2611E0AC">
      <w:pPr>
        <w:spacing w:line="560" w:lineRule="exact"/>
        <w:ind w:firstLine="600" w:firstLineChars="200"/>
        <w:rPr>
          <w:rFonts w:hint="eastAsia" w:ascii="仿宋" w:hAnsi="仿宋" w:eastAsia="仿宋" w:cs="仿宋"/>
          <w:sz w:val="30"/>
          <w:szCs w:val="30"/>
        </w:rPr>
      </w:pPr>
      <w:r>
        <w:rPr>
          <w:rFonts w:hint="eastAsia" w:ascii="仿宋" w:hAnsi="仿宋" w:eastAsia="仿宋" w:cs="仿宋"/>
          <w:sz w:val="30"/>
          <w:szCs w:val="30"/>
        </w:rPr>
        <w:t>2.检查出水口闷盖是否密封，有无缺损。</w:t>
      </w:r>
    </w:p>
    <w:p w14:paraId="67EB4CB5">
      <w:pPr>
        <w:spacing w:line="560" w:lineRule="exact"/>
        <w:ind w:firstLine="600" w:firstLineChars="200"/>
        <w:rPr>
          <w:rFonts w:hint="eastAsia" w:ascii="仿宋" w:hAnsi="仿宋" w:eastAsia="仿宋" w:cs="仿宋"/>
          <w:sz w:val="30"/>
          <w:szCs w:val="30"/>
        </w:rPr>
      </w:pPr>
      <w:r>
        <w:rPr>
          <w:rFonts w:hint="eastAsia" w:ascii="仿宋" w:hAnsi="仿宋" w:eastAsia="仿宋" w:cs="仿宋"/>
          <w:sz w:val="30"/>
          <w:szCs w:val="30"/>
        </w:rPr>
        <w:t>3.检查栓体外表油漆有无剥落，有无锈蚀，如有应及时修补。</w:t>
      </w:r>
    </w:p>
    <w:p w14:paraId="60F544A1">
      <w:pPr>
        <w:spacing w:line="560" w:lineRule="exact"/>
        <w:ind w:firstLine="600" w:firstLineChars="200"/>
        <w:rPr>
          <w:rFonts w:hint="eastAsia" w:ascii="仿宋" w:hAnsi="仿宋" w:eastAsia="仿宋" w:cs="仿宋"/>
          <w:sz w:val="30"/>
          <w:szCs w:val="30"/>
        </w:rPr>
      </w:pPr>
      <w:r>
        <w:rPr>
          <w:rFonts w:hint="eastAsia" w:ascii="仿宋" w:hAnsi="仿宋" w:eastAsia="仿宋" w:cs="仿宋"/>
          <w:sz w:val="30"/>
          <w:szCs w:val="30"/>
        </w:rPr>
        <w:t>4.每年开春后入冬前对地上消火栓逐一进行出水试验。</w:t>
      </w:r>
    </w:p>
    <w:p w14:paraId="512D39A8">
      <w:pPr>
        <w:spacing w:line="560" w:lineRule="exact"/>
        <w:ind w:firstLine="600" w:firstLineChars="200"/>
        <w:rPr>
          <w:rFonts w:hint="eastAsia" w:ascii="仿宋" w:hAnsi="仿宋" w:eastAsia="仿宋" w:cs="仿宋"/>
          <w:sz w:val="30"/>
          <w:szCs w:val="30"/>
        </w:rPr>
      </w:pPr>
      <w:r>
        <w:rPr>
          <w:rFonts w:hint="eastAsia" w:ascii="仿宋" w:hAnsi="仿宋" w:eastAsia="仿宋" w:cs="仿宋"/>
          <w:sz w:val="30"/>
          <w:szCs w:val="30"/>
        </w:rPr>
        <w:t>5.定期检查消火栓前端阀门井。</w:t>
      </w:r>
    </w:p>
    <w:p w14:paraId="6F9BC51E">
      <w:pPr>
        <w:spacing w:line="560" w:lineRule="exact"/>
        <w:ind w:firstLine="600" w:firstLineChars="200"/>
        <w:rPr>
          <w:rFonts w:hint="eastAsia" w:ascii="仿宋" w:hAnsi="仿宋" w:eastAsia="仿宋" w:cs="仿宋"/>
          <w:sz w:val="30"/>
          <w:szCs w:val="30"/>
        </w:rPr>
      </w:pPr>
      <w:r>
        <w:rPr>
          <w:rFonts w:hint="eastAsia" w:ascii="仿宋" w:hAnsi="仿宋" w:eastAsia="仿宋" w:cs="仿宋"/>
          <w:sz w:val="30"/>
          <w:szCs w:val="30"/>
        </w:rPr>
        <w:t>6.保证配套器材的完备有效。</w:t>
      </w:r>
    </w:p>
    <w:p w14:paraId="20298DA0">
      <w:pPr>
        <w:spacing w:line="560" w:lineRule="exact"/>
        <w:ind w:firstLine="600" w:firstLineChars="200"/>
        <w:rPr>
          <w:rFonts w:hint="eastAsia" w:ascii="仿宋" w:hAnsi="仿宋" w:eastAsia="仿宋" w:cs="仿宋"/>
          <w:sz w:val="30"/>
          <w:szCs w:val="30"/>
        </w:rPr>
      </w:pPr>
      <w:r>
        <w:rPr>
          <w:rFonts w:hint="eastAsia" w:ascii="仿宋" w:hAnsi="仿宋" w:eastAsia="仿宋" w:cs="仿宋"/>
          <w:sz w:val="30"/>
          <w:szCs w:val="30"/>
        </w:rPr>
        <w:t>（九）自动喷水灭火系统</w:t>
      </w:r>
    </w:p>
    <w:p w14:paraId="4BDFD7B6">
      <w:pPr>
        <w:spacing w:line="560" w:lineRule="exact"/>
        <w:ind w:firstLine="600" w:firstLineChars="200"/>
        <w:rPr>
          <w:rFonts w:hint="eastAsia" w:ascii="仿宋" w:hAnsi="仿宋" w:eastAsia="仿宋" w:cs="仿宋"/>
          <w:sz w:val="30"/>
          <w:szCs w:val="30"/>
        </w:rPr>
      </w:pPr>
      <w:r>
        <w:rPr>
          <w:rFonts w:hint="eastAsia" w:ascii="仿宋" w:hAnsi="仿宋" w:eastAsia="仿宋" w:cs="仿宋"/>
          <w:sz w:val="30"/>
          <w:szCs w:val="30"/>
        </w:rPr>
        <w:t>1.报警阀组</w:t>
      </w:r>
    </w:p>
    <w:p w14:paraId="2EAD9346">
      <w:pPr>
        <w:spacing w:line="560" w:lineRule="exact"/>
        <w:ind w:firstLine="600" w:firstLineChars="200"/>
        <w:rPr>
          <w:rFonts w:hint="eastAsia" w:ascii="仿宋" w:hAnsi="仿宋" w:eastAsia="仿宋" w:cs="仿宋"/>
          <w:sz w:val="30"/>
          <w:szCs w:val="30"/>
        </w:rPr>
      </w:pPr>
      <w:r>
        <w:rPr>
          <w:rFonts w:hint="eastAsia" w:ascii="仿宋" w:hAnsi="仿宋" w:eastAsia="仿宋" w:cs="仿宋"/>
          <w:sz w:val="30"/>
          <w:szCs w:val="30"/>
        </w:rPr>
        <w:t>（1）每月检查报警阀组外观、标志牌、压力表是否完整。</w:t>
      </w:r>
    </w:p>
    <w:p w14:paraId="28FA24CC">
      <w:pPr>
        <w:spacing w:line="560" w:lineRule="exact"/>
        <w:ind w:firstLine="600" w:firstLineChars="200"/>
        <w:rPr>
          <w:rFonts w:hint="eastAsia" w:ascii="仿宋" w:hAnsi="仿宋" w:eastAsia="仿宋" w:cs="仿宋"/>
          <w:sz w:val="30"/>
          <w:szCs w:val="30"/>
        </w:rPr>
      </w:pPr>
      <w:r>
        <w:rPr>
          <w:rFonts w:hint="eastAsia" w:ascii="仿宋" w:hAnsi="仿宋" w:eastAsia="仿宋" w:cs="仿宋"/>
          <w:sz w:val="30"/>
          <w:szCs w:val="30"/>
        </w:rPr>
        <w:t>（2）每月对报警阀的压力表进行检查,检查报警前、后压力表指示是否正常。阀的前后压力应基本相当，或阀后压力稍高于阀前。</w:t>
      </w:r>
    </w:p>
    <w:p w14:paraId="016249AE">
      <w:pPr>
        <w:spacing w:line="560" w:lineRule="exact"/>
        <w:ind w:firstLine="600" w:firstLineChars="200"/>
        <w:rPr>
          <w:rFonts w:hint="eastAsia" w:ascii="仿宋" w:hAnsi="仿宋" w:eastAsia="仿宋" w:cs="仿宋"/>
          <w:sz w:val="30"/>
          <w:szCs w:val="30"/>
        </w:rPr>
      </w:pPr>
      <w:r>
        <w:rPr>
          <w:rFonts w:hint="eastAsia" w:ascii="仿宋" w:hAnsi="仿宋" w:eastAsia="仿宋" w:cs="仿宋"/>
          <w:sz w:val="30"/>
          <w:szCs w:val="30"/>
        </w:rPr>
        <w:t>（3）每季度对报警阀应进行开阀试验，观察阀门开启性能和密封性能，以及报警阀各部件的工作状态是否正常.</w:t>
      </w:r>
    </w:p>
    <w:p w14:paraId="70ED2290">
      <w:pPr>
        <w:spacing w:line="560" w:lineRule="exact"/>
        <w:ind w:firstLine="600" w:firstLineChars="200"/>
        <w:rPr>
          <w:rFonts w:hint="eastAsia" w:ascii="仿宋" w:hAnsi="仿宋" w:eastAsia="仿宋" w:cs="仿宋"/>
          <w:sz w:val="30"/>
          <w:szCs w:val="30"/>
        </w:rPr>
      </w:pPr>
      <w:r>
        <w:rPr>
          <w:rFonts w:hint="eastAsia" w:ascii="仿宋" w:hAnsi="仿宋" w:eastAsia="仿宋" w:cs="仿宋"/>
          <w:sz w:val="30"/>
          <w:szCs w:val="30"/>
        </w:rPr>
        <w:t>（4）每季度应对报警阀旁的放水试验阀进行一次放水试验，验证系统的供水能力，压力开关的报警功能是否正常。</w:t>
      </w:r>
    </w:p>
    <w:p w14:paraId="56B22D87">
      <w:pPr>
        <w:spacing w:line="560" w:lineRule="exact"/>
        <w:ind w:firstLine="600" w:firstLineChars="200"/>
        <w:rPr>
          <w:rFonts w:hint="eastAsia" w:ascii="仿宋" w:hAnsi="仿宋" w:eastAsia="仿宋" w:cs="仿宋"/>
          <w:sz w:val="30"/>
          <w:szCs w:val="30"/>
        </w:rPr>
      </w:pPr>
      <w:r>
        <w:rPr>
          <w:rFonts w:hint="eastAsia" w:ascii="仿宋" w:hAnsi="仿宋" w:eastAsia="仿宋" w:cs="仿宋"/>
          <w:sz w:val="30"/>
          <w:szCs w:val="30"/>
        </w:rPr>
        <w:t>2.自动喷淋头及管道</w:t>
      </w:r>
    </w:p>
    <w:p w14:paraId="6692A2C0">
      <w:pPr>
        <w:spacing w:line="560" w:lineRule="exact"/>
        <w:ind w:firstLine="600" w:firstLineChars="200"/>
        <w:rPr>
          <w:rFonts w:hint="eastAsia" w:ascii="仿宋" w:hAnsi="仿宋" w:eastAsia="仿宋" w:cs="仿宋"/>
          <w:sz w:val="30"/>
          <w:szCs w:val="30"/>
        </w:rPr>
      </w:pPr>
      <w:r>
        <w:rPr>
          <w:rFonts w:hint="eastAsia" w:ascii="仿宋" w:hAnsi="仿宋" w:eastAsia="仿宋" w:cs="仿宋"/>
          <w:sz w:val="30"/>
          <w:szCs w:val="30"/>
        </w:rPr>
        <w:t>（1）每月应对喷头进行一次外观检查，检查喷头无有损坏、锈蚀、漏水现象，发现有不正常的喷头应及时更换；应保证喷头外表清洁，当喷头上有异物时应及时清除,特别是感温元件应无污垢，必要时进行清洗或更换。更换或安装喷头均应使用专用扳手。</w:t>
      </w:r>
    </w:p>
    <w:p w14:paraId="357C8DEB">
      <w:pPr>
        <w:spacing w:line="560" w:lineRule="exact"/>
        <w:ind w:firstLine="600" w:firstLineChars="200"/>
        <w:rPr>
          <w:rFonts w:hint="eastAsia" w:ascii="仿宋" w:hAnsi="仿宋" w:eastAsia="仿宋" w:cs="仿宋"/>
          <w:sz w:val="30"/>
          <w:szCs w:val="30"/>
        </w:rPr>
      </w:pPr>
      <w:r>
        <w:rPr>
          <w:rFonts w:hint="eastAsia" w:ascii="仿宋" w:hAnsi="仿宋" w:eastAsia="仿宋" w:cs="仿宋"/>
          <w:sz w:val="30"/>
          <w:szCs w:val="30"/>
        </w:rPr>
        <w:t>（2）各种不同规格的喷头均应有一定数量的备用品，其数量不应小于安装总数的1％，且每种备用喷头不应少于10个。</w:t>
      </w:r>
    </w:p>
    <w:p w14:paraId="28F440A9">
      <w:pPr>
        <w:spacing w:line="560" w:lineRule="exact"/>
        <w:ind w:firstLine="600" w:firstLineChars="200"/>
        <w:rPr>
          <w:rFonts w:hint="eastAsia" w:ascii="仿宋" w:hAnsi="仿宋" w:eastAsia="仿宋" w:cs="仿宋"/>
          <w:sz w:val="30"/>
          <w:szCs w:val="30"/>
        </w:rPr>
      </w:pPr>
      <w:r>
        <w:rPr>
          <w:rFonts w:hint="eastAsia" w:ascii="仿宋" w:hAnsi="仿宋" w:eastAsia="仿宋" w:cs="仿宋"/>
          <w:sz w:val="30"/>
          <w:szCs w:val="30"/>
        </w:rPr>
        <w:t>（3）检查管道有无机械损伤和锈蚀，油漆是否脱落，管道固定是否牢固，管道内有无堵塞。</w:t>
      </w:r>
    </w:p>
    <w:p w14:paraId="6AEEBCCB">
      <w:pPr>
        <w:spacing w:line="560" w:lineRule="exact"/>
        <w:ind w:firstLine="600" w:firstLineChars="200"/>
        <w:rPr>
          <w:rFonts w:hint="eastAsia" w:ascii="仿宋" w:hAnsi="仿宋" w:eastAsia="仿宋" w:cs="仿宋"/>
          <w:sz w:val="30"/>
          <w:szCs w:val="30"/>
        </w:rPr>
      </w:pPr>
      <w:r>
        <w:rPr>
          <w:rFonts w:hint="eastAsia" w:ascii="仿宋" w:hAnsi="仿宋" w:eastAsia="仿宋" w:cs="仿宋"/>
          <w:sz w:val="30"/>
          <w:szCs w:val="30"/>
        </w:rPr>
        <w:t>（4）每季度应利用末端试水装置放水，进行水流指示器工作测试，同时排除管网内的铁锈及杂质。</w:t>
      </w:r>
    </w:p>
    <w:p w14:paraId="7D5F310A">
      <w:pPr>
        <w:spacing w:line="560" w:lineRule="exact"/>
        <w:ind w:firstLine="600" w:firstLineChars="200"/>
        <w:rPr>
          <w:rFonts w:hint="eastAsia" w:ascii="仿宋" w:hAnsi="仿宋" w:eastAsia="仿宋" w:cs="仿宋"/>
          <w:sz w:val="30"/>
          <w:szCs w:val="30"/>
        </w:rPr>
      </w:pPr>
      <w:r>
        <w:rPr>
          <w:rFonts w:hint="eastAsia" w:ascii="仿宋" w:hAnsi="仿宋" w:eastAsia="仿宋" w:cs="仿宋"/>
          <w:sz w:val="30"/>
          <w:szCs w:val="30"/>
        </w:rPr>
        <w:t>（十）应急照明和疏散指示标志</w:t>
      </w:r>
    </w:p>
    <w:p w14:paraId="57F6ABC1">
      <w:pPr>
        <w:spacing w:line="560" w:lineRule="exact"/>
        <w:ind w:firstLine="600" w:firstLineChars="200"/>
        <w:rPr>
          <w:rFonts w:hint="eastAsia" w:ascii="仿宋" w:hAnsi="仿宋" w:eastAsia="仿宋" w:cs="仿宋"/>
          <w:sz w:val="30"/>
          <w:szCs w:val="30"/>
        </w:rPr>
      </w:pPr>
      <w:r>
        <w:rPr>
          <w:rFonts w:hint="eastAsia" w:ascii="仿宋" w:hAnsi="仿宋" w:eastAsia="仿宋" w:cs="仿宋"/>
          <w:sz w:val="30"/>
          <w:szCs w:val="30"/>
        </w:rPr>
        <w:t>1.每月应查看应急照明外观是否有损坏、电源插头是否插在电源插座上、灯管是否工作正常。</w:t>
      </w:r>
    </w:p>
    <w:p w14:paraId="17AD0CCC">
      <w:pPr>
        <w:spacing w:line="560" w:lineRule="exact"/>
        <w:ind w:firstLine="600" w:firstLineChars="200"/>
        <w:rPr>
          <w:rFonts w:hint="eastAsia" w:ascii="仿宋" w:hAnsi="仿宋" w:eastAsia="仿宋" w:cs="仿宋"/>
          <w:sz w:val="30"/>
          <w:szCs w:val="30"/>
        </w:rPr>
      </w:pPr>
      <w:r>
        <w:rPr>
          <w:rFonts w:hint="eastAsia" w:ascii="仿宋" w:hAnsi="仿宋" w:eastAsia="仿宋" w:cs="仿宋"/>
          <w:sz w:val="30"/>
          <w:szCs w:val="30"/>
        </w:rPr>
        <w:t>2.每季度对应急照明进行一次功能性测试,按下列方法切断正常供电电源，用秒表测量应急工作状态的持续时间：</w:t>
      </w:r>
    </w:p>
    <w:p w14:paraId="1993823E">
      <w:pPr>
        <w:spacing w:line="560" w:lineRule="exact"/>
        <w:ind w:firstLine="600" w:firstLineChars="200"/>
        <w:rPr>
          <w:rFonts w:hint="eastAsia" w:ascii="仿宋" w:hAnsi="仿宋" w:eastAsia="仿宋" w:cs="仿宋"/>
          <w:sz w:val="30"/>
          <w:szCs w:val="30"/>
        </w:rPr>
      </w:pPr>
      <w:r>
        <w:rPr>
          <w:rFonts w:hint="eastAsia" w:ascii="仿宋" w:hAnsi="仿宋" w:eastAsia="仿宋" w:cs="仿宋"/>
          <w:sz w:val="30"/>
          <w:szCs w:val="30"/>
        </w:rPr>
        <w:t>（1）自带电源型和子母电源型切断其主供电电源。</w:t>
      </w:r>
    </w:p>
    <w:p w14:paraId="63CA0B6F">
      <w:pPr>
        <w:spacing w:line="560" w:lineRule="exact"/>
        <w:ind w:firstLine="600" w:firstLineChars="200"/>
        <w:rPr>
          <w:rFonts w:hint="eastAsia" w:ascii="仿宋" w:hAnsi="仿宋" w:eastAsia="仿宋" w:cs="仿宋"/>
          <w:sz w:val="30"/>
          <w:szCs w:val="30"/>
        </w:rPr>
      </w:pPr>
      <w:r>
        <w:rPr>
          <w:rFonts w:hint="eastAsia" w:ascii="仿宋" w:hAnsi="仿宋" w:eastAsia="仿宋" w:cs="仿宋"/>
          <w:sz w:val="30"/>
          <w:szCs w:val="30"/>
        </w:rPr>
        <w:t>（2）集中电源型切断其控制器主电源。</w:t>
      </w:r>
    </w:p>
    <w:p w14:paraId="39897041">
      <w:pPr>
        <w:spacing w:line="560" w:lineRule="exact"/>
        <w:ind w:firstLine="600" w:firstLineChars="200"/>
        <w:rPr>
          <w:rFonts w:hint="eastAsia" w:ascii="仿宋" w:hAnsi="仿宋" w:eastAsia="仿宋" w:cs="仿宋"/>
          <w:sz w:val="30"/>
          <w:szCs w:val="30"/>
        </w:rPr>
      </w:pPr>
      <w:r>
        <w:rPr>
          <w:rFonts w:hint="eastAsia" w:ascii="仿宋" w:hAnsi="仿宋" w:eastAsia="仿宋" w:cs="仿宋"/>
          <w:sz w:val="30"/>
          <w:szCs w:val="30"/>
        </w:rPr>
        <w:t>（3）接在消防配电线路上的应急照明灯具，切断非消防电源。</w:t>
      </w:r>
    </w:p>
    <w:p w14:paraId="1BB1DF52">
      <w:pPr>
        <w:spacing w:line="560" w:lineRule="exact"/>
        <w:ind w:firstLine="600" w:firstLineChars="200"/>
        <w:rPr>
          <w:rFonts w:hint="eastAsia" w:ascii="仿宋" w:hAnsi="仿宋" w:eastAsia="仿宋" w:cs="仿宋"/>
          <w:sz w:val="30"/>
          <w:szCs w:val="30"/>
        </w:rPr>
      </w:pPr>
      <w:r>
        <w:rPr>
          <w:rFonts w:hint="eastAsia" w:ascii="仿宋" w:hAnsi="仿宋" w:eastAsia="仿宋" w:cs="仿宋"/>
          <w:sz w:val="30"/>
          <w:szCs w:val="30"/>
        </w:rPr>
        <w:t>3.使用照度计，测量两个应急照明灯之间地面中心的照度；应符合建筑规的范疏散照度要求；达到规定的应急工作状态持续时间时，重复测量上述测点的照度。</w:t>
      </w:r>
    </w:p>
    <w:p w14:paraId="07AD3A89">
      <w:pPr>
        <w:spacing w:line="560" w:lineRule="exact"/>
        <w:ind w:firstLine="600" w:firstLineChars="200"/>
        <w:rPr>
          <w:rFonts w:hint="eastAsia" w:ascii="仿宋" w:hAnsi="仿宋" w:eastAsia="仿宋" w:cs="仿宋"/>
          <w:sz w:val="30"/>
          <w:szCs w:val="30"/>
        </w:rPr>
      </w:pPr>
      <w:r>
        <w:rPr>
          <w:rFonts w:hint="eastAsia" w:ascii="仿宋" w:hAnsi="仿宋" w:eastAsia="仿宋" w:cs="仿宋"/>
          <w:sz w:val="30"/>
          <w:szCs w:val="30"/>
        </w:rPr>
        <w:t>4.配电室、消防控制室、消防水泵房、供消防用电的蓄电池室、自备发电机房、电话总机房以及发生火灾时仍需坚持工作的其他房间，使用照度计测量正常照明时的工作面照度；切断正常照明后，测量应急照明时工作面的最低照度。</w:t>
      </w:r>
    </w:p>
    <w:p w14:paraId="3B441261">
      <w:pPr>
        <w:spacing w:line="560" w:lineRule="exact"/>
        <w:ind w:firstLine="600" w:firstLineChars="200"/>
        <w:rPr>
          <w:rFonts w:hint="eastAsia" w:ascii="仿宋" w:hAnsi="仿宋" w:eastAsia="仿宋" w:cs="仿宋"/>
          <w:sz w:val="30"/>
          <w:szCs w:val="30"/>
        </w:rPr>
      </w:pPr>
      <w:r>
        <w:rPr>
          <w:rFonts w:hint="eastAsia" w:ascii="仿宋" w:hAnsi="仿宋" w:eastAsia="仿宋" w:cs="仿宋"/>
          <w:sz w:val="30"/>
          <w:szCs w:val="30"/>
        </w:rPr>
        <w:t>5.疏散指示标志</w:t>
      </w:r>
    </w:p>
    <w:p w14:paraId="1006DFC1">
      <w:pPr>
        <w:spacing w:line="560" w:lineRule="exact"/>
        <w:ind w:firstLine="600" w:firstLineChars="200"/>
        <w:rPr>
          <w:rFonts w:hint="eastAsia" w:ascii="仿宋" w:hAnsi="仿宋" w:eastAsia="仿宋" w:cs="仿宋"/>
          <w:sz w:val="30"/>
          <w:szCs w:val="30"/>
        </w:rPr>
      </w:pPr>
      <w:r>
        <w:rPr>
          <w:rFonts w:hint="eastAsia" w:ascii="仿宋" w:hAnsi="仿宋" w:eastAsia="仿宋" w:cs="仿宋"/>
          <w:sz w:val="30"/>
          <w:szCs w:val="30"/>
        </w:rPr>
        <w:t>（1）每月查看外观，核对位置及完好情况。</w:t>
      </w:r>
    </w:p>
    <w:p w14:paraId="7164032C">
      <w:pPr>
        <w:spacing w:line="560" w:lineRule="exact"/>
        <w:ind w:firstLine="600" w:firstLineChars="200"/>
        <w:rPr>
          <w:rFonts w:hint="eastAsia" w:ascii="仿宋" w:hAnsi="仿宋" w:eastAsia="仿宋" w:cs="仿宋"/>
          <w:sz w:val="30"/>
          <w:szCs w:val="30"/>
        </w:rPr>
      </w:pPr>
      <w:r>
        <w:rPr>
          <w:rFonts w:hint="eastAsia" w:ascii="仿宋" w:hAnsi="仿宋" w:eastAsia="仿宋" w:cs="仿宋"/>
          <w:sz w:val="30"/>
          <w:szCs w:val="30"/>
        </w:rPr>
        <w:t>（2）每季度对疏散指示标志进行一次功能性测试﹕</w:t>
      </w:r>
    </w:p>
    <w:p w14:paraId="31A30B9C">
      <w:pPr>
        <w:spacing w:line="560" w:lineRule="exact"/>
        <w:ind w:firstLine="600" w:firstLineChars="200"/>
        <w:rPr>
          <w:rFonts w:hint="eastAsia" w:ascii="仿宋" w:hAnsi="仿宋" w:eastAsia="仿宋" w:cs="仿宋"/>
          <w:sz w:val="30"/>
          <w:szCs w:val="30"/>
        </w:rPr>
      </w:pPr>
      <w:r>
        <w:rPr>
          <w:rFonts w:hint="eastAsia" w:ascii="仿宋" w:hAnsi="仿宋" w:eastAsia="仿宋" w:cs="仿宋"/>
          <w:sz w:val="30"/>
          <w:szCs w:val="30"/>
        </w:rPr>
        <w:t>①关闭正常照明，查看发光疏散指示标志的发光情况。</w:t>
      </w:r>
    </w:p>
    <w:p w14:paraId="56B997D8">
      <w:pPr>
        <w:spacing w:line="560" w:lineRule="exact"/>
        <w:ind w:firstLine="600" w:firstLineChars="200"/>
        <w:rPr>
          <w:rFonts w:hint="eastAsia" w:ascii="仿宋" w:hAnsi="仿宋" w:eastAsia="仿宋" w:cs="仿宋"/>
          <w:sz w:val="30"/>
          <w:szCs w:val="30"/>
        </w:rPr>
      </w:pPr>
      <w:r>
        <w:rPr>
          <w:rFonts w:hint="eastAsia" w:ascii="仿宋" w:hAnsi="仿宋" w:eastAsia="仿宋" w:cs="仿宋"/>
          <w:sz w:val="30"/>
          <w:szCs w:val="30"/>
        </w:rPr>
        <w:t>②切断正常供电电源，在灯光疏散指示标志前通道中心处，用照度计测量地面照度；达到规定的应急工作状态持续时间时，重复测量上述测点的照度。</w:t>
      </w:r>
    </w:p>
    <w:p w14:paraId="6A2E613B">
      <w:pPr>
        <w:spacing w:line="560" w:lineRule="exact"/>
        <w:ind w:firstLine="600" w:firstLineChars="200"/>
        <w:rPr>
          <w:rFonts w:hint="eastAsia" w:ascii="仿宋" w:hAnsi="仿宋" w:eastAsia="仿宋" w:cs="仿宋"/>
          <w:sz w:val="30"/>
          <w:szCs w:val="30"/>
        </w:rPr>
      </w:pPr>
      <w:r>
        <w:rPr>
          <w:rFonts w:hint="eastAsia" w:ascii="仿宋" w:hAnsi="仿宋" w:eastAsia="仿宋" w:cs="仿宋"/>
          <w:sz w:val="30"/>
          <w:szCs w:val="30"/>
        </w:rPr>
        <w:t>（十一）应急广播系统</w:t>
      </w:r>
    </w:p>
    <w:p w14:paraId="158F0299">
      <w:pPr>
        <w:spacing w:line="560" w:lineRule="exact"/>
        <w:ind w:firstLine="600" w:firstLineChars="200"/>
        <w:rPr>
          <w:rFonts w:hint="eastAsia" w:ascii="仿宋" w:hAnsi="仿宋" w:eastAsia="仿宋" w:cs="仿宋"/>
          <w:sz w:val="30"/>
          <w:szCs w:val="30"/>
        </w:rPr>
      </w:pPr>
      <w:r>
        <w:rPr>
          <w:rFonts w:hint="eastAsia" w:ascii="仿宋" w:hAnsi="仿宋" w:eastAsia="仿宋" w:cs="仿宋"/>
          <w:sz w:val="30"/>
          <w:szCs w:val="30"/>
        </w:rPr>
        <w:t>1.每月在消防控制室用话筒对所选区域播音，检查音响效果。</w:t>
      </w:r>
    </w:p>
    <w:p w14:paraId="3DC996F9">
      <w:pPr>
        <w:spacing w:line="560" w:lineRule="exact"/>
        <w:ind w:firstLine="600" w:firstLineChars="200"/>
        <w:rPr>
          <w:rFonts w:hint="eastAsia" w:ascii="仿宋" w:hAnsi="仿宋" w:eastAsia="仿宋" w:cs="仿宋"/>
          <w:sz w:val="30"/>
          <w:szCs w:val="30"/>
        </w:rPr>
      </w:pPr>
      <w:r>
        <w:rPr>
          <w:rFonts w:hint="eastAsia" w:ascii="仿宋" w:hAnsi="仿宋" w:eastAsia="仿宋" w:cs="仿宋"/>
          <w:sz w:val="30"/>
          <w:szCs w:val="30"/>
        </w:rPr>
        <w:t>2.每季度自动控制方式下，分别触发两个相关的火灾探测器或触发手动报警按钮后，核对启动火灾应急广播的区域、检查音响效果。</w:t>
      </w:r>
    </w:p>
    <w:p w14:paraId="1AFAA19B">
      <w:pPr>
        <w:spacing w:line="560" w:lineRule="exact"/>
        <w:ind w:firstLine="600" w:firstLineChars="200"/>
        <w:rPr>
          <w:rFonts w:hint="eastAsia" w:ascii="仿宋" w:hAnsi="仿宋" w:eastAsia="仿宋" w:cs="仿宋"/>
          <w:sz w:val="30"/>
          <w:szCs w:val="30"/>
        </w:rPr>
      </w:pPr>
      <w:r>
        <w:rPr>
          <w:rFonts w:hint="eastAsia" w:ascii="仿宋" w:hAnsi="仿宋" w:eastAsia="仿宋" w:cs="仿宋"/>
          <w:sz w:val="30"/>
          <w:szCs w:val="30"/>
        </w:rPr>
        <w:t>3.每月在公共广播扩音机处于关闭和播放状态下，自动和手动强制切换火灾应急广播。</w:t>
      </w:r>
    </w:p>
    <w:p w14:paraId="015FC53F">
      <w:pPr>
        <w:spacing w:line="560" w:lineRule="exact"/>
        <w:ind w:firstLine="600" w:firstLineChars="200"/>
        <w:rPr>
          <w:rFonts w:hint="eastAsia" w:ascii="仿宋" w:hAnsi="仿宋" w:eastAsia="仿宋" w:cs="仿宋"/>
          <w:sz w:val="30"/>
          <w:szCs w:val="30"/>
        </w:rPr>
      </w:pPr>
      <w:r>
        <w:rPr>
          <w:rFonts w:hint="eastAsia" w:ascii="仿宋" w:hAnsi="仿宋" w:eastAsia="仿宋" w:cs="仿宋"/>
          <w:sz w:val="30"/>
          <w:szCs w:val="30"/>
        </w:rPr>
        <w:t>4.每季度用声级计测试启动火灾应急广播前的环境噪音，当大于60dB时，重复测量启动火灾应急广播后扬声器播音范围内最远点的声压级，并与环境噪音对比。</w:t>
      </w:r>
    </w:p>
    <w:p w14:paraId="408830CC">
      <w:pPr>
        <w:spacing w:line="560" w:lineRule="exact"/>
        <w:ind w:firstLine="600" w:firstLineChars="200"/>
        <w:rPr>
          <w:rFonts w:hint="eastAsia" w:ascii="仿宋" w:hAnsi="仿宋" w:eastAsia="仿宋" w:cs="仿宋"/>
          <w:sz w:val="30"/>
          <w:szCs w:val="30"/>
        </w:rPr>
      </w:pPr>
      <w:r>
        <w:rPr>
          <w:rFonts w:hint="eastAsia" w:ascii="仿宋" w:hAnsi="仿宋" w:eastAsia="仿宋" w:cs="仿宋"/>
          <w:sz w:val="30"/>
          <w:szCs w:val="30"/>
        </w:rPr>
        <w:t>（十二）防火分隔设施</w:t>
      </w:r>
    </w:p>
    <w:p w14:paraId="3FE9ECD1">
      <w:pPr>
        <w:spacing w:line="560" w:lineRule="exact"/>
        <w:ind w:firstLine="600" w:firstLineChars="200"/>
        <w:rPr>
          <w:rFonts w:hint="eastAsia" w:ascii="仿宋" w:hAnsi="仿宋" w:eastAsia="仿宋" w:cs="仿宋"/>
          <w:sz w:val="30"/>
          <w:szCs w:val="30"/>
        </w:rPr>
      </w:pPr>
      <w:r>
        <w:rPr>
          <w:rFonts w:hint="eastAsia" w:ascii="仿宋" w:hAnsi="仿宋" w:eastAsia="仿宋" w:cs="仿宋"/>
          <w:sz w:val="30"/>
          <w:szCs w:val="30"/>
        </w:rPr>
        <w:t>1.防火门</w:t>
      </w:r>
    </w:p>
    <w:p w14:paraId="16BB5135">
      <w:pPr>
        <w:spacing w:line="560" w:lineRule="exact"/>
        <w:ind w:firstLine="600" w:firstLineChars="200"/>
        <w:rPr>
          <w:rFonts w:hint="eastAsia" w:ascii="仿宋" w:hAnsi="仿宋" w:eastAsia="仿宋" w:cs="仿宋"/>
          <w:sz w:val="30"/>
          <w:szCs w:val="30"/>
        </w:rPr>
      </w:pPr>
      <w:r>
        <w:rPr>
          <w:rFonts w:hint="eastAsia" w:ascii="仿宋" w:hAnsi="仿宋" w:eastAsia="仿宋" w:cs="仿宋"/>
          <w:sz w:val="30"/>
          <w:szCs w:val="30"/>
        </w:rPr>
        <w:t>（1）每月查看外观、关闭效果，双扇门的关闭顺序。</w:t>
      </w:r>
    </w:p>
    <w:p w14:paraId="056C028A">
      <w:pPr>
        <w:spacing w:line="560" w:lineRule="exact"/>
        <w:ind w:firstLine="600" w:firstLineChars="200"/>
        <w:rPr>
          <w:rFonts w:hint="eastAsia" w:ascii="仿宋" w:hAnsi="仿宋" w:eastAsia="仿宋" w:cs="仿宋"/>
          <w:sz w:val="30"/>
          <w:szCs w:val="30"/>
        </w:rPr>
      </w:pPr>
      <w:r>
        <w:rPr>
          <w:rFonts w:hint="eastAsia" w:ascii="仿宋" w:hAnsi="仿宋" w:eastAsia="仿宋" w:cs="仿宋"/>
          <w:sz w:val="30"/>
          <w:szCs w:val="30"/>
        </w:rPr>
        <w:t>（2）每季度对于疏散通道上设有出入口控制系统的防火门，自动或远端手动输出控制信号，查看出入口控制系统的解除情况及反馈信号。</w:t>
      </w:r>
    </w:p>
    <w:p w14:paraId="38B3EC4D">
      <w:pPr>
        <w:spacing w:line="560" w:lineRule="exact"/>
        <w:ind w:firstLine="600" w:firstLineChars="200"/>
        <w:rPr>
          <w:rFonts w:hint="eastAsia" w:ascii="仿宋" w:hAnsi="仿宋" w:eastAsia="仿宋" w:cs="仿宋"/>
          <w:sz w:val="30"/>
          <w:szCs w:val="30"/>
        </w:rPr>
      </w:pPr>
      <w:r>
        <w:rPr>
          <w:rFonts w:hint="eastAsia" w:ascii="仿宋" w:hAnsi="仿宋" w:eastAsia="仿宋" w:cs="仿宋"/>
          <w:sz w:val="30"/>
          <w:szCs w:val="30"/>
        </w:rPr>
        <w:t>2.防火卷帘</w:t>
      </w:r>
    </w:p>
    <w:p w14:paraId="700676B4">
      <w:pPr>
        <w:spacing w:line="560" w:lineRule="exact"/>
        <w:ind w:firstLine="600" w:firstLineChars="200"/>
        <w:rPr>
          <w:rFonts w:hint="eastAsia" w:ascii="仿宋" w:hAnsi="仿宋" w:eastAsia="仿宋" w:cs="仿宋"/>
          <w:sz w:val="30"/>
          <w:szCs w:val="30"/>
        </w:rPr>
      </w:pPr>
      <w:r>
        <w:rPr>
          <w:rFonts w:hint="eastAsia" w:ascii="仿宋" w:hAnsi="仿宋" w:eastAsia="仿宋" w:cs="仿宋"/>
          <w:sz w:val="30"/>
          <w:szCs w:val="30"/>
        </w:rPr>
        <w:t>（1）每月查看外观。</w:t>
      </w:r>
    </w:p>
    <w:p w14:paraId="2D204FC8">
      <w:pPr>
        <w:spacing w:line="560" w:lineRule="exact"/>
        <w:ind w:firstLine="600" w:firstLineChars="200"/>
        <w:rPr>
          <w:rFonts w:hint="eastAsia" w:ascii="仿宋" w:hAnsi="仿宋" w:eastAsia="仿宋" w:cs="仿宋"/>
          <w:sz w:val="30"/>
          <w:szCs w:val="30"/>
        </w:rPr>
      </w:pPr>
      <w:r>
        <w:rPr>
          <w:rFonts w:hint="eastAsia" w:ascii="仿宋" w:hAnsi="仿宋" w:eastAsia="仿宋" w:cs="仿宋"/>
          <w:sz w:val="30"/>
          <w:szCs w:val="30"/>
        </w:rPr>
        <w:t>（2）每季度进行下列方式操作，查看卷帘运行情况反馈信号后重定。机械操作机械操作卷帘升降。</w:t>
      </w:r>
    </w:p>
    <w:p w14:paraId="055336EC">
      <w:pPr>
        <w:spacing w:line="560" w:lineRule="exact"/>
        <w:ind w:firstLine="600" w:firstLineChars="200"/>
        <w:rPr>
          <w:rFonts w:hint="eastAsia" w:ascii="仿宋" w:hAnsi="仿宋" w:eastAsia="仿宋" w:cs="仿宋"/>
          <w:sz w:val="30"/>
          <w:szCs w:val="30"/>
        </w:rPr>
      </w:pPr>
      <w:r>
        <w:rPr>
          <w:rFonts w:hint="eastAsia" w:ascii="仿宋" w:hAnsi="仿宋" w:eastAsia="仿宋" w:cs="仿宋"/>
          <w:sz w:val="30"/>
          <w:szCs w:val="30"/>
        </w:rPr>
        <w:t>（3）触发手动控制按钮。</w:t>
      </w:r>
    </w:p>
    <w:p w14:paraId="2EE8E33D">
      <w:pPr>
        <w:spacing w:line="560" w:lineRule="exact"/>
        <w:ind w:firstLine="600" w:firstLineChars="200"/>
        <w:rPr>
          <w:rFonts w:hint="eastAsia" w:ascii="仿宋" w:hAnsi="仿宋" w:eastAsia="仿宋" w:cs="仿宋"/>
          <w:sz w:val="30"/>
          <w:szCs w:val="30"/>
        </w:rPr>
      </w:pPr>
      <w:r>
        <w:rPr>
          <w:rFonts w:hint="eastAsia" w:ascii="仿宋" w:hAnsi="仿宋" w:eastAsia="仿宋" w:cs="仿宋"/>
          <w:sz w:val="30"/>
          <w:szCs w:val="30"/>
        </w:rPr>
        <w:t>（4）发散烟雾或不低于54℃热气测试其自动反应状况。</w:t>
      </w:r>
    </w:p>
    <w:p w14:paraId="6BB143C5">
      <w:pPr>
        <w:spacing w:line="560" w:lineRule="exact"/>
        <w:ind w:firstLine="600" w:firstLineChars="200"/>
        <w:rPr>
          <w:rFonts w:hint="eastAsia" w:ascii="仿宋" w:hAnsi="仿宋" w:eastAsia="仿宋" w:cs="仿宋"/>
          <w:sz w:val="30"/>
          <w:szCs w:val="30"/>
        </w:rPr>
      </w:pPr>
      <w:r>
        <w:rPr>
          <w:rFonts w:hint="eastAsia" w:ascii="仿宋" w:hAnsi="仿宋" w:eastAsia="仿宋" w:cs="仿宋"/>
          <w:sz w:val="30"/>
          <w:szCs w:val="30"/>
        </w:rPr>
        <w:t>（十三）气体灭火系统维护管理</w:t>
      </w:r>
    </w:p>
    <w:p w14:paraId="709392EE">
      <w:pPr>
        <w:spacing w:line="560" w:lineRule="exact"/>
        <w:ind w:firstLine="600" w:firstLineChars="200"/>
        <w:rPr>
          <w:rFonts w:hint="eastAsia" w:ascii="仿宋" w:hAnsi="仿宋" w:eastAsia="仿宋" w:cs="仿宋"/>
          <w:sz w:val="30"/>
          <w:szCs w:val="30"/>
        </w:rPr>
      </w:pPr>
      <w:r>
        <w:rPr>
          <w:rFonts w:hint="eastAsia" w:ascii="仿宋" w:hAnsi="仿宋" w:eastAsia="仿宋" w:cs="仿宋"/>
          <w:sz w:val="30"/>
          <w:szCs w:val="30"/>
        </w:rPr>
        <w:t>1.对灭火剂储存容器、选择阀、液流单向阀、高压软管、集流管、启动装置、管网与喷嘴、压力信号器、安全泄压阀及捡漏报警装置等系统全部组件进行外观检查。</w:t>
      </w:r>
    </w:p>
    <w:p w14:paraId="1E70AB34">
      <w:pPr>
        <w:spacing w:line="560" w:lineRule="exact"/>
        <w:ind w:firstLine="600" w:firstLineChars="200"/>
        <w:rPr>
          <w:rFonts w:hint="eastAsia" w:ascii="仿宋" w:hAnsi="仿宋" w:eastAsia="仿宋" w:cs="仿宋"/>
          <w:sz w:val="30"/>
          <w:szCs w:val="30"/>
        </w:rPr>
      </w:pPr>
      <w:r>
        <w:rPr>
          <w:rFonts w:hint="eastAsia" w:ascii="仿宋" w:hAnsi="仿宋" w:eastAsia="仿宋" w:cs="仿宋"/>
          <w:sz w:val="30"/>
          <w:szCs w:val="30"/>
        </w:rPr>
        <w:t>2.气体灭火系统组件的安装位置不得有其他物件阻挡或妨碍其正常工作。</w:t>
      </w:r>
    </w:p>
    <w:p w14:paraId="7F3EFCAC">
      <w:pPr>
        <w:spacing w:line="560" w:lineRule="exact"/>
        <w:ind w:firstLine="600" w:firstLineChars="200"/>
        <w:rPr>
          <w:rFonts w:hint="eastAsia" w:ascii="仿宋" w:hAnsi="仿宋" w:eastAsia="仿宋" w:cs="仿宋"/>
          <w:sz w:val="30"/>
          <w:szCs w:val="30"/>
        </w:rPr>
      </w:pPr>
      <w:r>
        <w:rPr>
          <w:rFonts w:hint="eastAsia" w:ascii="仿宋" w:hAnsi="仿宋" w:eastAsia="仿宋" w:cs="仿宋"/>
          <w:sz w:val="30"/>
          <w:szCs w:val="30"/>
        </w:rPr>
        <w:t>3.驱动控制盘面板上的指示灯应正常，各开关位置应正确，各连线应无松动现象。</w:t>
      </w:r>
    </w:p>
    <w:p w14:paraId="484CE1F2">
      <w:pPr>
        <w:spacing w:line="560" w:lineRule="exact"/>
        <w:ind w:firstLine="600" w:firstLineChars="200"/>
        <w:rPr>
          <w:rFonts w:hint="eastAsia" w:ascii="仿宋" w:hAnsi="仿宋" w:eastAsia="仿宋" w:cs="仿宋"/>
          <w:sz w:val="30"/>
          <w:szCs w:val="30"/>
        </w:rPr>
      </w:pPr>
      <w:r>
        <w:rPr>
          <w:rFonts w:hint="eastAsia" w:ascii="仿宋" w:hAnsi="仿宋" w:eastAsia="仿宋" w:cs="仿宋"/>
          <w:sz w:val="30"/>
          <w:szCs w:val="30"/>
        </w:rPr>
        <w:t>4.火灾探测器表面应保持清洁，应无任何干扰或影响火灾探测器探测性能的擦伤、油渍及油漆。</w:t>
      </w:r>
    </w:p>
    <w:p w14:paraId="3FBB3563">
      <w:pPr>
        <w:spacing w:line="560" w:lineRule="exact"/>
        <w:ind w:firstLine="600" w:firstLineChars="200"/>
        <w:rPr>
          <w:rFonts w:hint="eastAsia" w:ascii="仿宋" w:hAnsi="仿宋" w:eastAsia="仿宋" w:cs="仿宋"/>
          <w:sz w:val="30"/>
          <w:szCs w:val="30"/>
        </w:rPr>
      </w:pPr>
      <w:r>
        <w:rPr>
          <w:rFonts w:hint="eastAsia" w:ascii="仿宋" w:hAnsi="仿宋" w:eastAsia="仿宋" w:cs="仿宋"/>
          <w:sz w:val="30"/>
          <w:szCs w:val="30"/>
        </w:rPr>
        <w:t>5.气体灭火系统储存容器内的压力、气动型驱动装置的气动源的压力均不得小于设计压力的90%。</w:t>
      </w:r>
    </w:p>
    <w:p w14:paraId="26D29F28">
      <w:pPr>
        <w:spacing w:line="560" w:lineRule="exact"/>
        <w:ind w:firstLine="600" w:firstLineChars="200"/>
        <w:rPr>
          <w:rFonts w:hint="eastAsia" w:ascii="仿宋" w:hAnsi="仿宋" w:eastAsia="仿宋" w:cs="仿宋"/>
          <w:sz w:val="30"/>
          <w:szCs w:val="30"/>
        </w:rPr>
      </w:pPr>
      <w:r>
        <w:rPr>
          <w:rFonts w:hint="eastAsia" w:ascii="仿宋" w:hAnsi="仿宋" w:eastAsia="仿宋" w:cs="仿宋"/>
          <w:sz w:val="30"/>
          <w:szCs w:val="30"/>
        </w:rPr>
        <w:t>6.预制灭火系统的设备状态和运行状况应正常。</w:t>
      </w:r>
    </w:p>
    <w:p w14:paraId="4C90DFCE">
      <w:pPr>
        <w:spacing w:line="560" w:lineRule="exact"/>
        <w:ind w:firstLine="600" w:firstLineChars="200"/>
        <w:rPr>
          <w:rFonts w:hint="eastAsia" w:ascii="仿宋" w:hAnsi="仿宋" w:eastAsia="仿宋" w:cs="仿宋"/>
          <w:sz w:val="30"/>
          <w:szCs w:val="30"/>
        </w:rPr>
      </w:pPr>
      <w:r>
        <w:rPr>
          <w:rFonts w:hint="eastAsia" w:ascii="仿宋" w:hAnsi="仿宋" w:eastAsia="仿宋" w:cs="仿宋"/>
          <w:sz w:val="30"/>
          <w:szCs w:val="30"/>
        </w:rPr>
        <w:t>（十四）防排烟系统维护管理</w:t>
      </w:r>
    </w:p>
    <w:p w14:paraId="4E0EE65A">
      <w:pPr>
        <w:spacing w:line="560" w:lineRule="exact"/>
        <w:ind w:firstLine="600" w:firstLineChars="200"/>
        <w:rPr>
          <w:rFonts w:hint="eastAsia" w:ascii="仿宋" w:hAnsi="仿宋" w:eastAsia="仿宋" w:cs="仿宋"/>
          <w:sz w:val="30"/>
          <w:szCs w:val="30"/>
        </w:rPr>
      </w:pPr>
      <w:r>
        <w:rPr>
          <w:rFonts w:hint="eastAsia" w:ascii="仿宋" w:hAnsi="仿宋" w:eastAsia="仿宋" w:cs="仿宋"/>
          <w:sz w:val="30"/>
          <w:szCs w:val="30"/>
        </w:rPr>
        <w:t>1.防烟、排烟风机手动或自动启动试运转，检查有无锈蚀、螺钉松动。</w:t>
      </w:r>
    </w:p>
    <w:p w14:paraId="5C82E95F">
      <w:pPr>
        <w:spacing w:line="560" w:lineRule="exact"/>
        <w:ind w:firstLine="600" w:firstLineChars="200"/>
        <w:rPr>
          <w:rFonts w:hint="eastAsia" w:ascii="仿宋" w:hAnsi="仿宋" w:eastAsia="仿宋" w:cs="仿宋"/>
          <w:sz w:val="30"/>
          <w:szCs w:val="30"/>
        </w:rPr>
      </w:pPr>
      <w:r>
        <w:rPr>
          <w:rFonts w:hint="eastAsia" w:ascii="仿宋" w:hAnsi="仿宋" w:eastAsia="仿宋" w:cs="仿宋"/>
          <w:sz w:val="30"/>
          <w:szCs w:val="30"/>
        </w:rPr>
        <w:t>2.挡烟垂壁手动或自动启动、复位试验，检查有无升降障碍。</w:t>
      </w:r>
    </w:p>
    <w:p w14:paraId="217FA064">
      <w:pPr>
        <w:spacing w:line="560" w:lineRule="exact"/>
        <w:ind w:firstLine="600" w:firstLineChars="200"/>
        <w:rPr>
          <w:rFonts w:hint="eastAsia" w:ascii="仿宋" w:hAnsi="仿宋" w:eastAsia="仿宋" w:cs="仿宋"/>
          <w:sz w:val="30"/>
          <w:szCs w:val="30"/>
        </w:rPr>
      </w:pPr>
      <w:r>
        <w:rPr>
          <w:rFonts w:hint="eastAsia" w:ascii="仿宋" w:hAnsi="仿宋" w:eastAsia="仿宋" w:cs="仿宋"/>
          <w:sz w:val="30"/>
          <w:szCs w:val="30"/>
        </w:rPr>
        <w:t>3.挡烟窗手动或自动启动、复位试验，检查有无开关障碍。</w:t>
      </w:r>
    </w:p>
    <w:p w14:paraId="34C8EF4C">
      <w:pPr>
        <w:spacing w:line="560" w:lineRule="exact"/>
        <w:ind w:firstLine="600" w:firstLineChars="200"/>
        <w:rPr>
          <w:rFonts w:hint="eastAsia" w:ascii="仿宋" w:hAnsi="仿宋" w:eastAsia="仿宋" w:cs="仿宋"/>
          <w:sz w:val="30"/>
          <w:szCs w:val="30"/>
        </w:rPr>
      </w:pPr>
      <w:r>
        <w:rPr>
          <w:rFonts w:hint="eastAsia" w:ascii="仿宋" w:hAnsi="仿宋" w:eastAsia="仿宋" w:cs="仿宋"/>
          <w:sz w:val="30"/>
          <w:szCs w:val="30"/>
        </w:rPr>
        <w:t>4.检查供电线路有无老化、双回路自动切换电源功能。</w:t>
      </w:r>
    </w:p>
    <w:p w14:paraId="5F0ED2A5">
      <w:pPr>
        <w:spacing w:line="560" w:lineRule="exact"/>
        <w:ind w:firstLine="600" w:firstLineChars="200"/>
        <w:rPr>
          <w:rFonts w:hint="eastAsia" w:ascii="仿宋" w:hAnsi="仿宋" w:eastAsia="仿宋" w:cs="仿宋"/>
          <w:sz w:val="30"/>
          <w:szCs w:val="30"/>
        </w:rPr>
      </w:pPr>
      <w:r>
        <w:rPr>
          <w:rFonts w:hint="eastAsia" w:ascii="仿宋" w:hAnsi="仿宋" w:eastAsia="仿宋" w:cs="仿宋"/>
          <w:sz w:val="30"/>
          <w:szCs w:val="30"/>
        </w:rPr>
        <w:t>5.排烟防火阀、送风阀（送风口）和排烟阀（排烟口）手动或自动启动、复位试验检查，有无变形、锈蚀及弹簧性能每半年检查一次，确认性能可靠。</w:t>
      </w:r>
    </w:p>
    <w:p w14:paraId="7E2F30BB">
      <w:pPr>
        <w:spacing w:line="560" w:lineRule="exact"/>
        <w:ind w:firstLine="600" w:firstLineChars="200"/>
        <w:rPr>
          <w:rFonts w:hint="eastAsia" w:ascii="仿宋" w:hAnsi="仿宋" w:eastAsia="仿宋" w:cs="仿宋"/>
          <w:sz w:val="30"/>
          <w:szCs w:val="30"/>
        </w:rPr>
      </w:pPr>
      <w:r>
        <w:rPr>
          <w:rFonts w:hint="eastAsia" w:ascii="仿宋" w:hAnsi="仿宋" w:eastAsia="仿宋" w:cs="仿宋"/>
          <w:sz w:val="30"/>
          <w:szCs w:val="30"/>
        </w:rPr>
        <w:t>（十五）消防电梯维护管理</w:t>
      </w:r>
    </w:p>
    <w:p w14:paraId="36DF6FBC">
      <w:pPr>
        <w:spacing w:line="560" w:lineRule="exact"/>
        <w:ind w:firstLine="600" w:firstLineChars="200"/>
        <w:rPr>
          <w:rFonts w:hint="eastAsia" w:ascii="仿宋" w:hAnsi="仿宋" w:eastAsia="仿宋" w:cs="仿宋"/>
          <w:sz w:val="30"/>
          <w:szCs w:val="30"/>
        </w:rPr>
      </w:pPr>
      <w:r>
        <w:rPr>
          <w:rFonts w:hint="eastAsia" w:ascii="仿宋" w:hAnsi="仿宋" w:eastAsia="仿宋" w:cs="仿宋"/>
          <w:sz w:val="30"/>
          <w:szCs w:val="30"/>
        </w:rPr>
        <w:t>1.每月检测首层按钮控制电梯回收层功能。</w:t>
      </w:r>
    </w:p>
    <w:p w14:paraId="4F514D6A">
      <w:pPr>
        <w:spacing w:line="560" w:lineRule="exact"/>
        <w:ind w:firstLine="600" w:firstLineChars="200"/>
        <w:rPr>
          <w:rFonts w:hint="eastAsia" w:ascii="仿宋" w:hAnsi="仿宋" w:eastAsia="仿宋" w:cs="仿宋"/>
          <w:sz w:val="30"/>
          <w:szCs w:val="30"/>
        </w:rPr>
      </w:pPr>
      <w:r>
        <w:rPr>
          <w:rFonts w:hint="eastAsia" w:ascii="仿宋" w:hAnsi="仿宋" w:eastAsia="仿宋" w:cs="仿宋"/>
          <w:sz w:val="30"/>
          <w:szCs w:val="30"/>
        </w:rPr>
        <w:t>2.每月测试消防电梯应急操作功能。</w:t>
      </w:r>
    </w:p>
    <w:p w14:paraId="76809314">
      <w:pPr>
        <w:spacing w:line="560" w:lineRule="exact"/>
        <w:ind w:firstLine="600" w:firstLineChars="200"/>
        <w:rPr>
          <w:rFonts w:hint="eastAsia" w:ascii="仿宋" w:hAnsi="仿宋" w:eastAsia="仿宋" w:cs="仿宋"/>
          <w:sz w:val="30"/>
          <w:szCs w:val="30"/>
        </w:rPr>
      </w:pPr>
      <w:r>
        <w:rPr>
          <w:rFonts w:hint="eastAsia" w:ascii="仿宋" w:hAnsi="仿宋" w:eastAsia="仿宋" w:cs="仿宋"/>
          <w:sz w:val="30"/>
          <w:szCs w:val="30"/>
        </w:rPr>
        <w:t>3.每月测试电梯轿厢内消防电话通话质量。</w:t>
      </w:r>
    </w:p>
    <w:p w14:paraId="4A866002">
      <w:pPr>
        <w:spacing w:line="560" w:lineRule="exact"/>
        <w:ind w:firstLine="600" w:firstLineChars="200"/>
        <w:rPr>
          <w:rFonts w:hint="eastAsia" w:ascii="仿宋" w:hAnsi="仿宋" w:eastAsia="仿宋" w:cs="仿宋"/>
          <w:sz w:val="30"/>
          <w:szCs w:val="30"/>
        </w:rPr>
      </w:pPr>
      <w:r>
        <w:rPr>
          <w:rFonts w:hint="eastAsia" w:ascii="仿宋" w:hAnsi="仿宋" w:eastAsia="仿宋" w:cs="仿宋"/>
          <w:sz w:val="30"/>
          <w:szCs w:val="30"/>
        </w:rPr>
        <w:t>4.每月测试电梯排水设备排水功能。</w:t>
      </w:r>
    </w:p>
    <w:p w14:paraId="114DBAB2">
      <w:pPr>
        <w:spacing w:line="560" w:lineRule="exact"/>
        <w:ind w:firstLine="600" w:firstLineChars="200"/>
        <w:rPr>
          <w:rFonts w:hint="eastAsia" w:ascii="仿宋" w:hAnsi="仿宋" w:eastAsia="仿宋" w:cs="仿宋"/>
          <w:sz w:val="30"/>
          <w:szCs w:val="30"/>
        </w:rPr>
      </w:pPr>
      <w:r>
        <w:rPr>
          <w:rFonts w:hint="eastAsia" w:ascii="仿宋" w:hAnsi="仿宋" w:eastAsia="仿宋" w:cs="仿宋"/>
          <w:sz w:val="30"/>
          <w:szCs w:val="30"/>
        </w:rPr>
        <w:t>5.每年通过报警联动，测试电梯自动迫降功能。</w:t>
      </w:r>
    </w:p>
    <w:p w14:paraId="7C8FE94E">
      <w:pPr>
        <w:spacing w:line="560" w:lineRule="exact"/>
        <w:ind w:firstLine="600" w:firstLineChars="200"/>
        <w:rPr>
          <w:rFonts w:hint="eastAsia" w:ascii="仿宋" w:hAnsi="仿宋" w:eastAsia="仿宋" w:cs="仿宋"/>
          <w:sz w:val="30"/>
          <w:szCs w:val="30"/>
        </w:rPr>
      </w:pPr>
      <w:r>
        <w:rPr>
          <w:rFonts w:hint="eastAsia" w:ascii="仿宋" w:hAnsi="仿宋" w:eastAsia="仿宋" w:cs="仿宋"/>
          <w:sz w:val="30"/>
          <w:szCs w:val="30"/>
        </w:rPr>
        <w:t>（十六）灭火器维护管理</w:t>
      </w:r>
    </w:p>
    <w:p w14:paraId="7C57FB95">
      <w:pPr>
        <w:spacing w:line="560" w:lineRule="exact"/>
        <w:ind w:firstLine="600" w:firstLineChars="200"/>
        <w:rPr>
          <w:rFonts w:hint="eastAsia" w:ascii="仿宋" w:hAnsi="仿宋" w:eastAsia="仿宋" w:cs="仿宋"/>
          <w:sz w:val="30"/>
          <w:szCs w:val="30"/>
        </w:rPr>
      </w:pPr>
      <w:r>
        <w:rPr>
          <w:rFonts w:hint="eastAsia" w:ascii="仿宋" w:hAnsi="仿宋" w:eastAsia="仿宋" w:cs="仿宋"/>
          <w:sz w:val="30"/>
          <w:szCs w:val="30"/>
        </w:rPr>
        <w:t>1.要建立“消防器材检查表(灭火器)”，登记类型、配置数量、设置部位和维护管理的责任人；明确维护管理责任人的职责；并张贴在灭火器放置处，使用方法。</w:t>
      </w:r>
    </w:p>
    <w:p w14:paraId="0E523E55">
      <w:pPr>
        <w:spacing w:line="560" w:lineRule="exact"/>
        <w:ind w:firstLine="600" w:firstLineChars="200"/>
        <w:rPr>
          <w:rFonts w:hint="eastAsia" w:ascii="仿宋" w:hAnsi="仿宋" w:eastAsia="仿宋" w:cs="仿宋"/>
          <w:sz w:val="30"/>
          <w:szCs w:val="30"/>
        </w:rPr>
      </w:pPr>
      <w:r>
        <w:rPr>
          <w:rFonts w:hint="eastAsia" w:ascii="仿宋" w:hAnsi="仿宋" w:eastAsia="仿宋" w:cs="仿宋"/>
          <w:sz w:val="30"/>
          <w:szCs w:val="30"/>
        </w:rPr>
        <w:t>2.管理责任人必须依照“消防器材检查表(灭火器)”内容每月检查一次。</w:t>
      </w:r>
    </w:p>
    <w:p w14:paraId="735D7AC1">
      <w:pPr>
        <w:spacing w:line="560" w:lineRule="exact"/>
        <w:ind w:firstLine="600" w:firstLineChars="200"/>
        <w:rPr>
          <w:rFonts w:hint="eastAsia" w:ascii="仿宋" w:hAnsi="仿宋" w:eastAsia="仿宋" w:cs="仿宋"/>
          <w:sz w:val="30"/>
          <w:szCs w:val="30"/>
        </w:rPr>
      </w:pPr>
      <w:r>
        <w:rPr>
          <w:rFonts w:hint="eastAsia" w:ascii="仿宋" w:hAnsi="仿宋" w:eastAsia="仿宋" w:cs="仿宋"/>
          <w:sz w:val="30"/>
          <w:szCs w:val="30"/>
        </w:rPr>
        <w:t>检查的内容﹕</w:t>
      </w:r>
    </w:p>
    <w:p w14:paraId="2548A4CB">
      <w:pPr>
        <w:spacing w:line="560" w:lineRule="exact"/>
        <w:ind w:firstLine="600" w:firstLineChars="200"/>
        <w:rPr>
          <w:rFonts w:hint="eastAsia" w:ascii="仿宋" w:hAnsi="仿宋" w:eastAsia="仿宋" w:cs="仿宋"/>
          <w:sz w:val="30"/>
          <w:szCs w:val="30"/>
        </w:rPr>
      </w:pPr>
      <w:r>
        <w:rPr>
          <w:rFonts w:hint="eastAsia" w:ascii="仿宋" w:hAnsi="仿宋" w:eastAsia="仿宋" w:cs="仿宋"/>
          <w:sz w:val="30"/>
          <w:szCs w:val="30"/>
        </w:rPr>
        <w:t>（1）灭火器位置应按管理单位之最新规划位置进行摆放,不得随意挪作它用,摆放稳固,没有埋压,灭火器箱不得上锁,避免日光曝晒和强辐射热。</w:t>
      </w:r>
    </w:p>
    <w:p w14:paraId="118E2AAB">
      <w:pPr>
        <w:spacing w:line="560" w:lineRule="exact"/>
        <w:ind w:firstLine="600" w:firstLineChars="200"/>
        <w:rPr>
          <w:rFonts w:hint="eastAsia" w:ascii="仿宋" w:hAnsi="仿宋" w:eastAsia="仿宋" w:cs="仿宋"/>
          <w:sz w:val="30"/>
          <w:szCs w:val="30"/>
        </w:rPr>
      </w:pPr>
      <w:r>
        <w:rPr>
          <w:rFonts w:hint="eastAsia" w:ascii="仿宋" w:hAnsi="仿宋" w:eastAsia="仿宋" w:cs="仿宋"/>
          <w:sz w:val="30"/>
          <w:szCs w:val="30"/>
        </w:rPr>
        <w:t>（2）铅封及插销均完好无损,未曾动用。</w:t>
      </w:r>
    </w:p>
    <w:p w14:paraId="2520FA79">
      <w:pPr>
        <w:spacing w:line="560" w:lineRule="exact"/>
        <w:ind w:firstLine="600" w:firstLineChars="200"/>
        <w:rPr>
          <w:rFonts w:hint="eastAsia" w:ascii="仿宋" w:hAnsi="仿宋" w:eastAsia="仿宋" w:cs="仿宋"/>
          <w:sz w:val="30"/>
          <w:szCs w:val="30"/>
        </w:rPr>
      </w:pPr>
      <w:r>
        <w:rPr>
          <w:rFonts w:hint="eastAsia" w:ascii="仿宋" w:hAnsi="仿宋" w:eastAsia="仿宋" w:cs="仿宋"/>
          <w:sz w:val="30"/>
          <w:szCs w:val="30"/>
        </w:rPr>
        <w:t>（3）灭火器压力表的外表面是否变形、损伤；压力表指针应指向绿区或红﹑绿区之间。</w:t>
      </w:r>
    </w:p>
    <w:p w14:paraId="5D06A35E">
      <w:pPr>
        <w:spacing w:line="560" w:lineRule="exact"/>
        <w:ind w:firstLine="600" w:firstLineChars="200"/>
        <w:rPr>
          <w:rFonts w:hint="eastAsia" w:ascii="仿宋" w:hAnsi="仿宋" w:eastAsia="仿宋" w:cs="仿宋"/>
          <w:sz w:val="30"/>
          <w:szCs w:val="30"/>
        </w:rPr>
      </w:pPr>
      <w:r>
        <w:rPr>
          <w:rFonts w:hint="eastAsia" w:ascii="仿宋" w:hAnsi="仿宋" w:eastAsia="仿宋" w:cs="仿宋"/>
          <w:sz w:val="30"/>
          <w:szCs w:val="30"/>
        </w:rPr>
        <w:t>（4）灭火器是否在有效期内。</w:t>
      </w:r>
    </w:p>
    <w:p w14:paraId="2AB162CE">
      <w:pPr>
        <w:spacing w:line="560" w:lineRule="exact"/>
        <w:ind w:firstLine="600" w:firstLineChars="200"/>
        <w:rPr>
          <w:rFonts w:hint="eastAsia" w:ascii="仿宋" w:hAnsi="仿宋" w:eastAsia="仿宋" w:cs="仿宋"/>
          <w:sz w:val="30"/>
          <w:szCs w:val="30"/>
        </w:rPr>
      </w:pPr>
      <w:r>
        <w:rPr>
          <w:rFonts w:hint="eastAsia" w:ascii="仿宋" w:hAnsi="仿宋" w:eastAsia="仿宋" w:cs="仿宋"/>
          <w:sz w:val="30"/>
          <w:szCs w:val="30"/>
        </w:rPr>
        <w:t>（5）一旦发现灭火器失效或曾动用过应马上通知保卫科更换。</w:t>
      </w:r>
    </w:p>
    <w:p w14:paraId="4E4EBD44">
      <w:pPr>
        <w:spacing w:line="560" w:lineRule="exact"/>
        <w:ind w:firstLine="600" w:firstLineChars="200"/>
        <w:rPr>
          <w:rFonts w:ascii="仿宋" w:hAnsi="仿宋" w:eastAsia="仿宋" w:cs="仿宋"/>
          <w:sz w:val="30"/>
          <w:szCs w:val="30"/>
        </w:rPr>
      </w:pPr>
      <w:r>
        <w:rPr>
          <w:rFonts w:hint="eastAsia" w:ascii="黑体" w:hAnsi="黑体" w:eastAsia="黑体" w:cs="黑体"/>
          <w:sz w:val="30"/>
          <w:szCs w:val="30"/>
        </w:rPr>
        <w:t>四、维保检测要求:</w:t>
      </w:r>
      <w:r>
        <w:rPr>
          <w:rFonts w:hint="eastAsia" w:ascii="仿宋" w:hAnsi="仿宋" w:eastAsia="仿宋" w:cs="仿宋"/>
          <w:sz w:val="30"/>
          <w:szCs w:val="30"/>
        </w:rPr>
        <w:t>维保检测工作等于或高于国家标准，完全满足设计要求及功能。维保服务单位负责每年对整个项目进行检测，并根据要求出具消防部门认可的消防系统检测报告。对接相关安全管理部门，及时了解相关消防安全政策、法规、要求，对照落实执行，使本维保项目始终处于高效安全的运行状态。</w:t>
      </w:r>
    </w:p>
    <w:p w14:paraId="21B3D6F7">
      <w:pPr>
        <w:spacing w:line="560" w:lineRule="exact"/>
        <w:ind w:firstLine="600" w:firstLineChars="200"/>
        <w:rPr>
          <w:rFonts w:ascii="仿宋" w:hAnsi="仿宋" w:eastAsia="仿宋" w:cs="仿宋"/>
          <w:sz w:val="30"/>
          <w:szCs w:val="30"/>
        </w:rPr>
      </w:pPr>
      <w:r>
        <w:rPr>
          <w:rFonts w:hint="eastAsia" w:ascii="仿宋" w:hAnsi="仿宋" w:eastAsia="仿宋" w:cs="仿宋"/>
          <w:sz w:val="30"/>
          <w:szCs w:val="30"/>
        </w:rPr>
        <w:t>参考资料</w:t>
      </w:r>
    </w:p>
    <w:p w14:paraId="22FEF8BE">
      <w:pPr>
        <w:spacing w:line="560" w:lineRule="exact"/>
        <w:ind w:firstLine="600" w:firstLineChars="200"/>
        <w:rPr>
          <w:rFonts w:ascii="仿宋" w:hAnsi="仿宋" w:eastAsia="仿宋" w:cs="仿宋"/>
          <w:sz w:val="30"/>
          <w:szCs w:val="30"/>
        </w:rPr>
      </w:pPr>
      <w:r>
        <w:rPr>
          <w:rFonts w:hint="eastAsia" w:ascii="仿宋" w:hAnsi="仿宋" w:eastAsia="仿宋" w:cs="仿宋"/>
          <w:sz w:val="30"/>
          <w:szCs w:val="30"/>
        </w:rPr>
        <w:t>1、中华人民共和国消防法</w:t>
      </w:r>
    </w:p>
    <w:p w14:paraId="48A258FF">
      <w:pPr>
        <w:spacing w:line="560" w:lineRule="exact"/>
        <w:ind w:firstLine="600" w:firstLineChars="200"/>
        <w:rPr>
          <w:rFonts w:ascii="仿宋" w:hAnsi="仿宋" w:eastAsia="仿宋" w:cs="仿宋"/>
          <w:sz w:val="30"/>
          <w:szCs w:val="30"/>
        </w:rPr>
      </w:pPr>
      <w:r>
        <w:rPr>
          <w:rFonts w:hint="eastAsia" w:ascii="仿宋" w:hAnsi="仿宋" w:eastAsia="仿宋" w:cs="仿宋"/>
          <w:sz w:val="30"/>
          <w:szCs w:val="30"/>
        </w:rPr>
        <w:t>2、建筑消防设施维护保养技术规程DB15/T 1895-2020</w:t>
      </w:r>
    </w:p>
    <w:p w14:paraId="1BA42847">
      <w:pPr>
        <w:spacing w:line="560" w:lineRule="exact"/>
        <w:ind w:firstLine="600" w:firstLineChars="200"/>
        <w:rPr>
          <w:rFonts w:ascii="仿宋" w:hAnsi="仿宋" w:eastAsia="仿宋" w:cs="仿宋"/>
          <w:sz w:val="30"/>
          <w:szCs w:val="30"/>
        </w:rPr>
      </w:pPr>
      <w:r>
        <w:rPr>
          <w:rFonts w:hint="eastAsia" w:ascii="仿宋" w:hAnsi="仿宋" w:eastAsia="仿宋" w:cs="仿宋"/>
          <w:sz w:val="30"/>
          <w:szCs w:val="30"/>
        </w:rPr>
        <w:t>3、建筑消防设施检验规程DB15/T 353.1-2020</w:t>
      </w:r>
    </w:p>
    <w:p w14:paraId="360C5A5A">
      <w:pPr>
        <w:spacing w:line="360" w:lineRule="auto"/>
        <w:ind w:firstLine="600" w:firstLineChars="200"/>
        <w:rPr>
          <w:rFonts w:ascii="黑体" w:hAnsi="黑体" w:eastAsia="黑体" w:cs="黑体"/>
          <w:sz w:val="30"/>
          <w:szCs w:val="30"/>
        </w:rPr>
      </w:pPr>
      <w:r>
        <w:rPr>
          <w:rFonts w:hint="eastAsia" w:ascii="黑体" w:hAnsi="黑体" w:eastAsia="黑体" w:cs="黑体"/>
          <w:sz w:val="30"/>
          <w:szCs w:val="30"/>
        </w:rPr>
        <w:t>五、服务要求及标准</w:t>
      </w:r>
    </w:p>
    <w:tbl>
      <w:tblPr>
        <w:tblStyle w:val="13"/>
        <w:tblW w:w="9037" w:type="dxa"/>
        <w:tblInd w:w="0" w:type="dxa"/>
        <w:tblLayout w:type="fixed"/>
        <w:tblCellMar>
          <w:top w:w="0" w:type="dxa"/>
          <w:left w:w="108" w:type="dxa"/>
          <w:bottom w:w="0" w:type="dxa"/>
          <w:right w:w="108" w:type="dxa"/>
        </w:tblCellMar>
      </w:tblPr>
      <w:tblGrid>
        <w:gridCol w:w="896"/>
        <w:gridCol w:w="928"/>
        <w:gridCol w:w="7213"/>
      </w:tblGrid>
      <w:tr w14:paraId="70219383">
        <w:tblPrEx>
          <w:tblCellMar>
            <w:top w:w="0" w:type="dxa"/>
            <w:left w:w="108" w:type="dxa"/>
            <w:bottom w:w="0" w:type="dxa"/>
            <w:right w:w="108" w:type="dxa"/>
          </w:tblCellMar>
        </w:tblPrEx>
        <w:trPr>
          <w:trHeight w:val="23" w:hRule="atLeast"/>
        </w:trPr>
        <w:tc>
          <w:tcPr>
            <w:tcW w:w="896" w:type="dxa"/>
            <w:tcBorders>
              <w:top w:val="single" w:color="auto" w:sz="4" w:space="0"/>
              <w:left w:val="single" w:color="auto" w:sz="4" w:space="0"/>
              <w:bottom w:val="single" w:color="auto" w:sz="4" w:space="0"/>
              <w:right w:val="single" w:color="auto" w:sz="4" w:space="0"/>
            </w:tcBorders>
            <w:vAlign w:val="center"/>
          </w:tcPr>
          <w:p w14:paraId="64BD1083">
            <w:pPr>
              <w:spacing w:line="360" w:lineRule="auto"/>
              <w:rPr>
                <w:rFonts w:ascii="仿宋_GB2312" w:hAnsi="仿宋_GB2312" w:eastAsia="仿宋_GB2312" w:cs="仿宋_GB2312"/>
                <w:sz w:val="30"/>
                <w:szCs w:val="30"/>
              </w:rPr>
            </w:pPr>
            <w:r>
              <w:rPr>
                <w:rFonts w:hint="eastAsia" w:ascii="仿宋_GB2312" w:hAnsi="仿宋_GB2312" w:eastAsia="仿宋_GB2312" w:cs="仿宋_GB2312"/>
                <w:sz w:val="30"/>
                <w:szCs w:val="30"/>
              </w:rPr>
              <w:t>要求</w:t>
            </w:r>
          </w:p>
          <w:p w14:paraId="247CDCC4">
            <w:pPr>
              <w:spacing w:line="360" w:lineRule="auto"/>
              <w:rPr>
                <w:rFonts w:ascii="仿宋_GB2312" w:hAnsi="仿宋_GB2312" w:eastAsia="仿宋_GB2312" w:cs="仿宋_GB2312"/>
                <w:sz w:val="30"/>
                <w:szCs w:val="30"/>
              </w:rPr>
            </w:pPr>
            <w:r>
              <w:rPr>
                <w:rFonts w:hint="eastAsia" w:ascii="仿宋_GB2312" w:hAnsi="仿宋_GB2312" w:eastAsia="仿宋_GB2312" w:cs="仿宋_GB2312"/>
                <w:sz w:val="30"/>
                <w:szCs w:val="30"/>
              </w:rPr>
              <w:t>性质</w:t>
            </w:r>
          </w:p>
        </w:tc>
        <w:tc>
          <w:tcPr>
            <w:tcW w:w="928" w:type="dxa"/>
            <w:tcBorders>
              <w:top w:val="single" w:color="auto" w:sz="4" w:space="0"/>
              <w:left w:val="nil"/>
              <w:bottom w:val="single" w:color="auto" w:sz="4" w:space="0"/>
              <w:right w:val="single" w:color="auto" w:sz="4" w:space="0"/>
            </w:tcBorders>
            <w:vAlign w:val="center"/>
          </w:tcPr>
          <w:p w14:paraId="68820F5F">
            <w:pPr>
              <w:spacing w:line="360" w:lineRule="auto"/>
              <w:rPr>
                <w:rFonts w:ascii="仿宋_GB2312" w:hAnsi="仿宋_GB2312" w:eastAsia="仿宋_GB2312" w:cs="仿宋_GB2312"/>
                <w:sz w:val="30"/>
                <w:szCs w:val="30"/>
              </w:rPr>
            </w:pPr>
            <w:r>
              <w:rPr>
                <w:rFonts w:hint="eastAsia" w:ascii="仿宋_GB2312" w:hAnsi="仿宋_GB2312" w:eastAsia="仿宋_GB2312" w:cs="仿宋_GB2312"/>
                <w:sz w:val="30"/>
                <w:szCs w:val="30"/>
              </w:rPr>
              <w:t>编号</w:t>
            </w:r>
          </w:p>
        </w:tc>
        <w:tc>
          <w:tcPr>
            <w:tcW w:w="7213" w:type="dxa"/>
            <w:tcBorders>
              <w:top w:val="single" w:color="auto" w:sz="4" w:space="0"/>
              <w:left w:val="nil"/>
              <w:bottom w:val="single" w:color="auto" w:sz="4" w:space="0"/>
              <w:right w:val="single" w:color="auto" w:sz="4" w:space="0"/>
            </w:tcBorders>
            <w:vAlign w:val="center"/>
          </w:tcPr>
          <w:p w14:paraId="721F0FFF">
            <w:pPr>
              <w:spacing w:line="360" w:lineRule="auto"/>
              <w:rPr>
                <w:rFonts w:ascii="仿宋_GB2312" w:hAnsi="仿宋_GB2312" w:eastAsia="仿宋_GB2312" w:cs="仿宋_GB2312"/>
                <w:sz w:val="30"/>
                <w:szCs w:val="30"/>
              </w:rPr>
            </w:pPr>
            <w:r>
              <w:rPr>
                <w:rFonts w:hint="eastAsia" w:ascii="仿宋_GB2312" w:hAnsi="仿宋_GB2312" w:eastAsia="仿宋_GB2312" w:cs="仿宋_GB2312"/>
                <w:sz w:val="30"/>
                <w:szCs w:val="30"/>
              </w:rPr>
              <w:t>具体服务要求及标准</w:t>
            </w:r>
          </w:p>
        </w:tc>
      </w:tr>
      <w:tr w14:paraId="0692CC07">
        <w:tblPrEx>
          <w:tblCellMar>
            <w:top w:w="0" w:type="dxa"/>
            <w:left w:w="108" w:type="dxa"/>
            <w:bottom w:w="0" w:type="dxa"/>
            <w:right w:w="108" w:type="dxa"/>
          </w:tblCellMar>
        </w:tblPrEx>
        <w:trPr>
          <w:trHeight w:val="23" w:hRule="atLeast"/>
        </w:trPr>
        <w:tc>
          <w:tcPr>
            <w:tcW w:w="896" w:type="dxa"/>
            <w:tcBorders>
              <w:top w:val="single" w:color="auto" w:sz="4" w:space="0"/>
              <w:left w:val="single" w:color="auto" w:sz="4" w:space="0"/>
              <w:bottom w:val="single" w:color="auto" w:sz="4" w:space="0"/>
              <w:right w:val="single" w:color="auto" w:sz="4" w:space="0"/>
            </w:tcBorders>
            <w:vAlign w:val="center"/>
          </w:tcPr>
          <w:p w14:paraId="1F4334D1">
            <w:pPr>
              <w:spacing w:line="360" w:lineRule="auto"/>
              <w:rPr>
                <w:rFonts w:ascii="仿宋_GB2312" w:hAnsi="仿宋_GB2312" w:eastAsia="仿宋_GB2312" w:cs="仿宋_GB2312"/>
                <w:sz w:val="30"/>
                <w:szCs w:val="30"/>
              </w:rPr>
            </w:pPr>
            <w:r>
              <w:rPr>
                <w:rFonts w:hint="eastAsia" w:ascii="仿宋_GB2312" w:hAnsi="仿宋_GB2312" w:eastAsia="仿宋_GB2312" w:cs="仿宋_GB2312"/>
                <w:sz w:val="30"/>
                <w:szCs w:val="30"/>
              </w:rPr>
              <w:t xml:space="preserve"> </w:t>
            </w:r>
          </w:p>
        </w:tc>
        <w:tc>
          <w:tcPr>
            <w:tcW w:w="928" w:type="dxa"/>
            <w:tcBorders>
              <w:top w:val="single" w:color="auto" w:sz="4" w:space="0"/>
              <w:left w:val="nil"/>
              <w:bottom w:val="single" w:color="auto" w:sz="4" w:space="0"/>
              <w:right w:val="single" w:color="auto" w:sz="4" w:space="0"/>
            </w:tcBorders>
            <w:vAlign w:val="center"/>
          </w:tcPr>
          <w:p w14:paraId="20C70551">
            <w:pPr>
              <w:spacing w:line="360" w:lineRule="auto"/>
              <w:rPr>
                <w:rFonts w:ascii="仿宋_GB2312" w:hAnsi="仿宋_GB2312" w:eastAsia="仿宋_GB2312" w:cs="仿宋_GB2312"/>
                <w:sz w:val="30"/>
                <w:szCs w:val="30"/>
              </w:rPr>
            </w:pPr>
            <w:r>
              <w:rPr>
                <w:rFonts w:hint="eastAsia" w:ascii="仿宋_GB2312" w:hAnsi="仿宋_GB2312" w:eastAsia="仿宋_GB2312" w:cs="仿宋_GB2312"/>
                <w:sz w:val="30"/>
                <w:szCs w:val="30"/>
              </w:rPr>
              <w:t>1</w:t>
            </w:r>
          </w:p>
        </w:tc>
        <w:tc>
          <w:tcPr>
            <w:tcW w:w="7213" w:type="dxa"/>
            <w:tcBorders>
              <w:top w:val="single" w:color="auto" w:sz="4" w:space="0"/>
              <w:left w:val="nil"/>
              <w:bottom w:val="single" w:color="auto" w:sz="4" w:space="0"/>
              <w:right w:val="single" w:color="auto" w:sz="4" w:space="0"/>
            </w:tcBorders>
            <w:vAlign w:val="center"/>
          </w:tcPr>
          <w:p w14:paraId="7F86665B">
            <w:pPr>
              <w:spacing w:line="360" w:lineRule="auto"/>
              <w:rPr>
                <w:rFonts w:ascii="仿宋_GB2312" w:hAnsi="仿宋_GB2312" w:eastAsia="仿宋_GB2312" w:cs="仿宋_GB2312"/>
                <w:sz w:val="30"/>
                <w:szCs w:val="30"/>
              </w:rPr>
            </w:pPr>
            <w:r>
              <w:rPr>
                <w:rFonts w:hint="eastAsia" w:ascii="仿宋_GB2312" w:hAnsi="仿宋_GB2312" w:eastAsia="仿宋_GB2312" w:cs="仿宋_GB2312"/>
                <w:sz w:val="30"/>
                <w:szCs w:val="30"/>
              </w:rPr>
              <w:t>严格按照国家、自治区及鄂尔多斯市现行消防规范、规程做好消防系统的维保、检测工作。</w:t>
            </w:r>
          </w:p>
        </w:tc>
      </w:tr>
      <w:tr w14:paraId="4A72B4E2">
        <w:tblPrEx>
          <w:tblCellMar>
            <w:top w:w="0" w:type="dxa"/>
            <w:left w:w="108" w:type="dxa"/>
            <w:bottom w:w="0" w:type="dxa"/>
            <w:right w:w="108" w:type="dxa"/>
          </w:tblCellMar>
        </w:tblPrEx>
        <w:trPr>
          <w:trHeight w:val="23" w:hRule="atLeast"/>
        </w:trPr>
        <w:tc>
          <w:tcPr>
            <w:tcW w:w="896" w:type="dxa"/>
            <w:tcBorders>
              <w:top w:val="single" w:color="auto" w:sz="4" w:space="0"/>
              <w:left w:val="single" w:color="auto" w:sz="4" w:space="0"/>
              <w:bottom w:val="single" w:color="auto" w:sz="4" w:space="0"/>
              <w:right w:val="single" w:color="auto" w:sz="4" w:space="0"/>
            </w:tcBorders>
            <w:vAlign w:val="center"/>
          </w:tcPr>
          <w:p w14:paraId="5E554381">
            <w:pPr>
              <w:spacing w:line="360" w:lineRule="auto"/>
              <w:rPr>
                <w:rFonts w:ascii="仿宋_GB2312" w:hAnsi="仿宋_GB2312" w:eastAsia="仿宋_GB2312" w:cs="仿宋_GB2312"/>
                <w:sz w:val="30"/>
                <w:szCs w:val="30"/>
              </w:rPr>
            </w:pPr>
            <w:r>
              <w:rPr>
                <w:rFonts w:hint="eastAsia" w:ascii="仿宋_GB2312" w:hAnsi="仿宋_GB2312" w:eastAsia="仿宋_GB2312" w:cs="仿宋_GB2312"/>
                <w:sz w:val="30"/>
                <w:szCs w:val="30"/>
              </w:rPr>
              <w:t>*</w:t>
            </w:r>
          </w:p>
        </w:tc>
        <w:tc>
          <w:tcPr>
            <w:tcW w:w="928" w:type="dxa"/>
            <w:tcBorders>
              <w:top w:val="single" w:color="auto" w:sz="4" w:space="0"/>
              <w:left w:val="nil"/>
              <w:bottom w:val="single" w:color="auto" w:sz="4" w:space="0"/>
              <w:right w:val="single" w:color="auto" w:sz="4" w:space="0"/>
            </w:tcBorders>
            <w:vAlign w:val="center"/>
          </w:tcPr>
          <w:p w14:paraId="527F1B5D">
            <w:pPr>
              <w:spacing w:line="360" w:lineRule="auto"/>
              <w:rPr>
                <w:rFonts w:ascii="仿宋_GB2312" w:hAnsi="仿宋_GB2312" w:eastAsia="仿宋_GB2312" w:cs="仿宋_GB2312"/>
                <w:sz w:val="30"/>
                <w:szCs w:val="30"/>
              </w:rPr>
            </w:pPr>
            <w:r>
              <w:rPr>
                <w:rFonts w:hint="eastAsia" w:ascii="仿宋_GB2312" w:hAnsi="仿宋_GB2312" w:eastAsia="仿宋_GB2312" w:cs="仿宋_GB2312"/>
                <w:sz w:val="30"/>
                <w:szCs w:val="30"/>
              </w:rPr>
              <w:t>2</w:t>
            </w:r>
          </w:p>
        </w:tc>
        <w:tc>
          <w:tcPr>
            <w:tcW w:w="7213" w:type="dxa"/>
            <w:tcBorders>
              <w:top w:val="single" w:color="auto" w:sz="4" w:space="0"/>
              <w:left w:val="nil"/>
              <w:bottom w:val="single" w:color="auto" w:sz="4" w:space="0"/>
              <w:right w:val="single" w:color="auto" w:sz="4" w:space="0"/>
            </w:tcBorders>
            <w:vAlign w:val="center"/>
          </w:tcPr>
          <w:p w14:paraId="1BB6F74C">
            <w:pPr>
              <w:spacing w:line="360" w:lineRule="auto"/>
              <w:rPr>
                <w:rFonts w:ascii="仿宋_GB2312" w:hAnsi="仿宋_GB2312" w:eastAsia="仿宋_GB2312" w:cs="仿宋_GB2312"/>
                <w:sz w:val="30"/>
                <w:szCs w:val="30"/>
              </w:rPr>
            </w:pPr>
            <w:r>
              <w:rPr>
                <w:rFonts w:hint="eastAsia" w:ascii="仿宋_GB2312" w:hAnsi="仿宋_GB2312" w:eastAsia="仿宋_GB2312" w:cs="仿宋_GB2312"/>
                <w:sz w:val="30"/>
                <w:szCs w:val="30"/>
              </w:rPr>
              <w:t>安排本项目的项目负责人1人，必须具备在投标单位注册的合格有效的一级注册消防工程师执业证书。标书中需提供扫描件。</w:t>
            </w:r>
          </w:p>
        </w:tc>
      </w:tr>
      <w:tr w14:paraId="6FBD7009">
        <w:tblPrEx>
          <w:tblCellMar>
            <w:top w:w="0" w:type="dxa"/>
            <w:left w:w="108" w:type="dxa"/>
            <w:bottom w:w="0" w:type="dxa"/>
            <w:right w:w="108" w:type="dxa"/>
          </w:tblCellMar>
        </w:tblPrEx>
        <w:trPr>
          <w:trHeight w:val="23" w:hRule="atLeast"/>
        </w:trPr>
        <w:tc>
          <w:tcPr>
            <w:tcW w:w="896" w:type="dxa"/>
            <w:tcBorders>
              <w:top w:val="single" w:color="auto" w:sz="4" w:space="0"/>
              <w:left w:val="single" w:color="auto" w:sz="4" w:space="0"/>
              <w:bottom w:val="single" w:color="auto" w:sz="4" w:space="0"/>
              <w:right w:val="single" w:color="auto" w:sz="4" w:space="0"/>
            </w:tcBorders>
            <w:vAlign w:val="center"/>
          </w:tcPr>
          <w:p w14:paraId="3CAE4F49">
            <w:pPr>
              <w:spacing w:line="360" w:lineRule="auto"/>
              <w:rPr>
                <w:rFonts w:ascii="仿宋_GB2312" w:hAnsi="仿宋_GB2312" w:eastAsia="仿宋_GB2312" w:cs="仿宋_GB2312"/>
                <w:sz w:val="30"/>
                <w:szCs w:val="30"/>
              </w:rPr>
            </w:pPr>
            <w:r>
              <w:rPr>
                <w:rFonts w:hint="eastAsia" w:ascii="仿宋_GB2312" w:hAnsi="仿宋_GB2312" w:eastAsia="仿宋_GB2312" w:cs="仿宋_GB2312"/>
                <w:sz w:val="30"/>
                <w:szCs w:val="30"/>
              </w:rPr>
              <w:t>*</w:t>
            </w:r>
          </w:p>
        </w:tc>
        <w:tc>
          <w:tcPr>
            <w:tcW w:w="928" w:type="dxa"/>
            <w:tcBorders>
              <w:top w:val="single" w:color="auto" w:sz="4" w:space="0"/>
              <w:left w:val="nil"/>
              <w:bottom w:val="single" w:color="auto" w:sz="4" w:space="0"/>
              <w:right w:val="single" w:color="auto" w:sz="4" w:space="0"/>
            </w:tcBorders>
            <w:vAlign w:val="center"/>
          </w:tcPr>
          <w:p w14:paraId="165C9319">
            <w:pPr>
              <w:spacing w:line="360" w:lineRule="auto"/>
              <w:rPr>
                <w:rFonts w:ascii="仿宋_GB2312" w:hAnsi="仿宋_GB2312" w:eastAsia="仿宋_GB2312" w:cs="仿宋_GB2312"/>
                <w:sz w:val="30"/>
                <w:szCs w:val="30"/>
              </w:rPr>
            </w:pPr>
            <w:r>
              <w:rPr>
                <w:rFonts w:hint="eastAsia" w:ascii="仿宋_GB2312" w:hAnsi="仿宋_GB2312" w:eastAsia="仿宋_GB2312" w:cs="仿宋_GB2312"/>
                <w:sz w:val="30"/>
                <w:szCs w:val="30"/>
              </w:rPr>
              <w:t>3</w:t>
            </w:r>
          </w:p>
        </w:tc>
        <w:tc>
          <w:tcPr>
            <w:tcW w:w="7213" w:type="dxa"/>
            <w:tcBorders>
              <w:top w:val="single" w:color="auto" w:sz="4" w:space="0"/>
              <w:left w:val="nil"/>
              <w:bottom w:val="single" w:color="auto" w:sz="4" w:space="0"/>
              <w:right w:val="single" w:color="auto" w:sz="4" w:space="0"/>
            </w:tcBorders>
            <w:vAlign w:val="center"/>
          </w:tcPr>
          <w:p w14:paraId="7DF6F3BE">
            <w:pPr>
              <w:spacing w:line="360" w:lineRule="auto"/>
              <w:rPr>
                <w:rFonts w:hint="eastAsia" w:ascii="仿宋_GB2312" w:hAnsi="仿宋_GB2312" w:eastAsia="仿宋_GB2312" w:cs="仿宋_GB2312"/>
                <w:sz w:val="30"/>
                <w:szCs w:val="30"/>
              </w:rPr>
            </w:pPr>
            <w:r>
              <w:rPr>
                <w:rFonts w:hint="eastAsia" w:ascii="仿宋_GB2312" w:hAnsi="仿宋_GB2312" w:eastAsia="仿宋_GB2312" w:cs="仿宋_GB2312"/>
                <w:sz w:val="30"/>
                <w:szCs w:val="30"/>
              </w:rPr>
              <w:t>东康两部驻场4名工作人员值班，</w:t>
            </w:r>
            <w:r>
              <w:rPr>
                <w:rFonts w:hint="eastAsia" w:ascii="仿宋_GB2312" w:hAnsi="仿宋_GB2312" w:eastAsia="仿宋_GB2312" w:cs="仿宋_GB2312"/>
                <w:sz w:val="30"/>
                <w:szCs w:val="30"/>
                <w:lang w:val="en-US" w:eastAsia="zh-CN"/>
              </w:rPr>
              <w:t>每班2人值班，</w:t>
            </w:r>
            <w:r>
              <w:rPr>
                <w:rFonts w:hint="eastAsia" w:ascii="仿宋_GB2312" w:hAnsi="仿宋_GB2312" w:eastAsia="仿宋_GB2312" w:cs="仿宋_GB2312"/>
                <w:sz w:val="30"/>
                <w:szCs w:val="30"/>
              </w:rPr>
              <w:t>持有有效的中级建（构）筑物消防员证书或消防设施操作员国家职业资格证书，标书中需提供扫描件。</w:t>
            </w:r>
          </w:p>
          <w:p w14:paraId="24A62F78">
            <w:pPr>
              <w:spacing w:line="360" w:lineRule="auto"/>
              <w:rPr>
                <w:rFonts w:hint="eastAsia" w:ascii="仿宋_GB2312" w:hAnsi="仿宋_GB2312" w:eastAsia="仿宋_GB2312" w:cs="仿宋_GB2312"/>
                <w:sz w:val="30"/>
                <w:szCs w:val="30"/>
              </w:rPr>
            </w:pPr>
            <w:r>
              <w:rPr>
                <w:rFonts w:hint="eastAsia" w:ascii="仿宋_GB2312" w:hAnsi="仿宋_GB2312" w:eastAsia="仿宋_GB2312" w:cs="仿宋_GB2312"/>
                <w:sz w:val="30"/>
                <w:szCs w:val="30"/>
              </w:rPr>
              <w:t>值班人员必须能处理系统一般故障，如更</w:t>
            </w:r>
            <w:r>
              <w:rPr>
                <w:rFonts w:hint="eastAsia" w:ascii="仿宋_GB2312" w:hAnsi="仿宋_GB2312" w:eastAsia="仿宋_GB2312" w:cs="仿宋_GB2312"/>
                <w:sz w:val="30"/>
                <w:szCs w:val="30"/>
                <w:lang w:val="en-US" w:eastAsia="zh-CN"/>
              </w:rPr>
              <w:t>换</w:t>
            </w:r>
            <w:r>
              <w:rPr>
                <w:rFonts w:hint="eastAsia" w:ascii="仿宋_GB2312" w:hAnsi="仿宋_GB2312" w:eastAsia="仿宋_GB2312" w:cs="仿宋_GB2312"/>
                <w:sz w:val="30"/>
                <w:szCs w:val="30"/>
              </w:rPr>
              <w:t>感烟、感温、疏散指示灯</w:t>
            </w:r>
            <w:r>
              <w:rPr>
                <w:rFonts w:hint="eastAsia" w:ascii="仿宋_GB2312" w:hAnsi="仿宋_GB2312" w:eastAsia="仿宋_GB2312" w:cs="仿宋_GB2312"/>
                <w:sz w:val="30"/>
                <w:szCs w:val="30"/>
                <w:lang w:eastAsia="zh-CN"/>
              </w:rPr>
              <w:t>、</w:t>
            </w:r>
            <w:r>
              <w:rPr>
                <w:rFonts w:hint="eastAsia" w:ascii="仿宋_GB2312" w:hAnsi="仿宋_GB2312" w:eastAsia="仿宋_GB2312" w:cs="仿宋_GB2312"/>
                <w:sz w:val="30"/>
                <w:szCs w:val="30"/>
              </w:rPr>
              <w:t>安全出口灯</w:t>
            </w:r>
            <w:r>
              <w:rPr>
                <w:rFonts w:hint="eastAsia" w:ascii="仿宋_GB2312" w:hAnsi="仿宋_GB2312" w:eastAsia="仿宋_GB2312" w:cs="仿宋_GB2312"/>
                <w:sz w:val="30"/>
                <w:szCs w:val="30"/>
                <w:lang w:eastAsia="zh-CN"/>
              </w:rPr>
              <w:t>、</w:t>
            </w:r>
            <w:r>
              <w:rPr>
                <w:rFonts w:hint="eastAsia" w:ascii="仿宋_GB2312" w:hAnsi="仿宋_GB2312" w:eastAsia="仿宋_GB2312" w:cs="仿宋_GB2312"/>
                <w:sz w:val="30"/>
                <w:szCs w:val="30"/>
              </w:rPr>
              <w:t>水带</w:t>
            </w:r>
            <w:r>
              <w:rPr>
                <w:rFonts w:hint="eastAsia" w:ascii="仿宋_GB2312" w:hAnsi="仿宋_GB2312" w:eastAsia="仿宋_GB2312" w:cs="仿宋_GB2312"/>
                <w:sz w:val="30"/>
                <w:szCs w:val="30"/>
                <w:lang w:eastAsia="zh-CN"/>
              </w:rPr>
              <w:t>、</w:t>
            </w:r>
            <w:r>
              <w:rPr>
                <w:rFonts w:hint="eastAsia" w:ascii="仿宋_GB2312" w:hAnsi="仿宋_GB2312" w:eastAsia="仿宋_GB2312" w:cs="仿宋_GB2312"/>
                <w:sz w:val="30"/>
                <w:szCs w:val="30"/>
                <w:lang w:val="en-US" w:eastAsia="zh-CN"/>
              </w:rPr>
              <w:t>喷淋头</w:t>
            </w:r>
            <w:r>
              <w:rPr>
                <w:rFonts w:hint="eastAsia" w:ascii="仿宋_GB2312" w:hAnsi="仿宋_GB2312" w:eastAsia="仿宋_GB2312" w:cs="仿宋_GB2312"/>
                <w:sz w:val="30"/>
                <w:szCs w:val="30"/>
              </w:rPr>
              <w:t>等</w:t>
            </w:r>
            <w:r>
              <w:rPr>
                <w:rFonts w:hint="eastAsia" w:ascii="仿宋_GB2312" w:hAnsi="仿宋_GB2312" w:eastAsia="仿宋_GB2312" w:cs="仿宋_GB2312"/>
                <w:sz w:val="30"/>
                <w:szCs w:val="30"/>
                <w:lang w:eastAsia="zh-CN"/>
              </w:rPr>
              <w:t>，</w:t>
            </w:r>
            <w:r>
              <w:rPr>
                <w:rFonts w:hint="eastAsia" w:ascii="仿宋_GB2312" w:hAnsi="仿宋_GB2312" w:eastAsia="仿宋_GB2312" w:cs="仿宋_GB2312"/>
                <w:sz w:val="30"/>
                <w:szCs w:val="30"/>
                <w:lang w:val="en-US" w:eastAsia="zh-CN"/>
              </w:rPr>
              <w:t>处理系统故障</w:t>
            </w:r>
            <w:r>
              <w:rPr>
                <w:rFonts w:hint="eastAsia" w:ascii="仿宋_GB2312" w:hAnsi="仿宋_GB2312" w:eastAsia="仿宋_GB2312" w:cs="仿宋_GB2312"/>
                <w:sz w:val="30"/>
                <w:szCs w:val="30"/>
              </w:rPr>
              <w:t>。</w:t>
            </w:r>
          </w:p>
          <w:p w14:paraId="38D530F9">
            <w:pPr>
              <w:spacing w:line="360" w:lineRule="auto"/>
              <w:rPr>
                <w:rFonts w:ascii="仿宋_GB2312" w:hAnsi="仿宋_GB2312" w:eastAsia="仿宋_GB2312" w:cs="仿宋_GB2312"/>
                <w:sz w:val="30"/>
                <w:szCs w:val="30"/>
              </w:rPr>
            </w:pPr>
            <w:r>
              <w:rPr>
                <w:rFonts w:hint="eastAsia" w:ascii="仿宋_GB2312" w:hAnsi="仿宋_GB2312" w:eastAsia="仿宋_GB2312" w:cs="仿宋_GB2312"/>
                <w:sz w:val="30"/>
                <w:szCs w:val="30"/>
              </w:rPr>
              <w:t>东康两部维保人员每月至少提供两次维保服务，每次至少2人共同作业。每次维保服务人员需向保卫科进行维保备案。</w:t>
            </w:r>
          </w:p>
        </w:tc>
      </w:tr>
      <w:tr w14:paraId="2D224CF9">
        <w:tblPrEx>
          <w:tblCellMar>
            <w:top w:w="0" w:type="dxa"/>
            <w:left w:w="108" w:type="dxa"/>
            <w:bottom w:w="0" w:type="dxa"/>
            <w:right w:w="108" w:type="dxa"/>
          </w:tblCellMar>
        </w:tblPrEx>
        <w:trPr>
          <w:trHeight w:val="23" w:hRule="atLeast"/>
        </w:trPr>
        <w:tc>
          <w:tcPr>
            <w:tcW w:w="896" w:type="dxa"/>
            <w:tcBorders>
              <w:top w:val="single" w:color="auto" w:sz="4" w:space="0"/>
              <w:left w:val="single" w:color="auto" w:sz="4" w:space="0"/>
              <w:bottom w:val="single" w:color="auto" w:sz="4" w:space="0"/>
              <w:right w:val="single" w:color="auto" w:sz="4" w:space="0"/>
            </w:tcBorders>
            <w:vAlign w:val="center"/>
          </w:tcPr>
          <w:p w14:paraId="4D056D45">
            <w:pPr>
              <w:spacing w:line="360" w:lineRule="auto"/>
              <w:rPr>
                <w:rFonts w:ascii="仿宋_GB2312" w:hAnsi="仿宋_GB2312" w:eastAsia="仿宋_GB2312" w:cs="仿宋_GB2312"/>
                <w:sz w:val="30"/>
                <w:szCs w:val="30"/>
              </w:rPr>
            </w:pPr>
          </w:p>
        </w:tc>
        <w:tc>
          <w:tcPr>
            <w:tcW w:w="928" w:type="dxa"/>
            <w:tcBorders>
              <w:top w:val="single" w:color="auto" w:sz="4" w:space="0"/>
              <w:left w:val="nil"/>
              <w:bottom w:val="single" w:color="auto" w:sz="4" w:space="0"/>
              <w:right w:val="single" w:color="auto" w:sz="4" w:space="0"/>
            </w:tcBorders>
            <w:vAlign w:val="center"/>
          </w:tcPr>
          <w:p w14:paraId="3AF79CE0">
            <w:pPr>
              <w:spacing w:line="360" w:lineRule="auto"/>
              <w:rPr>
                <w:rFonts w:ascii="仿宋_GB2312" w:hAnsi="仿宋_GB2312" w:eastAsia="仿宋_GB2312" w:cs="仿宋_GB2312"/>
                <w:sz w:val="30"/>
                <w:szCs w:val="30"/>
              </w:rPr>
            </w:pPr>
            <w:r>
              <w:rPr>
                <w:rFonts w:hint="eastAsia" w:ascii="仿宋_GB2312" w:hAnsi="仿宋_GB2312" w:eastAsia="仿宋_GB2312" w:cs="仿宋_GB2312"/>
                <w:sz w:val="30"/>
                <w:szCs w:val="30"/>
              </w:rPr>
              <w:t>4</w:t>
            </w:r>
          </w:p>
        </w:tc>
        <w:tc>
          <w:tcPr>
            <w:tcW w:w="7213" w:type="dxa"/>
            <w:tcBorders>
              <w:top w:val="single" w:color="auto" w:sz="4" w:space="0"/>
              <w:left w:val="nil"/>
              <w:bottom w:val="single" w:color="auto" w:sz="4" w:space="0"/>
              <w:right w:val="single" w:color="auto" w:sz="4" w:space="0"/>
            </w:tcBorders>
            <w:vAlign w:val="center"/>
          </w:tcPr>
          <w:p w14:paraId="605C130B">
            <w:pPr>
              <w:spacing w:line="360" w:lineRule="auto"/>
              <w:rPr>
                <w:rFonts w:ascii="仿宋_GB2312" w:hAnsi="仿宋_GB2312" w:eastAsia="仿宋_GB2312" w:cs="仿宋_GB2312"/>
                <w:sz w:val="30"/>
                <w:szCs w:val="30"/>
              </w:rPr>
            </w:pPr>
            <w:r>
              <w:rPr>
                <w:rFonts w:hint="eastAsia" w:ascii="仿宋_GB2312" w:hAnsi="仿宋_GB2312" w:eastAsia="仿宋_GB2312" w:cs="仿宋_GB2312"/>
                <w:sz w:val="30"/>
                <w:szCs w:val="30"/>
              </w:rPr>
              <w:t>投标单位编制详细的东康两部维保方案、维保计划，严格按维保方案定期维护保养、测试。</w:t>
            </w:r>
          </w:p>
        </w:tc>
      </w:tr>
      <w:tr w14:paraId="1916CA67">
        <w:tblPrEx>
          <w:tblCellMar>
            <w:top w:w="0" w:type="dxa"/>
            <w:left w:w="108" w:type="dxa"/>
            <w:bottom w:w="0" w:type="dxa"/>
            <w:right w:w="108" w:type="dxa"/>
          </w:tblCellMar>
        </w:tblPrEx>
        <w:trPr>
          <w:trHeight w:val="23" w:hRule="atLeast"/>
        </w:trPr>
        <w:tc>
          <w:tcPr>
            <w:tcW w:w="896" w:type="dxa"/>
            <w:tcBorders>
              <w:top w:val="single" w:color="auto" w:sz="4" w:space="0"/>
              <w:left w:val="single" w:color="auto" w:sz="4" w:space="0"/>
              <w:bottom w:val="single" w:color="auto" w:sz="4" w:space="0"/>
              <w:right w:val="single" w:color="auto" w:sz="4" w:space="0"/>
            </w:tcBorders>
            <w:vAlign w:val="center"/>
          </w:tcPr>
          <w:p w14:paraId="0535FC13">
            <w:pPr>
              <w:spacing w:line="360" w:lineRule="auto"/>
              <w:rPr>
                <w:rFonts w:ascii="仿宋_GB2312" w:hAnsi="仿宋_GB2312" w:eastAsia="仿宋_GB2312" w:cs="仿宋_GB2312"/>
                <w:sz w:val="30"/>
                <w:szCs w:val="30"/>
              </w:rPr>
            </w:pPr>
          </w:p>
        </w:tc>
        <w:tc>
          <w:tcPr>
            <w:tcW w:w="928" w:type="dxa"/>
            <w:tcBorders>
              <w:top w:val="single" w:color="auto" w:sz="4" w:space="0"/>
              <w:left w:val="nil"/>
              <w:bottom w:val="single" w:color="auto" w:sz="4" w:space="0"/>
              <w:right w:val="single" w:color="auto" w:sz="4" w:space="0"/>
            </w:tcBorders>
            <w:vAlign w:val="center"/>
          </w:tcPr>
          <w:p w14:paraId="43661388">
            <w:pPr>
              <w:spacing w:line="360" w:lineRule="auto"/>
              <w:rPr>
                <w:rFonts w:ascii="仿宋_GB2312" w:hAnsi="仿宋_GB2312" w:eastAsia="仿宋_GB2312" w:cs="仿宋_GB2312"/>
                <w:sz w:val="30"/>
                <w:szCs w:val="30"/>
              </w:rPr>
            </w:pPr>
            <w:r>
              <w:rPr>
                <w:rFonts w:hint="eastAsia" w:ascii="仿宋_GB2312" w:hAnsi="仿宋_GB2312" w:eastAsia="仿宋_GB2312" w:cs="仿宋_GB2312"/>
                <w:sz w:val="30"/>
                <w:szCs w:val="30"/>
              </w:rPr>
              <w:t>5</w:t>
            </w:r>
          </w:p>
        </w:tc>
        <w:tc>
          <w:tcPr>
            <w:tcW w:w="7213" w:type="dxa"/>
            <w:tcBorders>
              <w:top w:val="single" w:color="auto" w:sz="4" w:space="0"/>
              <w:left w:val="nil"/>
              <w:bottom w:val="single" w:color="auto" w:sz="4" w:space="0"/>
              <w:right w:val="single" w:color="auto" w:sz="4" w:space="0"/>
            </w:tcBorders>
            <w:vAlign w:val="center"/>
          </w:tcPr>
          <w:p w14:paraId="218D0F81">
            <w:pPr>
              <w:spacing w:line="360" w:lineRule="auto"/>
              <w:rPr>
                <w:rFonts w:ascii="仿宋_GB2312" w:hAnsi="仿宋_GB2312" w:eastAsia="仿宋_GB2312" w:cs="仿宋_GB2312"/>
                <w:sz w:val="30"/>
                <w:szCs w:val="30"/>
              </w:rPr>
            </w:pPr>
            <w:r>
              <w:rPr>
                <w:rFonts w:hint="eastAsia" w:ascii="仿宋_GB2312" w:hAnsi="仿宋_GB2312" w:eastAsia="仿宋_GB2312" w:cs="仿宋_GB2312"/>
                <w:sz w:val="30"/>
                <w:szCs w:val="30"/>
              </w:rPr>
              <w:t>24小时工作制。故障时维修人员随叫随到，全天24小时服务。</w:t>
            </w:r>
          </w:p>
        </w:tc>
      </w:tr>
      <w:tr w14:paraId="23BB2F2D">
        <w:tblPrEx>
          <w:tblCellMar>
            <w:top w:w="0" w:type="dxa"/>
            <w:left w:w="108" w:type="dxa"/>
            <w:bottom w:w="0" w:type="dxa"/>
            <w:right w:w="108" w:type="dxa"/>
          </w:tblCellMar>
        </w:tblPrEx>
        <w:trPr>
          <w:trHeight w:val="23" w:hRule="atLeast"/>
        </w:trPr>
        <w:tc>
          <w:tcPr>
            <w:tcW w:w="896" w:type="dxa"/>
            <w:tcBorders>
              <w:top w:val="single" w:color="auto" w:sz="4" w:space="0"/>
              <w:left w:val="single" w:color="auto" w:sz="4" w:space="0"/>
              <w:bottom w:val="single" w:color="auto" w:sz="4" w:space="0"/>
              <w:right w:val="single" w:color="auto" w:sz="4" w:space="0"/>
            </w:tcBorders>
            <w:vAlign w:val="center"/>
          </w:tcPr>
          <w:p w14:paraId="7556758E">
            <w:pPr>
              <w:spacing w:line="360" w:lineRule="auto"/>
              <w:rPr>
                <w:rFonts w:ascii="仿宋_GB2312" w:hAnsi="仿宋_GB2312" w:eastAsia="仿宋_GB2312" w:cs="仿宋_GB2312"/>
                <w:sz w:val="30"/>
                <w:szCs w:val="30"/>
              </w:rPr>
            </w:pPr>
            <w:r>
              <w:rPr>
                <w:rFonts w:hint="eastAsia" w:ascii="仿宋_GB2312" w:hAnsi="仿宋_GB2312" w:eastAsia="仿宋_GB2312" w:cs="仿宋_GB2312"/>
                <w:sz w:val="30"/>
                <w:szCs w:val="30"/>
              </w:rPr>
              <w:t>*</w:t>
            </w:r>
          </w:p>
        </w:tc>
        <w:tc>
          <w:tcPr>
            <w:tcW w:w="928" w:type="dxa"/>
            <w:tcBorders>
              <w:top w:val="single" w:color="auto" w:sz="4" w:space="0"/>
              <w:left w:val="nil"/>
              <w:bottom w:val="single" w:color="auto" w:sz="4" w:space="0"/>
              <w:right w:val="single" w:color="auto" w:sz="4" w:space="0"/>
            </w:tcBorders>
            <w:vAlign w:val="center"/>
          </w:tcPr>
          <w:p w14:paraId="152C953B">
            <w:pPr>
              <w:spacing w:line="360" w:lineRule="auto"/>
              <w:rPr>
                <w:rFonts w:ascii="仿宋_GB2312" w:hAnsi="仿宋_GB2312" w:eastAsia="仿宋_GB2312" w:cs="仿宋_GB2312"/>
                <w:sz w:val="30"/>
                <w:szCs w:val="30"/>
              </w:rPr>
            </w:pPr>
            <w:r>
              <w:rPr>
                <w:rFonts w:hint="eastAsia" w:ascii="仿宋_GB2312" w:hAnsi="仿宋_GB2312" w:eastAsia="仿宋_GB2312" w:cs="仿宋_GB2312"/>
                <w:sz w:val="30"/>
                <w:szCs w:val="30"/>
              </w:rPr>
              <w:t>6</w:t>
            </w:r>
          </w:p>
        </w:tc>
        <w:tc>
          <w:tcPr>
            <w:tcW w:w="7213" w:type="dxa"/>
            <w:tcBorders>
              <w:top w:val="single" w:color="auto" w:sz="4" w:space="0"/>
              <w:left w:val="nil"/>
              <w:bottom w:val="single" w:color="auto" w:sz="4" w:space="0"/>
              <w:right w:val="single" w:color="auto" w:sz="4" w:space="0"/>
            </w:tcBorders>
            <w:vAlign w:val="center"/>
          </w:tcPr>
          <w:p w14:paraId="4EE98DF1">
            <w:pPr>
              <w:spacing w:line="360" w:lineRule="auto"/>
              <w:rPr>
                <w:rFonts w:ascii="仿宋_GB2312" w:hAnsi="仿宋_GB2312" w:eastAsia="仿宋_GB2312" w:cs="仿宋_GB2312"/>
                <w:sz w:val="30"/>
                <w:szCs w:val="30"/>
              </w:rPr>
            </w:pPr>
            <w:r>
              <w:rPr>
                <w:rFonts w:hint="eastAsia" w:ascii="仿宋_GB2312" w:hAnsi="仿宋_GB2312" w:eastAsia="仿宋_GB2312" w:cs="仿宋_GB2312"/>
                <w:sz w:val="30"/>
                <w:szCs w:val="30"/>
              </w:rPr>
              <w:t>故障维修完成时间：设备误报，到现场立即解决（10分钟内）；一般故障2小时内解决；较大故障12小时内解决；重大故障48小时内解决，确实无法在规定时间内完成的，投标单位需出专门报告，说明原因和方法，并妥善做足善后措施，确保医院的防火安全。</w:t>
            </w:r>
          </w:p>
        </w:tc>
      </w:tr>
      <w:tr w14:paraId="207C0FD8">
        <w:tblPrEx>
          <w:tblCellMar>
            <w:top w:w="0" w:type="dxa"/>
            <w:left w:w="108" w:type="dxa"/>
            <w:bottom w:w="0" w:type="dxa"/>
            <w:right w:w="108" w:type="dxa"/>
          </w:tblCellMar>
        </w:tblPrEx>
        <w:trPr>
          <w:trHeight w:val="23" w:hRule="atLeast"/>
        </w:trPr>
        <w:tc>
          <w:tcPr>
            <w:tcW w:w="896" w:type="dxa"/>
            <w:tcBorders>
              <w:top w:val="single" w:color="auto" w:sz="4" w:space="0"/>
              <w:left w:val="single" w:color="auto" w:sz="4" w:space="0"/>
              <w:bottom w:val="single" w:color="auto" w:sz="4" w:space="0"/>
              <w:right w:val="single" w:color="auto" w:sz="4" w:space="0"/>
            </w:tcBorders>
            <w:vAlign w:val="center"/>
          </w:tcPr>
          <w:p w14:paraId="3DFAC635">
            <w:pPr>
              <w:spacing w:line="360" w:lineRule="auto"/>
              <w:rPr>
                <w:rFonts w:ascii="仿宋_GB2312" w:hAnsi="仿宋_GB2312" w:eastAsia="仿宋_GB2312" w:cs="仿宋_GB2312"/>
                <w:sz w:val="30"/>
                <w:szCs w:val="30"/>
              </w:rPr>
            </w:pPr>
          </w:p>
        </w:tc>
        <w:tc>
          <w:tcPr>
            <w:tcW w:w="928" w:type="dxa"/>
            <w:tcBorders>
              <w:top w:val="single" w:color="auto" w:sz="4" w:space="0"/>
              <w:left w:val="nil"/>
              <w:bottom w:val="single" w:color="auto" w:sz="4" w:space="0"/>
              <w:right w:val="single" w:color="auto" w:sz="4" w:space="0"/>
            </w:tcBorders>
            <w:vAlign w:val="center"/>
          </w:tcPr>
          <w:p w14:paraId="51B83A17">
            <w:pPr>
              <w:spacing w:line="360" w:lineRule="auto"/>
              <w:rPr>
                <w:rFonts w:ascii="仿宋_GB2312" w:hAnsi="仿宋_GB2312" w:eastAsia="仿宋_GB2312" w:cs="仿宋_GB2312"/>
                <w:sz w:val="30"/>
                <w:szCs w:val="30"/>
              </w:rPr>
            </w:pPr>
            <w:r>
              <w:rPr>
                <w:rFonts w:hint="eastAsia" w:ascii="仿宋_GB2312" w:hAnsi="仿宋_GB2312" w:eastAsia="仿宋_GB2312" w:cs="仿宋_GB2312"/>
                <w:sz w:val="30"/>
                <w:szCs w:val="30"/>
              </w:rPr>
              <w:t>7</w:t>
            </w:r>
          </w:p>
        </w:tc>
        <w:tc>
          <w:tcPr>
            <w:tcW w:w="7213" w:type="dxa"/>
            <w:tcBorders>
              <w:top w:val="single" w:color="auto" w:sz="4" w:space="0"/>
              <w:left w:val="nil"/>
              <w:bottom w:val="single" w:color="auto" w:sz="4" w:space="0"/>
              <w:right w:val="single" w:color="auto" w:sz="4" w:space="0"/>
            </w:tcBorders>
            <w:vAlign w:val="center"/>
          </w:tcPr>
          <w:p w14:paraId="7F88DC96">
            <w:pPr>
              <w:spacing w:line="360" w:lineRule="auto"/>
              <w:rPr>
                <w:rFonts w:ascii="仿宋_GB2312" w:hAnsi="仿宋_GB2312" w:eastAsia="仿宋_GB2312" w:cs="仿宋_GB2312"/>
                <w:sz w:val="30"/>
                <w:szCs w:val="30"/>
              </w:rPr>
            </w:pPr>
            <w:r>
              <w:rPr>
                <w:rFonts w:hint="eastAsia" w:ascii="仿宋_GB2312" w:hAnsi="仿宋_GB2312" w:eastAsia="仿宋_GB2312" w:cs="仿宋_GB2312"/>
                <w:sz w:val="30"/>
                <w:szCs w:val="30"/>
              </w:rPr>
              <w:t>实时根据甲方审核后更换自然老化、损坏的设备、配件、材料。每季度中标单位负责1000元以下的设备、配件、材料费用，超出1000元由甲方进行购买需更换的设备、配件、材料，投标单位进行更换，不得收取工时费。</w:t>
            </w:r>
          </w:p>
        </w:tc>
      </w:tr>
      <w:tr w14:paraId="0F404863">
        <w:tblPrEx>
          <w:tblCellMar>
            <w:top w:w="0" w:type="dxa"/>
            <w:left w:w="108" w:type="dxa"/>
            <w:bottom w:w="0" w:type="dxa"/>
            <w:right w:w="108" w:type="dxa"/>
          </w:tblCellMar>
        </w:tblPrEx>
        <w:trPr>
          <w:trHeight w:val="23" w:hRule="atLeast"/>
        </w:trPr>
        <w:tc>
          <w:tcPr>
            <w:tcW w:w="896" w:type="dxa"/>
            <w:tcBorders>
              <w:top w:val="single" w:color="auto" w:sz="4" w:space="0"/>
              <w:left w:val="single" w:color="auto" w:sz="4" w:space="0"/>
              <w:bottom w:val="single" w:color="auto" w:sz="4" w:space="0"/>
              <w:right w:val="single" w:color="auto" w:sz="4" w:space="0"/>
            </w:tcBorders>
            <w:vAlign w:val="center"/>
          </w:tcPr>
          <w:p w14:paraId="4D03CB28">
            <w:pPr>
              <w:spacing w:line="360" w:lineRule="auto"/>
              <w:rPr>
                <w:rFonts w:ascii="仿宋_GB2312" w:hAnsi="仿宋_GB2312" w:eastAsia="仿宋_GB2312" w:cs="仿宋_GB2312"/>
                <w:sz w:val="30"/>
                <w:szCs w:val="30"/>
              </w:rPr>
            </w:pPr>
          </w:p>
        </w:tc>
        <w:tc>
          <w:tcPr>
            <w:tcW w:w="928" w:type="dxa"/>
            <w:tcBorders>
              <w:top w:val="single" w:color="auto" w:sz="4" w:space="0"/>
              <w:left w:val="nil"/>
              <w:bottom w:val="single" w:color="auto" w:sz="4" w:space="0"/>
              <w:right w:val="single" w:color="auto" w:sz="4" w:space="0"/>
            </w:tcBorders>
            <w:vAlign w:val="center"/>
          </w:tcPr>
          <w:p w14:paraId="3E3DF04E">
            <w:pPr>
              <w:spacing w:line="360" w:lineRule="auto"/>
              <w:rPr>
                <w:rFonts w:ascii="仿宋_GB2312" w:hAnsi="仿宋_GB2312" w:eastAsia="仿宋_GB2312" w:cs="仿宋_GB2312"/>
                <w:sz w:val="30"/>
                <w:szCs w:val="30"/>
              </w:rPr>
            </w:pPr>
            <w:r>
              <w:rPr>
                <w:rFonts w:hint="eastAsia" w:ascii="仿宋_GB2312" w:hAnsi="仿宋_GB2312" w:eastAsia="仿宋_GB2312" w:cs="仿宋_GB2312"/>
                <w:sz w:val="30"/>
                <w:szCs w:val="30"/>
              </w:rPr>
              <w:t>8</w:t>
            </w:r>
          </w:p>
        </w:tc>
        <w:tc>
          <w:tcPr>
            <w:tcW w:w="7213" w:type="dxa"/>
            <w:tcBorders>
              <w:top w:val="single" w:color="auto" w:sz="4" w:space="0"/>
              <w:left w:val="nil"/>
              <w:bottom w:val="single" w:color="auto" w:sz="4" w:space="0"/>
              <w:right w:val="single" w:color="auto" w:sz="4" w:space="0"/>
            </w:tcBorders>
            <w:vAlign w:val="center"/>
          </w:tcPr>
          <w:p w14:paraId="05A0923A">
            <w:pPr>
              <w:spacing w:line="360" w:lineRule="auto"/>
              <w:rPr>
                <w:rFonts w:ascii="仿宋_GB2312" w:hAnsi="仿宋_GB2312" w:eastAsia="仿宋_GB2312" w:cs="仿宋_GB2312"/>
                <w:sz w:val="30"/>
                <w:szCs w:val="30"/>
              </w:rPr>
            </w:pPr>
            <w:r>
              <w:rPr>
                <w:rFonts w:hint="eastAsia" w:ascii="仿宋_GB2312" w:hAnsi="仿宋_GB2312" w:eastAsia="仿宋_GB2312" w:cs="仿宋_GB2312"/>
                <w:sz w:val="30"/>
                <w:szCs w:val="30"/>
              </w:rPr>
              <w:t>消火栓系统、自动喷淋系统维护保养涉及的润滑油、生料带、螺丝、垫片等由投标单位配备。</w:t>
            </w:r>
          </w:p>
        </w:tc>
      </w:tr>
      <w:tr w14:paraId="4AFECBBE">
        <w:tblPrEx>
          <w:tblCellMar>
            <w:top w:w="0" w:type="dxa"/>
            <w:left w:w="108" w:type="dxa"/>
            <w:bottom w:w="0" w:type="dxa"/>
            <w:right w:w="108" w:type="dxa"/>
          </w:tblCellMar>
        </w:tblPrEx>
        <w:trPr>
          <w:trHeight w:val="23" w:hRule="atLeast"/>
        </w:trPr>
        <w:tc>
          <w:tcPr>
            <w:tcW w:w="896" w:type="dxa"/>
            <w:tcBorders>
              <w:top w:val="single" w:color="auto" w:sz="4" w:space="0"/>
              <w:left w:val="single" w:color="auto" w:sz="4" w:space="0"/>
              <w:bottom w:val="single" w:color="auto" w:sz="4" w:space="0"/>
              <w:right w:val="single" w:color="auto" w:sz="4" w:space="0"/>
            </w:tcBorders>
            <w:vAlign w:val="center"/>
          </w:tcPr>
          <w:p w14:paraId="127AEA5D">
            <w:pPr>
              <w:spacing w:line="360" w:lineRule="auto"/>
              <w:rPr>
                <w:rFonts w:ascii="仿宋_GB2312" w:hAnsi="仿宋_GB2312" w:eastAsia="仿宋_GB2312" w:cs="仿宋_GB2312"/>
                <w:sz w:val="30"/>
                <w:szCs w:val="30"/>
              </w:rPr>
            </w:pPr>
          </w:p>
        </w:tc>
        <w:tc>
          <w:tcPr>
            <w:tcW w:w="928" w:type="dxa"/>
            <w:tcBorders>
              <w:top w:val="single" w:color="auto" w:sz="4" w:space="0"/>
              <w:left w:val="nil"/>
              <w:bottom w:val="single" w:color="auto" w:sz="4" w:space="0"/>
              <w:right w:val="single" w:color="auto" w:sz="4" w:space="0"/>
            </w:tcBorders>
            <w:vAlign w:val="center"/>
          </w:tcPr>
          <w:p w14:paraId="3045FFA2">
            <w:pPr>
              <w:spacing w:line="360" w:lineRule="auto"/>
              <w:rPr>
                <w:rFonts w:ascii="仿宋_GB2312" w:hAnsi="仿宋_GB2312" w:eastAsia="仿宋_GB2312" w:cs="仿宋_GB2312"/>
                <w:sz w:val="30"/>
                <w:szCs w:val="30"/>
              </w:rPr>
            </w:pPr>
            <w:r>
              <w:rPr>
                <w:rFonts w:hint="eastAsia" w:ascii="仿宋_GB2312" w:hAnsi="仿宋_GB2312" w:eastAsia="仿宋_GB2312" w:cs="仿宋_GB2312"/>
                <w:sz w:val="30"/>
                <w:szCs w:val="30"/>
              </w:rPr>
              <w:t>9</w:t>
            </w:r>
          </w:p>
        </w:tc>
        <w:tc>
          <w:tcPr>
            <w:tcW w:w="7213" w:type="dxa"/>
            <w:tcBorders>
              <w:top w:val="single" w:color="auto" w:sz="4" w:space="0"/>
              <w:left w:val="nil"/>
              <w:bottom w:val="single" w:color="auto" w:sz="4" w:space="0"/>
              <w:right w:val="single" w:color="auto" w:sz="4" w:space="0"/>
            </w:tcBorders>
            <w:vAlign w:val="center"/>
          </w:tcPr>
          <w:p w14:paraId="54CAB983">
            <w:pPr>
              <w:spacing w:line="360" w:lineRule="auto"/>
              <w:rPr>
                <w:rFonts w:ascii="仿宋_GB2312" w:hAnsi="仿宋_GB2312" w:eastAsia="仿宋_GB2312" w:cs="仿宋_GB2312"/>
                <w:sz w:val="30"/>
                <w:szCs w:val="30"/>
              </w:rPr>
            </w:pPr>
            <w:r>
              <w:rPr>
                <w:rFonts w:hint="eastAsia" w:ascii="仿宋_GB2312" w:hAnsi="仿宋_GB2312" w:eastAsia="仿宋_GB2312" w:cs="仿宋_GB2312"/>
                <w:sz w:val="30"/>
                <w:szCs w:val="30"/>
              </w:rPr>
              <w:t>消火栓、喷淋系统管网破裂涉及更换的工料由甲方承担，中标单位负责提出合理维修方案，配合进行维修。</w:t>
            </w:r>
          </w:p>
        </w:tc>
      </w:tr>
      <w:tr w14:paraId="15C59EB6">
        <w:tblPrEx>
          <w:tblCellMar>
            <w:top w:w="0" w:type="dxa"/>
            <w:left w:w="108" w:type="dxa"/>
            <w:bottom w:w="0" w:type="dxa"/>
            <w:right w:w="108" w:type="dxa"/>
          </w:tblCellMar>
        </w:tblPrEx>
        <w:trPr>
          <w:trHeight w:val="23" w:hRule="atLeast"/>
        </w:trPr>
        <w:tc>
          <w:tcPr>
            <w:tcW w:w="896" w:type="dxa"/>
            <w:tcBorders>
              <w:top w:val="single" w:color="auto" w:sz="4" w:space="0"/>
              <w:left w:val="single" w:color="auto" w:sz="4" w:space="0"/>
              <w:bottom w:val="single" w:color="auto" w:sz="4" w:space="0"/>
              <w:right w:val="single" w:color="auto" w:sz="4" w:space="0"/>
            </w:tcBorders>
            <w:vAlign w:val="center"/>
          </w:tcPr>
          <w:p w14:paraId="5FD54505">
            <w:pPr>
              <w:spacing w:line="360" w:lineRule="auto"/>
              <w:rPr>
                <w:rFonts w:ascii="仿宋_GB2312" w:hAnsi="仿宋_GB2312" w:eastAsia="仿宋_GB2312" w:cs="仿宋_GB2312"/>
                <w:sz w:val="30"/>
                <w:szCs w:val="30"/>
              </w:rPr>
            </w:pPr>
          </w:p>
        </w:tc>
        <w:tc>
          <w:tcPr>
            <w:tcW w:w="928" w:type="dxa"/>
            <w:tcBorders>
              <w:top w:val="single" w:color="auto" w:sz="4" w:space="0"/>
              <w:left w:val="nil"/>
              <w:bottom w:val="single" w:color="auto" w:sz="4" w:space="0"/>
              <w:right w:val="single" w:color="auto" w:sz="4" w:space="0"/>
            </w:tcBorders>
            <w:vAlign w:val="center"/>
          </w:tcPr>
          <w:p w14:paraId="23E364D6">
            <w:pPr>
              <w:spacing w:line="360" w:lineRule="auto"/>
              <w:rPr>
                <w:rFonts w:ascii="仿宋_GB2312" w:hAnsi="仿宋_GB2312" w:eastAsia="仿宋_GB2312" w:cs="仿宋_GB2312"/>
                <w:sz w:val="30"/>
                <w:szCs w:val="30"/>
              </w:rPr>
            </w:pPr>
            <w:r>
              <w:rPr>
                <w:rFonts w:hint="eastAsia" w:ascii="仿宋_GB2312" w:hAnsi="仿宋_GB2312" w:eastAsia="仿宋_GB2312" w:cs="仿宋_GB2312"/>
                <w:sz w:val="30"/>
                <w:szCs w:val="30"/>
              </w:rPr>
              <w:t>10</w:t>
            </w:r>
          </w:p>
        </w:tc>
        <w:tc>
          <w:tcPr>
            <w:tcW w:w="7213" w:type="dxa"/>
            <w:tcBorders>
              <w:top w:val="single" w:color="auto" w:sz="4" w:space="0"/>
              <w:left w:val="nil"/>
              <w:bottom w:val="single" w:color="auto" w:sz="4" w:space="0"/>
              <w:right w:val="single" w:color="auto" w:sz="4" w:space="0"/>
            </w:tcBorders>
            <w:vAlign w:val="center"/>
          </w:tcPr>
          <w:p w14:paraId="664DACDC">
            <w:pPr>
              <w:spacing w:line="360" w:lineRule="auto"/>
              <w:rPr>
                <w:rFonts w:ascii="仿宋_GB2312" w:hAnsi="仿宋_GB2312" w:eastAsia="仿宋_GB2312" w:cs="仿宋_GB2312"/>
                <w:sz w:val="30"/>
                <w:szCs w:val="30"/>
              </w:rPr>
            </w:pPr>
            <w:r>
              <w:rPr>
                <w:rFonts w:hint="eastAsia" w:ascii="仿宋_GB2312" w:hAnsi="仿宋_GB2312" w:eastAsia="仿宋_GB2312" w:cs="仿宋_GB2312"/>
                <w:sz w:val="30"/>
                <w:szCs w:val="30"/>
              </w:rPr>
              <w:t>维保人员在实施维保工作中，如因中标单位的原因造成医院设备损毁、或人员伤害事故，中标单位应承担全部责任。</w:t>
            </w:r>
          </w:p>
        </w:tc>
      </w:tr>
      <w:tr w14:paraId="63DD0D08">
        <w:tblPrEx>
          <w:tblCellMar>
            <w:top w:w="0" w:type="dxa"/>
            <w:left w:w="108" w:type="dxa"/>
            <w:bottom w:w="0" w:type="dxa"/>
            <w:right w:w="108" w:type="dxa"/>
          </w:tblCellMar>
        </w:tblPrEx>
        <w:trPr>
          <w:trHeight w:val="23" w:hRule="atLeast"/>
        </w:trPr>
        <w:tc>
          <w:tcPr>
            <w:tcW w:w="896" w:type="dxa"/>
            <w:tcBorders>
              <w:top w:val="single" w:color="auto" w:sz="4" w:space="0"/>
              <w:left w:val="single" w:color="auto" w:sz="4" w:space="0"/>
              <w:bottom w:val="single" w:color="auto" w:sz="4" w:space="0"/>
              <w:right w:val="single" w:color="auto" w:sz="4" w:space="0"/>
            </w:tcBorders>
            <w:vAlign w:val="center"/>
          </w:tcPr>
          <w:p w14:paraId="4A7F00D4">
            <w:pPr>
              <w:spacing w:line="360" w:lineRule="auto"/>
              <w:rPr>
                <w:rFonts w:ascii="仿宋_GB2312" w:hAnsi="仿宋_GB2312" w:eastAsia="仿宋_GB2312" w:cs="仿宋_GB2312"/>
                <w:sz w:val="30"/>
                <w:szCs w:val="30"/>
              </w:rPr>
            </w:pPr>
            <w:r>
              <w:rPr>
                <w:rFonts w:hint="eastAsia" w:ascii="仿宋_GB2312" w:hAnsi="仿宋_GB2312" w:eastAsia="仿宋_GB2312" w:cs="仿宋_GB2312"/>
                <w:sz w:val="30"/>
                <w:szCs w:val="30"/>
              </w:rPr>
              <w:t>*</w:t>
            </w:r>
          </w:p>
        </w:tc>
        <w:tc>
          <w:tcPr>
            <w:tcW w:w="928" w:type="dxa"/>
            <w:tcBorders>
              <w:top w:val="single" w:color="auto" w:sz="4" w:space="0"/>
              <w:left w:val="nil"/>
              <w:bottom w:val="single" w:color="auto" w:sz="4" w:space="0"/>
              <w:right w:val="single" w:color="auto" w:sz="4" w:space="0"/>
            </w:tcBorders>
            <w:vAlign w:val="center"/>
          </w:tcPr>
          <w:p w14:paraId="33F908F4">
            <w:pPr>
              <w:spacing w:line="360" w:lineRule="auto"/>
              <w:rPr>
                <w:rFonts w:ascii="仿宋_GB2312" w:hAnsi="仿宋_GB2312" w:eastAsia="仿宋_GB2312" w:cs="仿宋_GB2312"/>
                <w:sz w:val="30"/>
                <w:szCs w:val="30"/>
              </w:rPr>
            </w:pPr>
            <w:r>
              <w:rPr>
                <w:rFonts w:hint="eastAsia" w:ascii="仿宋_GB2312" w:hAnsi="仿宋_GB2312" w:eastAsia="仿宋_GB2312" w:cs="仿宋_GB2312"/>
                <w:sz w:val="30"/>
                <w:szCs w:val="30"/>
              </w:rPr>
              <w:t>11</w:t>
            </w:r>
          </w:p>
        </w:tc>
        <w:tc>
          <w:tcPr>
            <w:tcW w:w="7213" w:type="dxa"/>
            <w:tcBorders>
              <w:top w:val="single" w:color="auto" w:sz="4" w:space="0"/>
              <w:left w:val="nil"/>
              <w:bottom w:val="single" w:color="auto" w:sz="4" w:space="0"/>
              <w:right w:val="single" w:color="auto" w:sz="4" w:space="0"/>
            </w:tcBorders>
            <w:vAlign w:val="center"/>
          </w:tcPr>
          <w:p w14:paraId="2018E2AB">
            <w:pPr>
              <w:spacing w:line="360" w:lineRule="auto"/>
              <w:rPr>
                <w:rFonts w:ascii="仿宋_GB2312" w:hAnsi="仿宋_GB2312" w:eastAsia="仿宋_GB2312" w:cs="仿宋_GB2312"/>
                <w:sz w:val="30"/>
                <w:szCs w:val="30"/>
              </w:rPr>
            </w:pPr>
            <w:r>
              <w:rPr>
                <w:rFonts w:hint="eastAsia" w:ascii="仿宋_GB2312" w:hAnsi="仿宋_GB2312" w:eastAsia="仿宋_GB2312" w:cs="仿宋_GB2312"/>
                <w:sz w:val="30"/>
                <w:szCs w:val="30"/>
              </w:rPr>
              <w:t>每次保养后，投标单位向医院管理部门提供一份由一级注册消防工程师签字认可的保养记录，并由医院的监管人员签字确认，涉及病区需有护士长或科主任签字认可。各项资料清晰规范，分类成册。</w:t>
            </w:r>
          </w:p>
        </w:tc>
      </w:tr>
      <w:tr w14:paraId="3A269630">
        <w:tblPrEx>
          <w:tblCellMar>
            <w:top w:w="0" w:type="dxa"/>
            <w:left w:w="108" w:type="dxa"/>
            <w:bottom w:w="0" w:type="dxa"/>
            <w:right w:w="108" w:type="dxa"/>
          </w:tblCellMar>
        </w:tblPrEx>
        <w:trPr>
          <w:trHeight w:val="23" w:hRule="atLeast"/>
        </w:trPr>
        <w:tc>
          <w:tcPr>
            <w:tcW w:w="896" w:type="dxa"/>
            <w:tcBorders>
              <w:top w:val="single" w:color="auto" w:sz="4" w:space="0"/>
              <w:left w:val="single" w:color="auto" w:sz="4" w:space="0"/>
              <w:bottom w:val="single" w:color="auto" w:sz="4" w:space="0"/>
              <w:right w:val="single" w:color="auto" w:sz="4" w:space="0"/>
            </w:tcBorders>
            <w:vAlign w:val="center"/>
          </w:tcPr>
          <w:p w14:paraId="48270596">
            <w:pPr>
              <w:spacing w:line="360" w:lineRule="auto"/>
              <w:rPr>
                <w:rFonts w:ascii="仿宋_GB2312" w:hAnsi="仿宋_GB2312" w:eastAsia="仿宋_GB2312" w:cs="仿宋_GB2312"/>
                <w:sz w:val="30"/>
                <w:szCs w:val="30"/>
              </w:rPr>
            </w:pPr>
          </w:p>
        </w:tc>
        <w:tc>
          <w:tcPr>
            <w:tcW w:w="928" w:type="dxa"/>
            <w:tcBorders>
              <w:top w:val="single" w:color="auto" w:sz="4" w:space="0"/>
              <w:left w:val="nil"/>
              <w:bottom w:val="single" w:color="auto" w:sz="4" w:space="0"/>
              <w:right w:val="single" w:color="auto" w:sz="4" w:space="0"/>
            </w:tcBorders>
            <w:vAlign w:val="center"/>
          </w:tcPr>
          <w:p w14:paraId="1751BE4D">
            <w:pPr>
              <w:spacing w:line="360" w:lineRule="auto"/>
              <w:rPr>
                <w:rFonts w:ascii="仿宋_GB2312" w:hAnsi="仿宋_GB2312" w:eastAsia="仿宋_GB2312" w:cs="仿宋_GB2312"/>
                <w:sz w:val="30"/>
                <w:szCs w:val="30"/>
              </w:rPr>
            </w:pPr>
            <w:r>
              <w:rPr>
                <w:rFonts w:hint="eastAsia" w:ascii="仿宋_GB2312" w:hAnsi="仿宋_GB2312" w:eastAsia="仿宋_GB2312" w:cs="仿宋_GB2312"/>
                <w:sz w:val="30"/>
                <w:szCs w:val="30"/>
              </w:rPr>
              <w:t>12</w:t>
            </w:r>
          </w:p>
        </w:tc>
        <w:tc>
          <w:tcPr>
            <w:tcW w:w="7213" w:type="dxa"/>
            <w:tcBorders>
              <w:top w:val="single" w:color="auto" w:sz="4" w:space="0"/>
              <w:left w:val="nil"/>
              <w:bottom w:val="single" w:color="auto" w:sz="4" w:space="0"/>
              <w:right w:val="single" w:color="auto" w:sz="4" w:space="0"/>
            </w:tcBorders>
            <w:vAlign w:val="center"/>
          </w:tcPr>
          <w:p w14:paraId="3640C4B4">
            <w:pPr>
              <w:spacing w:line="360" w:lineRule="auto"/>
              <w:rPr>
                <w:rFonts w:ascii="仿宋_GB2312" w:hAnsi="仿宋_GB2312" w:eastAsia="仿宋_GB2312" w:cs="仿宋_GB2312"/>
                <w:sz w:val="30"/>
                <w:szCs w:val="30"/>
              </w:rPr>
            </w:pPr>
            <w:r>
              <w:rPr>
                <w:rFonts w:hint="eastAsia" w:ascii="仿宋_GB2312" w:hAnsi="仿宋_GB2312" w:eastAsia="仿宋_GB2312" w:cs="仿宋_GB2312"/>
                <w:sz w:val="30"/>
                <w:szCs w:val="30"/>
              </w:rPr>
              <w:t>维保工作人员遵守医院的管理制度，听从甲方有关人员的正确指挥，严格按照操作规程作业，确保施工安全，维保工作人员人身安全保险由投标单位负责。</w:t>
            </w:r>
          </w:p>
        </w:tc>
      </w:tr>
      <w:tr w14:paraId="5C533649">
        <w:tblPrEx>
          <w:tblCellMar>
            <w:top w:w="0" w:type="dxa"/>
            <w:left w:w="108" w:type="dxa"/>
            <w:bottom w:w="0" w:type="dxa"/>
            <w:right w:w="108" w:type="dxa"/>
          </w:tblCellMar>
        </w:tblPrEx>
        <w:trPr>
          <w:trHeight w:val="23" w:hRule="atLeast"/>
        </w:trPr>
        <w:tc>
          <w:tcPr>
            <w:tcW w:w="896" w:type="dxa"/>
            <w:tcBorders>
              <w:top w:val="single" w:color="auto" w:sz="4" w:space="0"/>
              <w:left w:val="single" w:color="auto" w:sz="4" w:space="0"/>
              <w:bottom w:val="single" w:color="auto" w:sz="4" w:space="0"/>
              <w:right w:val="single" w:color="auto" w:sz="4" w:space="0"/>
            </w:tcBorders>
            <w:vAlign w:val="center"/>
          </w:tcPr>
          <w:p w14:paraId="0B9A42DA">
            <w:pPr>
              <w:spacing w:line="360" w:lineRule="auto"/>
              <w:rPr>
                <w:rFonts w:ascii="仿宋_GB2312" w:hAnsi="仿宋_GB2312" w:eastAsia="仿宋_GB2312" w:cs="仿宋_GB2312"/>
                <w:sz w:val="30"/>
                <w:szCs w:val="30"/>
              </w:rPr>
            </w:pPr>
          </w:p>
        </w:tc>
        <w:tc>
          <w:tcPr>
            <w:tcW w:w="928" w:type="dxa"/>
            <w:tcBorders>
              <w:top w:val="single" w:color="auto" w:sz="4" w:space="0"/>
              <w:left w:val="nil"/>
              <w:bottom w:val="single" w:color="auto" w:sz="4" w:space="0"/>
              <w:right w:val="single" w:color="auto" w:sz="4" w:space="0"/>
            </w:tcBorders>
            <w:vAlign w:val="center"/>
          </w:tcPr>
          <w:p w14:paraId="1FCE86C0">
            <w:pPr>
              <w:spacing w:line="360" w:lineRule="auto"/>
              <w:rPr>
                <w:rFonts w:ascii="仿宋_GB2312" w:hAnsi="仿宋_GB2312" w:eastAsia="仿宋_GB2312" w:cs="仿宋_GB2312"/>
                <w:sz w:val="30"/>
                <w:szCs w:val="30"/>
              </w:rPr>
            </w:pPr>
            <w:r>
              <w:rPr>
                <w:rFonts w:hint="eastAsia" w:ascii="仿宋_GB2312" w:hAnsi="仿宋_GB2312" w:eastAsia="仿宋_GB2312" w:cs="仿宋_GB2312"/>
                <w:sz w:val="30"/>
                <w:szCs w:val="30"/>
              </w:rPr>
              <w:t>13</w:t>
            </w:r>
          </w:p>
        </w:tc>
        <w:tc>
          <w:tcPr>
            <w:tcW w:w="7213" w:type="dxa"/>
            <w:tcBorders>
              <w:top w:val="single" w:color="auto" w:sz="4" w:space="0"/>
              <w:left w:val="nil"/>
              <w:bottom w:val="single" w:color="auto" w:sz="4" w:space="0"/>
              <w:right w:val="single" w:color="auto" w:sz="4" w:space="0"/>
            </w:tcBorders>
            <w:vAlign w:val="center"/>
          </w:tcPr>
          <w:p w14:paraId="4D4B5CAB">
            <w:pPr>
              <w:spacing w:line="360" w:lineRule="auto"/>
              <w:rPr>
                <w:rFonts w:ascii="仿宋_GB2312" w:hAnsi="仿宋_GB2312" w:eastAsia="仿宋_GB2312" w:cs="仿宋_GB2312"/>
                <w:sz w:val="30"/>
                <w:szCs w:val="30"/>
              </w:rPr>
            </w:pPr>
            <w:r>
              <w:rPr>
                <w:rFonts w:hint="eastAsia" w:ascii="仿宋_GB2312" w:hAnsi="仿宋_GB2312" w:eastAsia="仿宋_GB2312" w:cs="仿宋_GB2312"/>
                <w:sz w:val="30"/>
                <w:szCs w:val="30"/>
              </w:rPr>
              <w:t>检测、调试或维修保养消防系统将可能影响到医院人员的日常生产办公时，提前报请医院管理部门批准后方可进行。</w:t>
            </w:r>
          </w:p>
        </w:tc>
      </w:tr>
      <w:tr w14:paraId="24285575">
        <w:tblPrEx>
          <w:tblCellMar>
            <w:top w:w="0" w:type="dxa"/>
            <w:left w:w="108" w:type="dxa"/>
            <w:bottom w:w="0" w:type="dxa"/>
            <w:right w:w="108" w:type="dxa"/>
          </w:tblCellMar>
        </w:tblPrEx>
        <w:trPr>
          <w:trHeight w:val="23" w:hRule="atLeast"/>
        </w:trPr>
        <w:tc>
          <w:tcPr>
            <w:tcW w:w="896" w:type="dxa"/>
            <w:tcBorders>
              <w:top w:val="single" w:color="auto" w:sz="4" w:space="0"/>
              <w:left w:val="single" w:color="auto" w:sz="4" w:space="0"/>
              <w:bottom w:val="single" w:color="auto" w:sz="4" w:space="0"/>
              <w:right w:val="single" w:color="auto" w:sz="4" w:space="0"/>
            </w:tcBorders>
            <w:vAlign w:val="center"/>
          </w:tcPr>
          <w:p w14:paraId="06EBF00E">
            <w:pPr>
              <w:spacing w:line="360" w:lineRule="auto"/>
              <w:rPr>
                <w:rFonts w:ascii="仿宋_GB2312" w:hAnsi="仿宋_GB2312" w:eastAsia="仿宋_GB2312" w:cs="仿宋_GB2312"/>
                <w:sz w:val="30"/>
                <w:szCs w:val="30"/>
              </w:rPr>
            </w:pPr>
          </w:p>
        </w:tc>
        <w:tc>
          <w:tcPr>
            <w:tcW w:w="928" w:type="dxa"/>
            <w:tcBorders>
              <w:top w:val="single" w:color="auto" w:sz="4" w:space="0"/>
              <w:left w:val="nil"/>
              <w:bottom w:val="single" w:color="auto" w:sz="4" w:space="0"/>
              <w:right w:val="single" w:color="auto" w:sz="4" w:space="0"/>
            </w:tcBorders>
            <w:vAlign w:val="center"/>
          </w:tcPr>
          <w:p w14:paraId="376E7E3D">
            <w:pPr>
              <w:spacing w:line="360" w:lineRule="auto"/>
              <w:rPr>
                <w:rFonts w:ascii="仿宋_GB2312" w:hAnsi="仿宋_GB2312" w:eastAsia="仿宋_GB2312" w:cs="仿宋_GB2312"/>
                <w:sz w:val="30"/>
                <w:szCs w:val="30"/>
              </w:rPr>
            </w:pPr>
            <w:r>
              <w:rPr>
                <w:rFonts w:hint="eastAsia" w:ascii="仿宋_GB2312" w:hAnsi="仿宋_GB2312" w:eastAsia="仿宋_GB2312" w:cs="仿宋_GB2312"/>
                <w:sz w:val="30"/>
                <w:szCs w:val="30"/>
              </w:rPr>
              <w:t>14</w:t>
            </w:r>
          </w:p>
        </w:tc>
        <w:tc>
          <w:tcPr>
            <w:tcW w:w="7213" w:type="dxa"/>
            <w:tcBorders>
              <w:top w:val="single" w:color="auto" w:sz="4" w:space="0"/>
              <w:left w:val="nil"/>
              <w:bottom w:val="single" w:color="auto" w:sz="4" w:space="0"/>
              <w:right w:val="single" w:color="auto" w:sz="4" w:space="0"/>
            </w:tcBorders>
            <w:vAlign w:val="center"/>
          </w:tcPr>
          <w:p w14:paraId="2A88B438">
            <w:pPr>
              <w:spacing w:line="360" w:lineRule="auto"/>
              <w:rPr>
                <w:rFonts w:ascii="仿宋_GB2312" w:hAnsi="仿宋_GB2312" w:eastAsia="仿宋_GB2312" w:cs="仿宋_GB2312"/>
                <w:sz w:val="30"/>
                <w:szCs w:val="30"/>
              </w:rPr>
            </w:pPr>
            <w:r>
              <w:rPr>
                <w:rFonts w:hint="eastAsia" w:ascii="仿宋_GB2312" w:hAnsi="仿宋_GB2312" w:eastAsia="仿宋_GB2312" w:cs="仿宋_GB2312"/>
                <w:sz w:val="30"/>
                <w:szCs w:val="30"/>
              </w:rPr>
              <w:t>投标单位要保证消防系统原设计所有功能正常，若因维保不到位或维保过失，造成事故的，由投标单位负责，其他原因造成事故的，由公安消防管理部门进行裁定，由责任方负责。</w:t>
            </w:r>
          </w:p>
        </w:tc>
      </w:tr>
      <w:tr w14:paraId="65B3D2ED">
        <w:tblPrEx>
          <w:tblCellMar>
            <w:top w:w="0" w:type="dxa"/>
            <w:left w:w="108" w:type="dxa"/>
            <w:bottom w:w="0" w:type="dxa"/>
            <w:right w:w="108" w:type="dxa"/>
          </w:tblCellMar>
        </w:tblPrEx>
        <w:trPr>
          <w:trHeight w:val="23" w:hRule="atLeast"/>
        </w:trPr>
        <w:tc>
          <w:tcPr>
            <w:tcW w:w="896" w:type="dxa"/>
            <w:tcBorders>
              <w:top w:val="single" w:color="auto" w:sz="4" w:space="0"/>
              <w:left w:val="single" w:color="auto" w:sz="4" w:space="0"/>
              <w:bottom w:val="single" w:color="auto" w:sz="4" w:space="0"/>
              <w:right w:val="single" w:color="auto" w:sz="4" w:space="0"/>
            </w:tcBorders>
            <w:vAlign w:val="center"/>
          </w:tcPr>
          <w:p w14:paraId="4522714B">
            <w:pPr>
              <w:spacing w:line="360" w:lineRule="auto"/>
              <w:rPr>
                <w:rFonts w:ascii="仿宋_GB2312" w:hAnsi="仿宋_GB2312" w:eastAsia="仿宋_GB2312" w:cs="仿宋_GB2312"/>
                <w:sz w:val="30"/>
                <w:szCs w:val="30"/>
              </w:rPr>
            </w:pPr>
            <w:r>
              <w:rPr>
                <w:rFonts w:hint="eastAsia" w:ascii="仿宋_GB2312" w:hAnsi="仿宋_GB2312" w:eastAsia="仿宋_GB2312" w:cs="仿宋_GB2312"/>
                <w:sz w:val="30"/>
                <w:szCs w:val="30"/>
              </w:rPr>
              <w:t>*</w:t>
            </w:r>
          </w:p>
        </w:tc>
        <w:tc>
          <w:tcPr>
            <w:tcW w:w="928" w:type="dxa"/>
            <w:tcBorders>
              <w:top w:val="single" w:color="auto" w:sz="4" w:space="0"/>
              <w:left w:val="nil"/>
              <w:bottom w:val="single" w:color="auto" w:sz="4" w:space="0"/>
              <w:right w:val="single" w:color="auto" w:sz="4" w:space="0"/>
            </w:tcBorders>
            <w:vAlign w:val="center"/>
          </w:tcPr>
          <w:p w14:paraId="593CA215">
            <w:pPr>
              <w:spacing w:line="360" w:lineRule="auto"/>
              <w:rPr>
                <w:rFonts w:ascii="仿宋_GB2312" w:hAnsi="仿宋_GB2312" w:eastAsia="仿宋_GB2312" w:cs="仿宋_GB2312"/>
                <w:sz w:val="30"/>
                <w:szCs w:val="30"/>
              </w:rPr>
            </w:pPr>
            <w:r>
              <w:rPr>
                <w:rFonts w:hint="eastAsia" w:ascii="仿宋_GB2312" w:hAnsi="仿宋_GB2312" w:eastAsia="仿宋_GB2312" w:cs="仿宋_GB2312"/>
                <w:sz w:val="30"/>
                <w:szCs w:val="30"/>
              </w:rPr>
              <w:t>15</w:t>
            </w:r>
          </w:p>
        </w:tc>
        <w:tc>
          <w:tcPr>
            <w:tcW w:w="7213" w:type="dxa"/>
            <w:tcBorders>
              <w:top w:val="single" w:color="auto" w:sz="4" w:space="0"/>
              <w:left w:val="nil"/>
              <w:bottom w:val="single" w:color="auto" w:sz="4" w:space="0"/>
              <w:right w:val="single" w:color="auto" w:sz="4" w:space="0"/>
            </w:tcBorders>
            <w:vAlign w:val="center"/>
          </w:tcPr>
          <w:p w14:paraId="64E67BD0">
            <w:pPr>
              <w:spacing w:line="360" w:lineRule="auto"/>
              <w:rPr>
                <w:rFonts w:ascii="仿宋_GB2312" w:hAnsi="仿宋_GB2312" w:eastAsia="仿宋_GB2312" w:cs="仿宋_GB2312"/>
                <w:sz w:val="30"/>
                <w:szCs w:val="30"/>
              </w:rPr>
            </w:pPr>
            <w:r>
              <w:rPr>
                <w:rFonts w:hint="eastAsia" w:ascii="仿宋_GB2312" w:hAnsi="仿宋_GB2312" w:eastAsia="仿宋_GB2312" w:cs="仿宋_GB2312"/>
                <w:sz w:val="30"/>
                <w:szCs w:val="30"/>
              </w:rPr>
              <w:t>投标单位要每年出具消防部门认可的消防系统检测报告，并协助医院做好公安消防的检查工作（重点消防单位消防年度检查）。</w:t>
            </w:r>
          </w:p>
        </w:tc>
      </w:tr>
      <w:tr w14:paraId="3CEBB125">
        <w:tblPrEx>
          <w:tblCellMar>
            <w:top w:w="0" w:type="dxa"/>
            <w:left w:w="108" w:type="dxa"/>
            <w:bottom w:w="0" w:type="dxa"/>
            <w:right w:w="108" w:type="dxa"/>
          </w:tblCellMar>
        </w:tblPrEx>
        <w:trPr>
          <w:trHeight w:val="23" w:hRule="atLeast"/>
        </w:trPr>
        <w:tc>
          <w:tcPr>
            <w:tcW w:w="896" w:type="dxa"/>
            <w:tcBorders>
              <w:top w:val="single" w:color="auto" w:sz="4" w:space="0"/>
              <w:left w:val="single" w:color="auto" w:sz="4" w:space="0"/>
              <w:bottom w:val="single" w:color="auto" w:sz="4" w:space="0"/>
              <w:right w:val="single" w:color="auto" w:sz="4" w:space="0"/>
            </w:tcBorders>
            <w:vAlign w:val="center"/>
          </w:tcPr>
          <w:p w14:paraId="45691D83">
            <w:pPr>
              <w:spacing w:line="360" w:lineRule="auto"/>
              <w:rPr>
                <w:rFonts w:ascii="仿宋_GB2312" w:hAnsi="仿宋_GB2312" w:eastAsia="仿宋_GB2312" w:cs="仿宋_GB2312"/>
                <w:sz w:val="30"/>
                <w:szCs w:val="30"/>
              </w:rPr>
            </w:pPr>
          </w:p>
        </w:tc>
        <w:tc>
          <w:tcPr>
            <w:tcW w:w="928" w:type="dxa"/>
            <w:tcBorders>
              <w:top w:val="single" w:color="auto" w:sz="4" w:space="0"/>
              <w:left w:val="nil"/>
              <w:bottom w:val="single" w:color="auto" w:sz="4" w:space="0"/>
              <w:right w:val="single" w:color="auto" w:sz="4" w:space="0"/>
            </w:tcBorders>
            <w:vAlign w:val="center"/>
          </w:tcPr>
          <w:p w14:paraId="13501729">
            <w:pPr>
              <w:spacing w:line="360" w:lineRule="auto"/>
              <w:rPr>
                <w:rFonts w:ascii="仿宋_GB2312" w:hAnsi="仿宋_GB2312" w:eastAsia="仿宋_GB2312" w:cs="仿宋_GB2312"/>
                <w:sz w:val="30"/>
                <w:szCs w:val="30"/>
              </w:rPr>
            </w:pPr>
            <w:r>
              <w:rPr>
                <w:rFonts w:hint="eastAsia" w:ascii="仿宋_GB2312" w:hAnsi="仿宋_GB2312" w:eastAsia="仿宋_GB2312" w:cs="仿宋_GB2312"/>
                <w:sz w:val="30"/>
                <w:szCs w:val="30"/>
              </w:rPr>
              <w:t>16</w:t>
            </w:r>
          </w:p>
        </w:tc>
        <w:tc>
          <w:tcPr>
            <w:tcW w:w="7213" w:type="dxa"/>
            <w:tcBorders>
              <w:top w:val="single" w:color="auto" w:sz="4" w:space="0"/>
              <w:left w:val="nil"/>
              <w:bottom w:val="single" w:color="auto" w:sz="4" w:space="0"/>
              <w:right w:val="single" w:color="auto" w:sz="4" w:space="0"/>
            </w:tcBorders>
            <w:vAlign w:val="center"/>
          </w:tcPr>
          <w:p w14:paraId="69AC79F2">
            <w:pPr>
              <w:spacing w:line="360" w:lineRule="auto"/>
              <w:rPr>
                <w:rFonts w:ascii="仿宋_GB2312" w:hAnsi="仿宋_GB2312" w:eastAsia="仿宋_GB2312" w:cs="仿宋_GB2312"/>
                <w:sz w:val="30"/>
                <w:szCs w:val="30"/>
              </w:rPr>
            </w:pPr>
            <w:r>
              <w:rPr>
                <w:rFonts w:hint="eastAsia" w:ascii="仿宋_GB2312" w:hAnsi="仿宋_GB2312" w:eastAsia="仿宋_GB2312" w:cs="仿宋_GB2312"/>
                <w:sz w:val="30"/>
                <w:szCs w:val="30"/>
              </w:rPr>
              <w:t>协助医院组织和完成医院定期消防演习。</w:t>
            </w:r>
          </w:p>
        </w:tc>
      </w:tr>
      <w:tr w14:paraId="334E76BB">
        <w:tblPrEx>
          <w:tblCellMar>
            <w:top w:w="0" w:type="dxa"/>
            <w:left w:w="108" w:type="dxa"/>
            <w:bottom w:w="0" w:type="dxa"/>
            <w:right w:w="108" w:type="dxa"/>
          </w:tblCellMar>
        </w:tblPrEx>
        <w:trPr>
          <w:trHeight w:val="23" w:hRule="atLeast"/>
        </w:trPr>
        <w:tc>
          <w:tcPr>
            <w:tcW w:w="896" w:type="dxa"/>
            <w:tcBorders>
              <w:top w:val="single" w:color="auto" w:sz="4" w:space="0"/>
              <w:left w:val="single" w:color="auto" w:sz="4" w:space="0"/>
              <w:bottom w:val="single" w:color="auto" w:sz="4" w:space="0"/>
              <w:right w:val="single" w:color="auto" w:sz="4" w:space="0"/>
            </w:tcBorders>
            <w:vAlign w:val="center"/>
          </w:tcPr>
          <w:p w14:paraId="27137F8B">
            <w:pPr>
              <w:spacing w:line="360" w:lineRule="auto"/>
              <w:rPr>
                <w:rFonts w:ascii="仿宋_GB2312" w:hAnsi="仿宋_GB2312" w:eastAsia="仿宋_GB2312" w:cs="仿宋_GB2312"/>
                <w:sz w:val="30"/>
                <w:szCs w:val="30"/>
              </w:rPr>
            </w:pPr>
            <w:r>
              <w:rPr>
                <w:rFonts w:hint="eastAsia" w:ascii="仿宋_GB2312" w:hAnsi="仿宋_GB2312" w:eastAsia="仿宋_GB2312" w:cs="仿宋_GB2312"/>
                <w:sz w:val="30"/>
                <w:szCs w:val="30"/>
              </w:rPr>
              <w:t>*</w:t>
            </w:r>
          </w:p>
        </w:tc>
        <w:tc>
          <w:tcPr>
            <w:tcW w:w="928" w:type="dxa"/>
            <w:tcBorders>
              <w:top w:val="single" w:color="auto" w:sz="4" w:space="0"/>
              <w:left w:val="nil"/>
              <w:bottom w:val="single" w:color="auto" w:sz="4" w:space="0"/>
              <w:right w:val="single" w:color="auto" w:sz="4" w:space="0"/>
            </w:tcBorders>
            <w:vAlign w:val="center"/>
          </w:tcPr>
          <w:p w14:paraId="3313AB4D">
            <w:pPr>
              <w:spacing w:line="360" w:lineRule="auto"/>
              <w:rPr>
                <w:rFonts w:ascii="仿宋_GB2312" w:hAnsi="仿宋_GB2312" w:eastAsia="仿宋_GB2312" w:cs="仿宋_GB2312"/>
                <w:sz w:val="30"/>
                <w:szCs w:val="30"/>
              </w:rPr>
            </w:pPr>
            <w:r>
              <w:rPr>
                <w:rFonts w:hint="eastAsia" w:ascii="仿宋_GB2312" w:hAnsi="仿宋_GB2312" w:eastAsia="仿宋_GB2312" w:cs="仿宋_GB2312"/>
                <w:sz w:val="30"/>
                <w:szCs w:val="30"/>
              </w:rPr>
              <w:t>17</w:t>
            </w:r>
          </w:p>
        </w:tc>
        <w:tc>
          <w:tcPr>
            <w:tcW w:w="7213" w:type="dxa"/>
            <w:tcBorders>
              <w:top w:val="single" w:color="auto" w:sz="4" w:space="0"/>
              <w:left w:val="nil"/>
              <w:bottom w:val="single" w:color="auto" w:sz="4" w:space="0"/>
              <w:right w:val="single" w:color="auto" w:sz="4" w:space="0"/>
            </w:tcBorders>
            <w:vAlign w:val="center"/>
          </w:tcPr>
          <w:p w14:paraId="67EE0771">
            <w:pPr>
              <w:spacing w:line="360" w:lineRule="auto"/>
              <w:rPr>
                <w:rFonts w:ascii="仿宋_GB2312" w:hAnsi="仿宋_GB2312" w:eastAsia="仿宋_GB2312" w:cs="仿宋_GB2312"/>
                <w:sz w:val="30"/>
                <w:szCs w:val="30"/>
              </w:rPr>
            </w:pPr>
            <w:r>
              <w:rPr>
                <w:rFonts w:hint="eastAsia" w:ascii="仿宋_GB2312" w:hAnsi="仿宋_GB2312" w:eastAsia="仿宋_GB2312" w:cs="仿宋_GB2312"/>
                <w:sz w:val="30"/>
                <w:szCs w:val="30"/>
              </w:rPr>
              <w:t>投标单位无条件向医院提供必要的消防技术支持服务，包括每年至少2次全院消防知识培训及演练。义务配合甲方所有科室做消防培训并制作消防档案记录册，灭火演习、消防疏散演习，免费提供消防疏散演习所使用的烟雾弹，如有需求可提供模拟疏散逃生帐篷，针对重点部位及科室，设置专项应急预案。投标单位培训老师持有有效的中级建（构）筑物消防员证书或消防设施操作员国家职业资格证书。</w:t>
            </w:r>
          </w:p>
        </w:tc>
      </w:tr>
      <w:tr w14:paraId="42AFA7EF">
        <w:tblPrEx>
          <w:tblCellMar>
            <w:top w:w="0" w:type="dxa"/>
            <w:left w:w="108" w:type="dxa"/>
            <w:bottom w:w="0" w:type="dxa"/>
            <w:right w:w="108" w:type="dxa"/>
          </w:tblCellMar>
        </w:tblPrEx>
        <w:trPr>
          <w:trHeight w:val="23" w:hRule="atLeast"/>
        </w:trPr>
        <w:tc>
          <w:tcPr>
            <w:tcW w:w="896" w:type="dxa"/>
            <w:tcBorders>
              <w:top w:val="single" w:color="auto" w:sz="4" w:space="0"/>
              <w:left w:val="single" w:color="auto" w:sz="4" w:space="0"/>
              <w:bottom w:val="single" w:color="auto" w:sz="4" w:space="0"/>
              <w:right w:val="single" w:color="auto" w:sz="4" w:space="0"/>
            </w:tcBorders>
            <w:vAlign w:val="center"/>
          </w:tcPr>
          <w:p w14:paraId="0FD3824C">
            <w:pPr>
              <w:spacing w:line="360" w:lineRule="auto"/>
              <w:rPr>
                <w:rFonts w:ascii="仿宋_GB2312" w:hAnsi="仿宋_GB2312" w:eastAsia="仿宋_GB2312" w:cs="仿宋_GB2312"/>
                <w:sz w:val="30"/>
                <w:szCs w:val="30"/>
              </w:rPr>
            </w:pPr>
          </w:p>
        </w:tc>
        <w:tc>
          <w:tcPr>
            <w:tcW w:w="928" w:type="dxa"/>
            <w:tcBorders>
              <w:top w:val="single" w:color="auto" w:sz="4" w:space="0"/>
              <w:left w:val="nil"/>
              <w:bottom w:val="single" w:color="auto" w:sz="4" w:space="0"/>
              <w:right w:val="single" w:color="auto" w:sz="4" w:space="0"/>
            </w:tcBorders>
            <w:vAlign w:val="center"/>
          </w:tcPr>
          <w:p w14:paraId="506974A2">
            <w:pPr>
              <w:spacing w:line="360" w:lineRule="auto"/>
              <w:rPr>
                <w:rFonts w:ascii="仿宋_GB2312" w:hAnsi="仿宋_GB2312" w:eastAsia="仿宋_GB2312" w:cs="仿宋_GB2312"/>
                <w:sz w:val="30"/>
                <w:szCs w:val="30"/>
              </w:rPr>
            </w:pPr>
            <w:r>
              <w:rPr>
                <w:rFonts w:hint="eastAsia" w:ascii="仿宋_GB2312" w:hAnsi="仿宋_GB2312" w:eastAsia="仿宋_GB2312" w:cs="仿宋_GB2312"/>
                <w:sz w:val="30"/>
                <w:szCs w:val="30"/>
              </w:rPr>
              <w:t>18</w:t>
            </w:r>
          </w:p>
        </w:tc>
        <w:tc>
          <w:tcPr>
            <w:tcW w:w="7213" w:type="dxa"/>
            <w:tcBorders>
              <w:top w:val="single" w:color="auto" w:sz="4" w:space="0"/>
              <w:left w:val="nil"/>
              <w:bottom w:val="single" w:color="auto" w:sz="4" w:space="0"/>
              <w:right w:val="single" w:color="auto" w:sz="4" w:space="0"/>
            </w:tcBorders>
            <w:vAlign w:val="center"/>
          </w:tcPr>
          <w:p w14:paraId="3626F44C">
            <w:pPr>
              <w:spacing w:line="360" w:lineRule="auto"/>
              <w:rPr>
                <w:rFonts w:ascii="仿宋_GB2312" w:hAnsi="仿宋_GB2312" w:eastAsia="仿宋_GB2312" w:cs="仿宋_GB2312"/>
                <w:sz w:val="30"/>
                <w:szCs w:val="30"/>
              </w:rPr>
            </w:pPr>
            <w:r>
              <w:rPr>
                <w:rFonts w:hint="eastAsia" w:ascii="仿宋_GB2312" w:hAnsi="仿宋_GB2312" w:eastAsia="仿宋_GB2312" w:cs="仿宋_GB2312"/>
                <w:sz w:val="30"/>
                <w:szCs w:val="30"/>
              </w:rPr>
              <w:t>如因乙方维保不及时等原因造成医院在各项检查中发生的行政处罚，维保企业承担全部责任并上缴相关费用。</w:t>
            </w:r>
          </w:p>
        </w:tc>
      </w:tr>
      <w:tr w14:paraId="0BB86220">
        <w:tblPrEx>
          <w:tblCellMar>
            <w:top w:w="0" w:type="dxa"/>
            <w:left w:w="108" w:type="dxa"/>
            <w:bottom w:w="0" w:type="dxa"/>
            <w:right w:w="108" w:type="dxa"/>
          </w:tblCellMar>
        </w:tblPrEx>
        <w:trPr>
          <w:trHeight w:val="23" w:hRule="atLeast"/>
        </w:trPr>
        <w:tc>
          <w:tcPr>
            <w:tcW w:w="896" w:type="dxa"/>
            <w:tcBorders>
              <w:top w:val="single" w:color="auto" w:sz="4" w:space="0"/>
              <w:left w:val="single" w:color="auto" w:sz="4" w:space="0"/>
              <w:bottom w:val="single" w:color="auto" w:sz="4" w:space="0"/>
              <w:right w:val="single" w:color="auto" w:sz="4" w:space="0"/>
            </w:tcBorders>
            <w:vAlign w:val="center"/>
          </w:tcPr>
          <w:p w14:paraId="30A0331D">
            <w:pPr>
              <w:spacing w:line="360" w:lineRule="auto"/>
              <w:rPr>
                <w:rFonts w:ascii="仿宋_GB2312" w:hAnsi="仿宋_GB2312" w:eastAsia="仿宋_GB2312" w:cs="仿宋_GB2312"/>
                <w:sz w:val="30"/>
                <w:szCs w:val="30"/>
              </w:rPr>
            </w:pPr>
            <w:r>
              <w:rPr>
                <w:rFonts w:hint="eastAsia" w:ascii="仿宋_GB2312" w:hAnsi="仿宋_GB2312" w:eastAsia="仿宋_GB2312" w:cs="仿宋_GB2312"/>
                <w:sz w:val="30"/>
                <w:szCs w:val="30"/>
              </w:rPr>
              <w:t xml:space="preserve"> </w:t>
            </w:r>
          </w:p>
        </w:tc>
        <w:tc>
          <w:tcPr>
            <w:tcW w:w="928" w:type="dxa"/>
            <w:tcBorders>
              <w:top w:val="single" w:color="auto" w:sz="4" w:space="0"/>
              <w:left w:val="nil"/>
              <w:bottom w:val="single" w:color="auto" w:sz="4" w:space="0"/>
              <w:right w:val="single" w:color="auto" w:sz="4" w:space="0"/>
            </w:tcBorders>
            <w:vAlign w:val="center"/>
          </w:tcPr>
          <w:p w14:paraId="527E571A">
            <w:pPr>
              <w:spacing w:line="360" w:lineRule="auto"/>
              <w:rPr>
                <w:rFonts w:ascii="仿宋_GB2312" w:hAnsi="仿宋_GB2312" w:eastAsia="仿宋_GB2312" w:cs="仿宋_GB2312"/>
                <w:sz w:val="30"/>
                <w:szCs w:val="30"/>
              </w:rPr>
            </w:pPr>
            <w:r>
              <w:rPr>
                <w:rFonts w:hint="eastAsia" w:ascii="仿宋_GB2312" w:hAnsi="仿宋_GB2312" w:eastAsia="仿宋_GB2312" w:cs="仿宋_GB2312"/>
                <w:sz w:val="30"/>
                <w:szCs w:val="30"/>
              </w:rPr>
              <w:t>19</w:t>
            </w:r>
          </w:p>
        </w:tc>
        <w:tc>
          <w:tcPr>
            <w:tcW w:w="7213" w:type="dxa"/>
            <w:tcBorders>
              <w:top w:val="single" w:color="auto" w:sz="4" w:space="0"/>
              <w:left w:val="nil"/>
              <w:bottom w:val="single" w:color="auto" w:sz="4" w:space="0"/>
              <w:right w:val="single" w:color="auto" w:sz="4" w:space="0"/>
            </w:tcBorders>
            <w:vAlign w:val="center"/>
          </w:tcPr>
          <w:p w14:paraId="16DCA124">
            <w:pPr>
              <w:spacing w:line="360" w:lineRule="auto"/>
              <w:rPr>
                <w:rFonts w:ascii="仿宋_GB2312" w:hAnsi="仿宋_GB2312" w:eastAsia="仿宋_GB2312" w:cs="仿宋_GB2312"/>
                <w:sz w:val="30"/>
                <w:szCs w:val="30"/>
              </w:rPr>
            </w:pPr>
            <w:r>
              <w:rPr>
                <w:rFonts w:hint="eastAsia" w:ascii="仿宋_GB2312" w:hAnsi="仿宋_GB2312" w:eastAsia="仿宋_GB2312" w:cs="仿宋_GB2312"/>
                <w:sz w:val="30"/>
                <w:szCs w:val="30"/>
              </w:rPr>
              <w:t>每月按计划测试设备，保证一年内所有设备全部测试一遍。确保设备的正常运行。</w:t>
            </w:r>
          </w:p>
        </w:tc>
      </w:tr>
      <w:tr w14:paraId="6B2C5178">
        <w:tblPrEx>
          <w:tblCellMar>
            <w:top w:w="0" w:type="dxa"/>
            <w:left w:w="108" w:type="dxa"/>
            <w:bottom w:w="0" w:type="dxa"/>
            <w:right w:w="108" w:type="dxa"/>
          </w:tblCellMar>
        </w:tblPrEx>
        <w:trPr>
          <w:trHeight w:val="23" w:hRule="atLeast"/>
        </w:trPr>
        <w:tc>
          <w:tcPr>
            <w:tcW w:w="896" w:type="dxa"/>
            <w:tcBorders>
              <w:top w:val="single" w:color="auto" w:sz="4" w:space="0"/>
              <w:left w:val="single" w:color="auto" w:sz="4" w:space="0"/>
              <w:bottom w:val="single" w:color="auto" w:sz="4" w:space="0"/>
              <w:right w:val="single" w:color="auto" w:sz="4" w:space="0"/>
            </w:tcBorders>
            <w:vAlign w:val="center"/>
          </w:tcPr>
          <w:p w14:paraId="688DA759">
            <w:pPr>
              <w:spacing w:line="360" w:lineRule="auto"/>
              <w:rPr>
                <w:rFonts w:ascii="仿宋_GB2312" w:hAnsi="仿宋_GB2312" w:eastAsia="仿宋_GB2312" w:cs="仿宋_GB2312"/>
                <w:sz w:val="30"/>
                <w:szCs w:val="30"/>
              </w:rPr>
            </w:pPr>
            <w:r>
              <w:rPr>
                <w:rFonts w:hint="eastAsia" w:ascii="仿宋_GB2312" w:hAnsi="仿宋_GB2312" w:eastAsia="仿宋_GB2312" w:cs="仿宋_GB2312"/>
                <w:sz w:val="30"/>
                <w:szCs w:val="30"/>
              </w:rPr>
              <w:t xml:space="preserve"> </w:t>
            </w:r>
          </w:p>
        </w:tc>
        <w:tc>
          <w:tcPr>
            <w:tcW w:w="928" w:type="dxa"/>
            <w:tcBorders>
              <w:top w:val="single" w:color="auto" w:sz="4" w:space="0"/>
              <w:left w:val="nil"/>
              <w:bottom w:val="single" w:color="auto" w:sz="4" w:space="0"/>
              <w:right w:val="single" w:color="auto" w:sz="4" w:space="0"/>
            </w:tcBorders>
            <w:vAlign w:val="center"/>
          </w:tcPr>
          <w:p w14:paraId="4870C4F4">
            <w:pPr>
              <w:spacing w:line="360" w:lineRule="auto"/>
              <w:rPr>
                <w:rFonts w:ascii="仿宋_GB2312" w:hAnsi="仿宋_GB2312" w:eastAsia="仿宋_GB2312" w:cs="仿宋_GB2312"/>
                <w:sz w:val="30"/>
                <w:szCs w:val="30"/>
              </w:rPr>
            </w:pPr>
            <w:r>
              <w:rPr>
                <w:rFonts w:hint="eastAsia" w:ascii="仿宋_GB2312" w:hAnsi="仿宋_GB2312" w:eastAsia="仿宋_GB2312" w:cs="仿宋_GB2312"/>
                <w:sz w:val="30"/>
                <w:szCs w:val="30"/>
              </w:rPr>
              <w:t>20</w:t>
            </w:r>
          </w:p>
        </w:tc>
        <w:tc>
          <w:tcPr>
            <w:tcW w:w="7213" w:type="dxa"/>
            <w:tcBorders>
              <w:top w:val="single" w:color="auto" w:sz="4" w:space="0"/>
              <w:left w:val="nil"/>
              <w:bottom w:val="single" w:color="auto" w:sz="4" w:space="0"/>
              <w:right w:val="single" w:color="auto" w:sz="4" w:space="0"/>
            </w:tcBorders>
            <w:vAlign w:val="center"/>
          </w:tcPr>
          <w:p w14:paraId="29479EA0">
            <w:pPr>
              <w:spacing w:line="360" w:lineRule="auto"/>
              <w:rPr>
                <w:rFonts w:ascii="仿宋_GB2312" w:hAnsi="仿宋_GB2312" w:eastAsia="仿宋_GB2312" w:cs="仿宋_GB2312"/>
                <w:sz w:val="30"/>
                <w:szCs w:val="30"/>
              </w:rPr>
            </w:pPr>
            <w:r>
              <w:rPr>
                <w:rFonts w:hint="eastAsia" w:ascii="仿宋_GB2312" w:hAnsi="仿宋_GB2312" w:eastAsia="仿宋_GB2312" w:cs="仿宋_GB2312"/>
                <w:sz w:val="30"/>
                <w:szCs w:val="30"/>
              </w:rPr>
              <w:t>维护、保养过程中必须清洗探测器，保证一年内对所有光电感烟探测器、感温探测器等探测器清洗一遍。</w:t>
            </w:r>
          </w:p>
        </w:tc>
      </w:tr>
      <w:tr w14:paraId="1BB587CD">
        <w:tblPrEx>
          <w:tblCellMar>
            <w:top w:w="0" w:type="dxa"/>
            <w:left w:w="108" w:type="dxa"/>
            <w:bottom w:w="0" w:type="dxa"/>
            <w:right w:w="108" w:type="dxa"/>
          </w:tblCellMar>
        </w:tblPrEx>
        <w:trPr>
          <w:trHeight w:val="23" w:hRule="atLeast"/>
        </w:trPr>
        <w:tc>
          <w:tcPr>
            <w:tcW w:w="896" w:type="dxa"/>
            <w:tcBorders>
              <w:top w:val="single" w:color="auto" w:sz="4" w:space="0"/>
              <w:left w:val="single" w:color="auto" w:sz="4" w:space="0"/>
              <w:bottom w:val="single" w:color="auto" w:sz="4" w:space="0"/>
              <w:right w:val="single" w:color="auto" w:sz="4" w:space="0"/>
            </w:tcBorders>
            <w:vAlign w:val="center"/>
          </w:tcPr>
          <w:p w14:paraId="5BF9A3CF">
            <w:pPr>
              <w:spacing w:line="360" w:lineRule="auto"/>
              <w:rPr>
                <w:rFonts w:ascii="仿宋_GB2312" w:hAnsi="仿宋_GB2312" w:eastAsia="仿宋_GB2312" w:cs="仿宋_GB2312"/>
                <w:sz w:val="30"/>
                <w:szCs w:val="30"/>
              </w:rPr>
            </w:pPr>
          </w:p>
        </w:tc>
        <w:tc>
          <w:tcPr>
            <w:tcW w:w="928" w:type="dxa"/>
            <w:tcBorders>
              <w:top w:val="single" w:color="auto" w:sz="4" w:space="0"/>
              <w:left w:val="nil"/>
              <w:bottom w:val="single" w:color="auto" w:sz="4" w:space="0"/>
              <w:right w:val="single" w:color="auto" w:sz="4" w:space="0"/>
            </w:tcBorders>
            <w:vAlign w:val="center"/>
          </w:tcPr>
          <w:p w14:paraId="2F746AE2">
            <w:pPr>
              <w:spacing w:line="360" w:lineRule="auto"/>
              <w:rPr>
                <w:rFonts w:ascii="仿宋_GB2312" w:hAnsi="仿宋_GB2312" w:eastAsia="仿宋_GB2312" w:cs="仿宋_GB2312"/>
                <w:sz w:val="30"/>
                <w:szCs w:val="30"/>
              </w:rPr>
            </w:pPr>
            <w:r>
              <w:rPr>
                <w:rFonts w:hint="eastAsia" w:ascii="仿宋_GB2312" w:hAnsi="仿宋_GB2312" w:eastAsia="仿宋_GB2312" w:cs="仿宋_GB2312"/>
                <w:sz w:val="30"/>
                <w:szCs w:val="30"/>
              </w:rPr>
              <w:t>21</w:t>
            </w:r>
          </w:p>
        </w:tc>
        <w:tc>
          <w:tcPr>
            <w:tcW w:w="7213" w:type="dxa"/>
            <w:tcBorders>
              <w:top w:val="single" w:color="auto" w:sz="4" w:space="0"/>
              <w:left w:val="nil"/>
              <w:bottom w:val="single" w:color="auto" w:sz="4" w:space="0"/>
              <w:right w:val="single" w:color="auto" w:sz="4" w:space="0"/>
            </w:tcBorders>
            <w:vAlign w:val="center"/>
          </w:tcPr>
          <w:p w14:paraId="6C395CDC">
            <w:pPr>
              <w:spacing w:line="360" w:lineRule="auto"/>
              <w:rPr>
                <w:rFonts w:ascii="仿宋_GB2312" w:hAnsi="仿宋_GB2312" w:eastAsia="仿宋_GB2312" w:cs="仿宋_GB2312"/>
                <w:sz w:val="30"/>
                <w:szCs w:val="30"/>
              </w:rPr>
            </w:pPr>
            <w:r>
              <w:rPr>
                <w:rFonts w:hint="eastAsia" w:ascii="仿宋_GB2312" w:hAnsi="仿宋_GB2312" w:eastAsia="仿宋_GB2312" w:cs="仿宋_GB2312"/>
                <w:sz w:val="30"/>
                <w:szCs w:val="30"/>
              </w:rPr>
              <w:t>在保养维护期间所涉及的专用仪器工具、辅助材料易损耗材料（润滑油、生料带、螺丝、垫片、电工胶带等）乙方承担。</w:t>
            </w:r>
          </w:p>
        </w:tc>
      </w:tr>
      <w:tr w14:paraId="3B13EF96">
        <w:tblPrEx>
          <w:tblCellMar>
            <w:top w:w="0" w:type="dxa"/>
            <w:left w:w="108" w:type="dxa"/>
            <w:bottom w:w="0" w:type="dxa"/>
            <w:right w:w="108" w:type="dxa"/>
          </w:tblCellMar>
        </w:tblPrEx>
        <w:trPr>
          <w:trHeight w:val="23" w:hRule="atLeast"/>
        </w:trPr>
        <w:tc>
          <w:tcPr>
            <w:tcW w:w="896" w:type="dxa"/>
            <w:tcBorders>
              <w:top w:val="single" w:color="auto" w:sz="4" w:space="0"/>
              <w:left w:val="single" w:color="auto" w:sz="4" w:space="0"/>
              <w:bottom w:val="single" w:color="auto" w:sz="4" w:space="0"/>
              <w:right w:val="single" w:color="auto" w:sz="4" w:space="0"/>
            </w:tcBorders>
            <w:vAlign w:val="center"/>
          </w:tcPr>
          <w:p w14:paraId="0C4FAFFE">
            <w:pPr>
              <w:spacing w:line="360" w:lineRule="auto"/>
              <w:rPr>
                <w:rFonts w:ascii="仿宋_GB2312" w:hAnsi="仿宋_GB2312" w:eastAsia="仿宋_GB2312" w:cs="仿宋_GB2312"/>
                <w:sz w:val="30"/>
                <w:szCs w:val="30"/>
              </w:rPr>
            </w:pPr>
            <w:r>
              <w:rPr>
                <w:rFonts w:hint="eastAsia" w:ascii="仿宋_GB2312" w:hAnsi="仿宋_GB2312" w:eastAsia="仿宋_GB2312" w:cs="仿宋_GB2312"/>
                <w:sz w:val="30"/>
                <w:szCs w:val="30"/>
              </w:rPr>
              <w:t>*</w:t>
            </w:r>
          </w:p>
        </w:tc>
        <w:tc>
          <w:tcPr>
            <w:tcW w:w="928" w:type="dxa"/>
            <w:tcBorders>
              <w:top w:val="single" w:color="auto" w:sz="4" w:space="0"/>
              <w:left w:val="nil"/>
              <w:bottom w:val="single" w:color="auto" w:sz="4" w:space="0"/>
              <w:right w:val="single" w:color="auto" w:sz="4" w:space="0"/>
            </w:tcBorders>
            <w:vAlign w:val="center"/>
          </w:tcPr>
          <w:p w14:paraId="7102AFBB">
            <w:pPr>
              <w:spacing w:line="360" w:lineRule="auto"/>
              <w:rPr>
                <w:rFonts w:ascii="仿宋_GB2312" w:hAnsi="仿宋_GB2312" w:eastAsia="仿宋_GB2312" w:cs="仿宋_GB2312"/>
                <w:sz w:val="30"/>
                <w:szCs w:val="30"/>
              </w:rPr>
            </w:pPr>
            <w:r>
              <w:rPr>
                <w:rFonts w:hint="eastAsia" w:ascii="仿宋_GB2312" w:hAnsi="仿宋_GB2312" w:eastAsia="仿宋_GB2312" w:cs="仿宋_GB2312"/>
                <w:sz w:val="30"/>
                <w:szCs w:val="30"/>
              </w:rPr>
              <w:t>2</w:t>
            </w:r>
            <w:r>
              <w:rPr>
                <w:rFonts w:ascii="仿宋_GB2312" w:hAnsi="仿宋_GB2312" w:eastAsia="仿宋_GB2312" w:cs="仿宋_GB2312"/>
                <w:sz w:val="30"/>
                <w:szCs w:val="30"/>
              </w:rPr>
              <w:t>2</w:t>
            </w:r>
          </w:p>
        </w:tc>
        <w:tc>
          <w:tcPr>
            <w:tcW w:w="7213" w:type="dxa"/>
            <w:tcBorders>
              <w:top w:val="single" w:color="auto" w:sz="4" w:space="0"/>
              <w:left w:val="nil"/>
              <w:bottom w:val="single" w:color="auto" w:sz="4" w:space="0"/>
              <w:right w:val="single" w:color="auto" w:sz="4" w:space="0"/>
            </w:tcBorders>
            <w:vAlign w:val="center"/>
          </w:tcPr>
          <w:p w14:paraId="2AB2B5A8">
            <w:pPr>
              <w:spacing w:line="360" w:lineRule="auto"/>
              <w:rPr>
                <w:rFonts w:ascii="仿宋_GB2312" w:hAnsi="仿宋_GB2312" w:eastAsia="仿宋_GB2312" w:cs="仿宋_GB2312"/>
                <w:sz w:val="30"/>
                <w:szCs w:val="30"/>
              </w:rPr>
            </w:pPr>
            <w:r>
              <w:rPr>
                <w:rFonts w:hint="eastAsia" w:ascii="仿宋_GB2312" w:hAnsi="仿宋_GB2312" w:eastAsia="仿宋_GB2312" w:cs="仿宋_GB2312"/>
                <w:sz w:val="30"/>
                <w:szCs w:val="30"/>
              </w:rPr>
              <w:t>乙方携带</w:t>
            </w:r>
            <w:r>
              <w:rPr>
                <w:rFonts w:hint="eastAsia" w:ascii="仿宋_GB2312" w:hAnsi="仿宋_GB2312" w:eastAsia="仿宋_GB2312" w:cs="仿宋_GB2312"/>
                <w:sz w:val="30"/>
                <w:szCs w:val="30"/>
                <w:lang w:val="en-US" w:eastAsia="zh-CN"/>
              </w:rPr>
              <w:t>维保</w:t>
            </w:r>
            <w:r>
              <w:rPr>
                <w:rFonts w:hint="eastAsia" w:ascii="仿宋_GB2312" w:hAnsi="仿宋_GB2312" w:eastAsia="仿宋_GB2312" w:cs="仿宋_GB2312"/>
                <w:sz w:val="30"/>
                <w:szCs w:val="30"/>
              </w:rPr>
              <w:t>小程序入场，小程序深入发放到科室以及每位职工，随时发现隐患及问题随时上传，乙方接收到信号，24小时内负责出方案并解决。（小程序除上传隐患外，还可以体现日常维护信息、培训预约、消防相关教育、消防器材使用方法、安全生产知识普及等）</w:t>
            </w:r>
          </w:p>
        </w:tc>
      </w:tr>
      <w:tr w14:paraId="64167BD8">
        <w:tblPrEx>
          <w:tblCellMar>
            <w:top w:w="0" w:type="dxa"/>
            <w:left w:w="108" w:type="dxa"/>
            <w:bottom w:w="0" w:type="dxa"/>
            <w:right w:w="108" w:type="dxa"/>
          </w:tblCellMar>
        </w:tblPrEx>
        <w:trPr>
          <w:trHeight w:val="23" w:hRule="atLeast"/>
        </w:trPr>
        <w:tc>
          <w:tcPr>
            <w:tcW w:w="896" w:type="dxa"/>
            <w:tcBorders>
              <w:top w:val="single" w:color="auto" w:sz="4" w:space="0"/>
              <w:left w:val="single" w:color="auto" w:sz="4" w:space="0"/>
              <w:bottom w:val="single" w:color="auto" w:sz="4" w:space="0"/>
              <w:right w:val="single" w:color="auto" w:sz="4" w:space="0"/>
            </w:tcBorders>
            <w:vAlign w:val="center"/>
          </w:tcPr>
          <w:p w14:paraId="10E0F17F">
            <w:pPr>
              <w:spacing w:line="360" w:lineRule="auto"/>
              <w:rPr>
                <w:rFonts w:ascii="仿宋_GB2312" w:hAnsi="仿宋_GB2312" w:eastAsia="仿宋_GB2312" w:cs="仿宋_GB2312"/>
                <w:sz w:val="30"/>
                <w:szCs w:val="30"/>
              </w:rPr>
            </w:pPr>
            <w:r>
              <w:rPr>
                <w:rFonts w:hint="eastAsia" w:ascii="仿宋_GB2312" w:hAnsi="仿宋_GB2312" w:eastAsia="仿宋_GB2312" w:cs="仿宋_GB2312"/>
                <w:sz w:val="30"/>
                <w:szCs w:val="30"/>
              </w:rPr>
              <w:t xml:space="preserve"> </w:t>
            </w:r>
          </w:p>
        </w:tc>
        <w:tc>
          <w:tcPr>
            <w:tcW w:w="928" w:type="dxa"/>
            <w:tcBorders>
              <w:top w:val="single" w:color="auto" w:sz="4" w:space="0"/>
              <w:left w:val="nil"/>
              <w:bottom w:val="single" w:color="auto" w:sz="4" w:space="0"/>
              <w:right w:val="single" w:color="auto" w:sz="4" w:space="0"/>
            </w:tcBorders>
            <w:vAlign w:val="center"/>
          </w:tcPr>
          <w:p w14:paraId="0A7F234C">
            <w:pPr>
              <w:spacing w:line="360" w:lineRule="auto"/>
              <w:rPr>
                <w:rFonts w:ascii="仿宋_GB2312" w:hAnsi="仿宋_GB2312" w:eastAsia="仿宋_GB2312" w:cs="仿宋_GB2312"/>
                <w:sz w:val="30"/>
                <w:szCs w:val="30"/>
              </w:rPr>
            </w:pPr>
            <w:r>
              <w:rPr>
                <w:rFonts w:hint="eastAsia" w:ascii="仿宋_GB2312" w:hAnsi="仿宋_GB2312" w:eastAsia="仿宋_GB2312" w:cs="仿宋_GB2312"/>
                <w:sz w:val="30"/>
                <w:szCs w:val="30"/>
              </w:rPr>
              <w:t>2</w:t>
            </w:r>
            <w:r>
              <w:rPr>
                <w:rFonts w:ascii="仿宋_GB2312" w:hAnsi="仿宋_GB2312" w:eastAsia="仿宋_GB2312" w:cs="仿宋_GB2312"/>
                <w:sz w:val="30"/>
                <w:szCs w:val="30"/>
              </w:rPr>
              <w:t>3</w:t>
            </w:r>
          </w:p>
        </w:tc>
        <w:tc>
          <w:tcPr>
            <w:tcW w:w="7213" w:type="dxa"/>
            <w:tcBorders>
              <w:top w:val="single" w:color="auto" w:sz="4" w:space="0"/>
              <w:left w:val="nil"/>
              <w:bottom w:val="single" w:color="auto" w:sz="4" w:space="0"/>
              <w:right w:val="single" w:color="auto" w:sz="4" w:space="0"/>
            </w:tcBorders>
            <w:vAlign w:val="center"/>
          </w:tcPr>
          <w:p w14:paraId="3120E964">
            <w:pPr>
              <w:spacing w:line="360" w:lineRule="auto"/>
              <w:rPr>
                <w:rFonts w:ascii="仿宋_GB2312" w:hAnsi="仿宋_GB2312" w:eastAsia="仿宋_GB2312" w:cs="仿宋_GB2312"/>
                <w:sz w:val="30"/>
                <w:szCs w:val="30"/>
              </w:rPr>
            </w:pPr>
            <w:r>
              <w:rPr>
                <w:rFonts w:hint="eastAsia" w:ascii="仿宋_GB2312" w:hAnsi="仿宋_GB2312" w:eastAsia="仿宋_GB2312" w:cs="仿宋_GB2312"/>
                <w:sz w:val="30"/>
                <w:szCs w:val="30"/>
              </w:rPr>
              <w:t>服从院方的考核细则（考核细则附后）。</w:t>
            </w:r>
          </w:p>
        </w:tc>
      </w:tr>
      <w:tr w14:paraId="31930640">
        <w:tblPrEx>
          <w:tblCellMar>
            <w:top w:w="0" w:type="dxa"/>
            <w:left w:w="108" w:type="dxa"/>
            <w:bottom w:w="0" w:type="dxa"/>
            <w:right w:w="108" w:type="dxa"/>
          </w:tblCellMar>
        </w:tblPrEx>
        <w:trPr>
          <w:trHeight w:val="23" w:hRule="atLeast"/>
        </w:trPr>
        <w:tc>
          <w:tcPr>
            <w:tcW w:w="9037" w:type="dxa"/>
            <w:gridSpan w:val="3"/>
            <w:tcBorders>
              <w:top w:val="single" w:color="auto" w:sz="4" w:space="0"/>
              <w:left w:val="single" w:color="auto" w:sz="4" w:space="0"/>
              <w:bottom w:val="single" w:color="auto" w:sz="4" w:space="0"/>
              <w:right w:val="single" w:color="auto" w:sz="4" w:space="0"/>
            </w:tcBorders>
            <w:vAlign w:val="center"/>
          </w:tcPr>
          <w:p w14:paraId="0CE8F03E">
            <w:pPr>
              <w:spacing w:line="360" w:lineRule="auto"/>
              <w:rPr>
                <w:rFonts w:hint="default" w:ascii="仿宋_GB2312" w:hAnsi="仿宋_GB2312" w:eastAsia="仿宋_GB2312" w:cs="仿宋_GB2312"/>
                <w:sz w:val="30"/>
                <w:szCs w:val="30"/>
                <w:lang w:val="en-US" w:eastAsia="zh-CN"/>
              </w:rPr>
            </w:pPr>
            <w:r>
              <w:rPr>
                <w:rFonts w:hint="eastAsia" w:ascii="仿宋_GB2312" w:hAnsi="仿宋_GB2312" w:eastAsia="仿宋_GB2312" w:cs="仿宋_GB2312"/>
                <w:sz w:val="30"/>
                <w:szCs w:val="30"/>
              </w:rPr>
              <w:t>注：“参数性质”标“*”表示此要求为主要服务指标</w:t>
            </w:r>
            <w:r>
              <w:rPr>
                <w:rFonts w:hint="eastAsia" w:ascii="仿宋_GB2312" w:hAnsi="仿宋_GB2312" w:eastAsia="仿宋_GB2312" w:cs="仿宋_GB2312"/>
                <w:sz w:val="30"/>
                <w:szCs w:val="30"/>
                <w:lang w:eastAsia="zh-CN"/>
              </w:rPr>
              <w:t>，</w:t>
            </w:r>
            <w:r>
              <w:rPr>
                <w:rFonts w:hint="eastAsia" w:ascii="宋体" w:hAnsi="宋体" w:eastAsia="宋体" w:cs="宋体"/>
                <w:sz w:val="24"/>
                <w:szCs w:val="24"/>
                <w:lang w:val="en-US" w:eastAsia="zh-CN"/>
              </w:rPr>
              <w:t>若有任何一条负偏离或不满足</w:t>
            </w:r>
            <w:r>
              <w:rPr>
                <w:rFonts w:hint="eastAsia" w:ascii="仿宋_GB2312" w:hAnsi="仿宋_GB2312" w:eastAsia="仿宋_GB2312" w:cs="仿宋_GB2312"/>
                <w:sz w:val="30"/>
                <w:szCs w:val="30"/>
                <w:lang w:val="en-US" w:eastAsia="zh-CN"/>
              </w:rPr>
              <w:t>作废标处理。</w:t>
            </w:r>
          </w:p>
        </w:tc>
      </w:tr>
    </w:tbl>
    <w:p w14:paraId="64CD42C4">
      <w:pPr>
        <w:spacing w:line="560" w:lineRule="exact"/>
        <w:ind w:firstLine="600" w:firstLineChars="200"/>
        <w:rPr>
          <w:rFonts w:ascii="黑体" w:hAnsi="黑体" w:eastAsia="黑体" w:cs="黑体"/>
          <w:sz w:val="30"/>
          <w:szCs w:val="30"/>
        </w:rPr>
      </w:pPr>
      <w:r>
        <w:rPr>
          <w:rFonts w:hint="eastAsia" w:ascii="黑体" w:hAnsi="黑体" w:eastAsia="黑体" w:cs="黑体"/>
          <w:sz w:val="30"/>
          <w:szCs w:val="30"/>
        </w:rPr>
        <w:t>六、消防维保考核细则</w:t>
      </w:r>
    </w:p>
    <w:p w14:paraId="782BC372">
      <w:pPr>
        <w:spacing w:line="560" w:lineRule="exact"/>
        <w:ind w:firstLine="585" w:firstLineChars="195"/>
        <w:rPr>
          <w:rFonts w:ascii="仿宋_GB2312" w:hAnsi="仿宋_GB2312" w:eastAsia="仿宋_GB2312" w:cs="仿宋_GB2312"/>
          <w:sz w:val="30"/>
          <w:szCs w:val="30"/>
        </w:rPr>
      </w:pPr>
      <w:r>
        <w:rPr>
          <w:rFonts w:hint="eastAsia" w:ascii="仿宋_GB2312" w:hAnsi="仿宋_GB2312" w:eastAsia="仿宋_GB2312" w:cs="仿宋_GB2312"/>
          <w:sz w:val="30"/>
          <w:szCs w:val="30"/>
        </w:rPr>
        <w:t>（一）消防维保考核标准：为了规范消防维修保养工作,提高消防维保的工作质量,防止消防安全事故的发生,根据《消防维保合同》及其它相关规定,制定本方法。</w:t>
      </w:r>
    </w:p>
    <w:p w14:paraId="43529B20">
      <w:pPr>
        <w:spacing w:line="560" w:lineRule="exact"/>
        <w:ind w:firstLine="585" w:firstLineChars="195"/>
        <w:rPr>
          <w:rFonts w:ascii="仿宋_GB2312" w:hAnsi="仿宋_GB2312" w:eastAsia="仿宋_GB2312" w:cs="仿宋_GB2312"/>
          <w:sz w:val="30"/>
          <w:szCs w:val="30"/>
        </w:rPr>
      </w:pPr>
      <w:r>
        <w:rPr>
          <w:rFonts w:hint="eastAsia" w:ascii="仿宋_GB2312" w:hAnsi="仿宋_GB2312" w:eastAsia="仿宋_GB2312" w:cs="仿宋_GB2312"/>
          <w:sz w:val="30"/>
          <w:szCs w:val="30"/>
        </w:rPr>
        <w:t>（二）考核对象和考核时间：中标维保公司进场工作开始。</w:t>
      </w:r>
    </w:p>
    <w:p w14:paraId="6E0000DC">
      <w:pPr>
        <w:spacing w:line="560" w:lineRule="exact"/>
        <w:ind w:firstLine="585" w:firstLineChars="195"/>
        <w:rPr>
          <w:rFonts w:hint="eastAsia" w:ascii="仿宋_GB2312" w:hAnsi="仿宋_GB2312" w:eastAsia="仿宋_GB2312" w:cs="仿宋_GB2312"/>
          <w:sz w:val="30"/>
          <w:szCs w:val="30"/>
        </w:rPr>
      </w:pPr>
      <w:r>
        <w:rPr>
          <w:rFonts w:hint="eastAsia" w:ascii="仿宋_GB2312" w:hAnsi="仿宋_GB2312" w:eastAsia="仿宋_GB2312" w:cs="仿宋_GB2312"/>
          <w:sz w:val="30"/>
          <w:szCs w:val="30"/>
        </w:rPr>
        <w:t>（三）考核时间:每月考核。</w:t>
      </w:r>
    </w:p>
    <w:p w14:paraId="41880374">
      <w:pPr>
        <w:spacing w:line="560" w:lineRule="exact"/>
        <w:ind w:firstLine="585" w:firstLineChars="195"/>
        <w:rPr>
          <w:rFonts w:ascii="仿宋_GB2312" w:hAnsi="仿宋_GB2312" w:eastAsia="仿宋_GB2312" w:cs="仿宋_GB2312"/>
          <w:sz w:val="30"/>
          <w:szCs w:val="30"/>
        </w:rPr>
      </w:pPr>
      <w:r>
        <w:rPr>
          <w:rFonts w:hint="eastAsia" w:ascii="仿宋_GB2312" w:hAnsi="仿宋_GB2312" w:eastAsia="仿宋_GB2312" w:cs="仿宋_GB2312"/>
          <w:sz w:val="30"/>
          <w:szCs w:val="30"/>
        </w:rPr>
        <w:t xml:space="preserve">（四）消防维保考核由甲方执行，乙方签字确认。消防维保考核完成情况:维保质量(20分)、消防设施设备维保(80分)两部分组成,总分100分。 </w:t>
      </w:r>
    </w:p>
    <w:p w14:paraId="08A313D7">
      <w:pPr>
        <w:spacing w:line="560" w:lineRule="exact"/>
        <w:ind w:firstLine="585" w:firstLineChars="195"/>
        <w:rPr>
          <w:rFonts w:ascii="仿宋_GB2312" w:hAnsi="仿宋_GB2312" w:eastAsia="仿宋_GB2312" w:cs="仿宋_GB2312"/>
          <w:sz w:val="30"/>
          <w:szCs w:val="30"/>
        </w:rPr>
      </w:pPr>
      <w:r>
        <w:rPr>
          <w:rFonts w:hint="eastAsia" w:ascii="仿宋_GB2312" w:hAnsi="仿宋_GB2312" w:eastAsia="仿宋_GB2312" w:cs="仿宋_GB2312"/>
          <w:sz w:val="30"/>
          <w:szCs w:val="30"/>
        </w:rPr>
        <w:t xml:space="preserve">（五）出勤考核：值班人员必须按时上岗，签到。                                                                                                                                                                                                                                                                                                                                                                                                                                                                                                                                                                                                                                                                                                                                                                                                                                                                                                                                                                                                                                                                                                                                                                                                                                                                                                                                                                                                                                                                                                                                                                                                                                                                                                                                                                                                                                                                                                                                                                                                                                                                                                                                                                                                                                                                                                                                                                                                                                                                                                                                                                                                                                                                                                                                                                                                                                                                                                                                                                                                                                                                                                                                                                                                                                                                                                                                                                                                                                                                                                                                                                                                                                                                                                                                                                                                                                                                                                                                                                                                                                                                                                                                                                                          </w:t>
      </w:r>
      <w:r>
        <w:rPr>
          <w:rFonts w:hint="eastAsia" w:ascii="仿宋_GB2312" w:hAnsi="仿宋_GB2312" w:eastAsia="仿宋_GB2312" w:cs="仿宋_GB2312"/>
          <w:sz w:val="30"/>
          <w:szCs w:val="30"/>
        </w:rPr>
        <w:t xml:space="preserve">                                                                                                                                                                                                                                                                                                                                                                                                                                                                                                                          </w:t>
      </w:r>
    </w:p>
    <w:p w14:paraId="323D7778">
      <w:pPr>
        <w:spacing w:line="560" w:lineRule="exact"/>
        <w:ind w:firstLine="600" w:firstLineChars="200"/>
        <w:rPr>
          <w:rFonts w:hint="eastAsia" w:ascii="仿宋_GB2312" w:hAnsi="仿宋_GB2312" w:eastAsia="仿宋_GB2312" w:cs="仿宋_GB2312"/>
          <w:sz w:val="30"/>
          <w:szCs w:val="30"/>
        </w:rPr>
      </w:pPr>
      <w:r>
        <w:rPr>
          <w:rFonts w:hint="eastAsia" w:ascii="仿宋_GB2312" w:hAnsi="仿宋_GB2312" w:eastAsia="仿宋_GB2312" w:cs="仿宋_GB2312"/>
          <w:sz w:val="30"/>
          <w:szCs w:val="30"/>
        </w:rPr>
        <w:t>（六）人员配备考核：本项目的项目负责人1人，必须具备在投标单位注册的合格有效的一级注册消防工程师执业证书；拟派本项目的4名值班人员，持有有效的中级建（构）筑物消防员证书或消防设施操作员国家职业资格证书，标书中需提供扫描件；拟派本项目的工作人员必须持证上岗，如更换或者替补人员，中标公司应15日内更换符合要求的工作人员，15日后未完成更换或者补齐，按每日200元金额从中标总金额扣除，人员补齐后停止扣除。</w:t>
      </w:r>
    </w:p>
    <w:p w14:paraId="0900BC92">
      <w:pPr>
        <w:spacing w:line="560" w:lineRule="exact"/>
        <w:ind w:firstLine="585" w:firstLineChars="195"/>
        <w:rPr>
          <w:rFonts w:ascii="仿宋_GB2312" w:hAnsi="仿宋_GB2312" w:eastAsia="仿宋_GB2312" w:cs="仿宋_GB2312"/>
          <w:sz w:val="30"/>
          <w:szCs w:val="30"/>
        </w:rPr>
      </w:pPr>
      <w:r>
        <w:rPr>
          <w:rFonts w:hint="eastAsia" w:ascii="仿宋_GB2312" w:hAnsi="仿宋_GB2312" w:eastAsia="仿宋_GB2312" w:cs="仿宋_GB2312"/>
          <w:sz w:val="30"/>
          <w:szCs w:val="30"/>
        </w:rPr>
        <w:t>（七）维修响应：设备误报，到现场立即解决（10分钟内）；一般故障2小时内解决；较大故障12小时内解决；重大故障48小时内解决，如超出维修响应时间每次考核200-1000元。</w:t>
      </w:r>
    </w:p>
    <w:p w14:paraId="617DE127">
      <w:pPr>
        <w:spacing w:line="560" w:lineRule="exact"/>
        <w:ind w:firstLine="585" w:firstLineChars="195"/>
        <w:rPr>
          <w:rFonts w:ascii="仿宋_GB2312" w:hAnsi="仿宋_GB2312" w:eastAsia="仿宋_GB2312" w:cs="仿宋_GB2312"/>
          <w:sz w:val="30"/>
          <w:szCs w:val="30"/>
        </w:rPr>
      </w:pPr>
      <w:r>
        <w:rPr>
          <w:rFonts w:hint="eastAsia" w:ascii="仿宋_GB2312" w:hAnsi="仿宋_GB2312" w:eastAsia="仿宋_GB2312" w:cs="仿宋_GB2312"/>
          <w:sz w:val="30"/>
          <w:szCs w:val="30"/>
        </w:rPr>
        <w:t>（八）维保效果：发现问题及时处理，确保设备的正常运行。</w:t>
      </w:r>
    </w:p>
    <w:p w14:paraId="7EECE06B">
      <w:pPr>
        <w:spacing w:line="560" w:lineRule="exact"/>
        <w:ind w:firstLine="585" w:firstLineChars="195"/>
        <w:rPr>
          <w:rFonts w:hint="eastAsia" w:ascii="仿宋_GB2312" w:hAnsi="仿宋_GB2312" w:eastAsia="仿宋_GB2312" w:cs="仿宋_GB2312"/>
          <w:sz w:val="30"/>
          <w:szCs w:val="30"/>
        </w:rPr>
      </w:pPr>
      <w:r>
        <w:rPr>
          <w:rFonts w:hint="eastAsia" w:ascii="仿宋_GB2312" w:hAnsi="仿宋_GB2312" w:eastAsia="仿宋_GB2312" w:cs="仿宋_GB2312"/>
          <w:sz w:val="30"/>
          <w:szCs w:val="30"/>
        </w:rPr>
        <w:t>（九）年度检修考核：严格按维保方案进行全院消防设施设备维护保养、测试。80分-90分为良，90分以上为优，季度考核分值低于70分时甲方有权解除维保合同，全年考核为优可续签第2、3年维保服务合同。考核分1分=</w:t>
      </w:r>
      <w:r>
        <w:rPr>
          <w:rFonts w:hint="eastAsia" w:ascii="仿宋_GB2312" w:hAnsi="仿宋_GB2312" w:eastAsia="仿宋_GB2312" w:cs="仿宋_GB2312"/>
          <w:sz w:val="30"/>
          <w:szCs w:val="30"/>
          <w:lang w:val="en-US" w:eastAsia="zh-CN"/>
        </w:rPr>
        <w:t>3</w:t>
      </w:r>
      <w:r>
        <w:rPr>
          <w:rFonts w:hint="eastAsia" w:ascii="仿宋_GB2312" w:hAnsi="仿宋_GB2312" w:eastAsia="仿宋_GB2312" w:cs="仿宋_GB2312"/>
          <w:sz w:val="30"/>
          <w:szCs w:val="30"/>
        </w:rPr>
        <w:t>00元。</w:t>
      </w:r>
    </w:p>
    <w:p w14:paraId="65A6A7A0">
      <w:pPr>
        <w:spacing w:line="560" w:lineRule="exact"/>
        <w:ind w:firstLine="585" w:firstLineChars="195"/>
        <w:rPr>
          <w:rFonts w:hint="eastAsia" w:ascii="仿宋_GB2312" w:hAnsi="仿宋_GB2312" w:eastAsia="仿宋_GB2312" w:cs="仿宋_GB2312"/>
          <w:sz w:val="30"/>
          <w:szCs w:val="30"/>
        </w:rPr>
        <w:sectPr>
          <w:pgSz w:w="11906" w:h="16838"/>
          <w:pgMar w:top="1440" w:right="1803" w:bottom="1440" w:left="1803" w:header="851" w:footer="992" w:gutter="0"/>
          <w:cols w:space="425" w:num="1"/>
          <w:docGrid w:type="lines" w:linePitch="319" w:charSpace="0"/>
        </w:sectPr>
      </w:pPr>
      <w:r>
        <w:rPr>
          <w:rFonts w:hint="eastAsia" w:ascii="仿宋_GB2312" w:hAnsi="仿宋_GB2312" w:eastAsia="仿宋_GB2312" w:cs="仿宋_GB2312"/>
          <w:sz w:val="30"/>
          <w:szCs w:val="30"/>
        </w:rPr>
        <w:t>（十）消防系统检测报告：如维保周期内中标单位未办理出具鄂尔多斯市中心医院消防系统检测报告，我院自行办理，费用支出由中标单位承担。</w:t>
      </w:r>
    </w:p>
    <w:p w14:paraId="388DF7C8">
      <w:pPr>
        <w:tabs>
          <w:tab w:val="left" w:pos="672"/>
          <w:tab w:val="left" w:pos="10447"/>
        </w:tabs>
        <w:spacing w:line="360" w:lineRule="auto"/>
        <w:ind w:firstLine="200"/>
        <w:jc w:val="left"/>
        <w:rPr>
          <w:rFonts w:ascii="宋体" w:hAnsi="宋体"/>
          <w:sz w:val="24"/>
        </w:rPr>
      </w:pPr>
      <w:r>
        <w:rPr>
          <w:rFonts w:hint="eastAsia" w:ascii="宋体" w:hAnsi="宋体"/>
          <w:sz w:val="24"/>
        </w:rPr>
        <w:t>鄂尔多斯市中心医院消防维保服务考核表</w:t>
      </w:r>
      <w:r>
        <w:rPr>
          <w:rFonts w:hint="eastAsia" w:ascii="宋体" w:hAnsi="宋体"/>
          <w:sz w:val="24"/>
        </w:rPr>
        <w:tab/>
      </w:r>
      <w:r>
        <w:rPr>
          <w:rFonts w:hint="eastAsia" w:ascii="宋体" w:hAnsi="宋体"/>
          <w:sz w:val="24"/>
        </w:rPr>
        <w:t>日期：      年     月     日</w:t>
      </w:r>
    </w:p>
    <w:tbl>
      <w:tblPr>
        <w:tblStyle w:val="14"/>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118"/>
        <w:gridCol w:w="1140"/>
        <w:gridCol w:w="3954"/>
        <w:gridCol w:w="3526"/>
        <w:gridCol w:w="4416"/>
        <w:gridCol w:w="891"/>
        <w:gridCol w:w="569"/>
      </w:tblGrid>
      <w:tr w14:paraId="4D8BD4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58" w:type="pct"/>
            <w:vAlign w:val="center"/>
          </w:tcPr>
          <w:p w14:paraId="2AF7C9A6">
            <w:pPr>
              <w:spacing w:line="360" w:lineRule="auto"/>
              <w:jc w:val="center"/>
              <w:rPr>
                <w:rFonts w:ascii="宋体" w:hAnsi="宋体"/>
                <w:sz w:val="18"/>
                <w:szCs w:val="18"/>
              </w:rPr>
            </w:pPr>
            <w:r>
              <w:rPr>
                <w:rFonts w:hint="eastAsia" w:ascii="宋体" w:hAnsi="宋体"/>
                <w:sz w:val="18"/>
                <w:szCs w:val="18"/>
              </w:rPr>
              <w:t>检查项目</w:t>
            </w:r>
          </w:p>
        </w:tc>
        <w:tc>
          <w:tcPr>
            <w:tcW w:w="1631" w:type="pct"/>
            <w:gridSpan w:val="2"/>
            <w:vAlign w:val="center"/>
          </w:tcPr>
          <w:p w14:paraId="2414D581">
            <w:pPr>
              <w:spacing w:line="360" w:lineRule="auto"/>
              <w:jc w:val="center"/>
              <w:rPr>
                <w:rFonts w:ascii="宋体" w:hAnsi="宋体"/>
                <w:sz w:val="18"/>
                <w:szCs w:val="18"/>
              </w:rPr>
            </w:pPr>
            <w:r>
              <w:rPr>
                <w:rFonts w:hint="eastAsia" w:ascii="宋体" w:hAnsi="宋体"/>
                <w:sz w:val="18"/>
                <w:szCs w:val="18"/>
              </w:rPr>
              <w:t>检查内容</w:t>
            </w:r>
          </w:p>
        </w:tc>
        <w:tc>
          <w:tcPr>
            <w:tcW w:w="1129" w:type="pct"/>
            <w:vAlign w:val="center"/>
          </w:tcPr>
          <w:p w14:paraId="5C6129C0">
            <w:pPr>
              <w:spacing w:line="360" w:lineRule="auto"/>
              <w:jc w:val="center"/>
              <w:rPr>
                <w:rFonts w:ascii="宋体" w:hAnsi="宋体"/>
                <w:sz w:val="18"/>
                <w:szCs w:val="18"/>
              </w:rPr>
            </w:pPr>
            <w:r>
              <w:rPr>
                <w:rFonts w:hint="eastAsia" w:ascii="宋体" w:hAnsi="宋体"/>
                <w:sz w:val="18"/>
                <w:szCs w:val="18"/>
              </w:rPr>
              <w:t>评分标准</w:t>
            </w:r>
          </w:p>
        </w:tc>
        <w:tc>
          <w:tcPr>
            <w:tcW w:w="1414" w:type="pct"/>
            <w:vAlign w:val="center"/>
          </w:tcPr>
          <w:p w14:paraId="3B6495CB">
            <w:pPr>
              <w:spacing w:line="360" w:lineRule="auto"/>
              <w:jc w:val="center"/>
              <w:rPr>
                <w:rFonts w:ascii="宋体" w:hAnsi="宋体"/>
                <w:sz w:val="18"/>
                <w:szCs w:val="18"/>
              </w:rPr>
            </w:pPr>
            <w:r>
              <w:rPr>
                <w:rFonts w:hint="eastAsia" w:ascii="宋体" w:hAnsi="宋体"/>
                <w:sz w:val="18"/>
                <w:szCs w:val="18"/>
              </w:rPr>
              <w:t>扣分原因</w:t>
            </w:r>
          </w:p>
        </w:tc>
        <w:tc>
          <w:tcPr>
            <w:tcW w:w="285" w:type="pct"/>
            <w:vAlign w:val="center"/>
          </w:tcPr>
          <w:p w14:paraId="1BE20983">
            <w:pPr>
              <w:spacing w:line="360" w:lineRule="auto"/>
              <w:jc w:val="center"/>
              <w:rPr>
                <w:rFonts w:ascii="宋体" w:hAnsi="宋体" w:eastAsia="宋体"/>
                <w:sz w:val="18"/>
                <w:szCs w:val="18"/>
              </w:rPr>
            </w:pPr>
            <w:r>
              <w:rPr>
                <w:rFonts w:hint="eastAsia" w:ascii="宋体" w:hAnsi="宋体"/>
                <w:sz w:val="18"/>
                <w:szCs w:val="18"/>
              </w:rPr>
              <w:t>扣分</w:t>
            </w:r>
          </w:p>
        </w:tc>
        <w:tc>
          <w:tcPr>
            <w:tcW w:w="182" w:type="pct"/>
            <w:vAlign w:val="center"/>
          </w:tcPr>
          <w:p w14:paraId="10881B17">
            <w:pPr>
              <w:spacing w:line="360" w:lineRule="auto"/>
              <w:jc w:val="center"/>
              <w:rPr>
                <w:rFonts w:ascii="宋体" w:hAnsi="宋体" w:eastAsia="宋体"/>
                <w:szCs w:val="21"/>
              </w:rPr>
            </w:pPr>
            <w:r>
              <w:rPr>
                <w:rFonts w:hint="eastAsia" w:ascii="宋体" w:hAnsi="宋体"/>
                <w:szCs w:val="21"/>
              </w:rPr>
              <w:t>备注</w:t>
            </w:r>
          </w:p>
        </w:tc>
      </w:tr>
      <w:tr w14:paraId="767ADF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58" w:type="pct"/>
            <w:vMerge w:val="restart"/>
            <w:vAlign w:val="center"/>
          </w:tcPr>
          <w:p w14:paraId="7A6A88E2">
            <w:pPr>
              <w:spacing w:line="360" w:lineRule="auto"/>
              <w:jc w:val="center"/>
              <w:rPr>
                <w:rFonts w:ascii="宋体" w:hAnsi="宋体"/>
                <w:sz w:val="18"/>
                <w:szCs w:val="18"/>
              </w:rPr>
            </w:pPr>
            <w:r>
              <w:rPr>
                <w:rFonts w:hint="eastAsia" w:ascii="宋体" w:hAnsi="宋体"/>
                <w:sz w:val="18"/>
                <w:szCs w:val="18"/>
              </w:rPr>
              <w:t>维保质量</w:t>
            </w:r>
          </w:p>
          <w:p w14:paraId="1EEC5E1B">
            <w:pPr>
              <w:spacing w:line="360" w:lineRule="auto"/>
              <w:jc w:val="center"/>
              <w:rPr>
                <w:rFonts w:ascii="宋体" w:hAnsi="宋体"/>
                <w:sz w:val="18"/>
                <w:szCs w:val="18"/>
              </w:rPr>
            </w:pPr>
            <w:r>
              <w:rPr>
                <w:rFonts w:hint="eastAsia" w:ascii="宋体" w:hAnsi="宋体"/>
                <w:sz w:val="18"/>
                <w:szCs w:val="18"/>
              </w:rPr>
              <w:t>（20分）</w:t>
            </w:r>
          </w:p>
        </w:tc>
        <w:tc>
          <w:tcPr>
            <w:tcW w:w="1631" w:type="pct"/>
            <w:gridSpan w:val="2"/>
          </w:tcPr>
          <w:p w14:paraId="6A5080D6">
            <w:pPr>
              <w:spacing w:line="360" w:lineRule="auto"/>
              <w:jc w:val="left"/>
              <w:rPr>
                <w:rFonts w:ascii="宋体" w:hAnsi="宋体" w:eastAsia="宋体"/>
                <w:sz w:val="18"/>
                <w:szCs w:val="18"/>
              </w:rPr>
            </w:pPr>
            <w:r>
              <w:rPr>
                <w:rFonts w:hint="eastAsia" w:ascii="宋体" w:hAnsi="宋体"/>
                <w:sz w:val="18"/>
                <w:szCs w:val="18"/>
              </w:rPr>
              <w:t>维保工作人员在岗情况</w:t>
            </w:r>
          </w:p>
        </w:tc>
        <w:tc>
          <w:tcPr>
            <w:tcW w:w="1129" w:type="pct"/>
          </w:tcPr>
          <w:p w14:paraId="40B0A009">
            <w:pPr>
              <w:spacing w:line="360" w:lineRule="auto"/>
              <w:jc w:val="left"/>
              <w:rPr>
                <w:rFonts w:ascii="宋体" w:hAnsi="宋体"/>
                <w:sz w:val="18"/>
                <w:szCs w:val="18"/>
              </w:rPr>
            </w:pPr>
            <w:r>
              <w:rPr>
                <w:rFonts w:hint="eastAsia" w:ascii="宋体" w:hAnsi="宋体"/>
                <w:sz w:val="18"/>
                <w:szCs w:val="18"/>
              </w:rPr>
              <w:t>每发现少一名工作人员扣1分。</w:t>
            </w:r>
          </w:p>
        </w:tc>
        <w:tc>
          <w:tcPr>
            <w:tcW w:w="1414" w:type="pct"/>
          </w:tcPr>
          <w:p w14:paraId="1DBE2204">
            <w:pPr>
              <w:spacing w:line="360" w:lineRule="auto"/>
              <w:jc w:val="left"/>
              <w:rPr>
                <w:rFonts w:ascii="宋体" w:hAnsi="宋体"/>
                <w:sz w:val="18"/>
                <w:szCs w:val="18"/>
              </w:rPr>
            </w:pPr>
          </w:p>
        </w:tc>
        <w:tc>
          <w:tcPr>
            <w:tcW w:w="285" w:type="pct"/>
          </w:tcPr>
          <w:p w14:paraId="6B6A1183">
            <w:pPr>
              <w:spacing w:line="360" w:lineRule="auto"/>
              <w:jc w:val="left"/>
              <w:rPr>
                <w:rFonts w:ascii="宋体" w:hAnsi="宋体"/>
                <w:sz w:val="18"/>
                <w:szCs w:val="18"/>
              </w:rPr>
            </w:pPr>
          </w:p>
        </w:tc>
        <w:tc>
          <w:tcPr>
            <w:tcW w:w="182" w:type="pct"/>
          </w:tcPr>
          <w:p w14:paraId="28623271">
            <w:pPr>
              <w:spacing w:line="360" w:lineRule="auto"/>
              <w:jc w:val="left"/>
              <w:rPr>
                <w:rFonts w:ascii="宋体" w:hAnsi="宋体"/>
                <w:szCs w:val="21"/>
              </w:rPr>
            </w:pPr>
          </w:p>
        </w:tc>
      </w:tr>
      <w:tr w14:paraId="05A1DE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58" w:type="pct"/>
            <w:vMerge w:val="continue"/>
            <w:vAlign w:val="center"/>
          </w:tcPr>
          <w:p w14:paraId="5166CDDE"/>
        </w:tc>
        <w:tc>
          <w:tcPr>
            <w:tcW w:w="1631" w:type="pct"/>
            <w:gridSpan w:val="2"/>
          </w:tcPr>
          <w:p w14:paraId="7B796609">
            <w:pPr>
              <w:spacing w:line="360" w:lineRule="auto"/>
              <w:jc w:val="left"/>
              <w:rPr>
                <w:rFonts w:ascii="宋体" w:hAnsi="宋体" w:eastAsia="宋体"/>
                <w:sz w:val="18"/>
                <w:szCs w:val="18"/>
              </w:rPr>
            </w:pPr>
            <w:r>
              <w:rPr>
                <w:rFonts w:hint="eastAsia" w:ascii="宋体" w:hAnsi="宋体"/>
                <w:sz w:val="18"/>
                <w:szCs w:val="18"/>
              </w:rPr>
              <w:t>医院审核</w:t>
            </w:r>
          </w:p>
        </w:tc>
        <w:tc>
          <w:tcPr>
            <w:tcW w:w="1129" w:type="pct"/>
          </w:tcPr>
          <w:p w14:paraId="7469BAC0">
            <w:pPr>
              <w:spacing w:line="360" w:lineRule="auto"/>
              <w:jc w:val="left"/>
              <w:rPr>
                <w:rFonts w:ascii="宋体" w:hAnsi="宋体" w:eastAsia="宋体"/>
                <w:sz w:val="18"/>
                <w:szCs w:val="18"/>
              </w:rPr>
            </w:pPr>
            <w:r>
              <w:rPr>
                <w:rFonts w:hint="eastAsia" w:ascii="宋体" w:hAnsi="宋体"/>
                <w:sz w:val="18"/>
                <w:szCs w:val="18"/>
              </w:rPr>
              <w:t>每发现一处消防系统不符合项扣1分。</w:t>
            </w:r>
          </w:p>
        </w:tc>
        <w:tc>
          <w:tcPr>
            <w:tcW w:w="1414" w:type="pct"/>
          </w:tcPr>
          <w:p w14:paraId="3B724B30">
            <w:pPr>
              <w:spacing w:line="360" w:lineRule="auto"/>
              <w:jc w:val="left"/>
              <w:rPr>
                <w:rFonts w:ascii="宋体" w:hAnsi="宋体"/>
                <w:sz w:val="18"/>
                <w:szCs w:val="18"/>
              </w:rPr>
            </w:pPr>
          </w:p>
        </w:tc>
        <w:tc>
          <w:tcPr>
            <w:tcW w:w="285" w:type="pct"/>
          </w:tcPr>
          <w:p w14:paraId="7F03F197">
            <w:pPr>
              <w:spacing w:line="360" w:lineRule="auto"/>
              <w:jc w:val="left"/>
              <w:rPr>
                <w:rFonts w:ascii="宋体" w:hAnsi="宋体"/>
                <w:sz w:val="18"/>
                <w:szCs w:val="18"/>
              </w:rPr>
            </w:pPr>
          </w:p>
        </w:tc>
        <w:tc>
          <w:tcPr>
            <w:tcW w:w="182" w:type="pct"/>
          </w:tcPr>
          <w:p w14:paraId="4EECBFF9">
            <w:pPr>
              <w:spacing w:line="360" w:lineRule="auto"/>
              <w:jc w:val="left"/>
              <w:rPr>
                <w:rFonts w:ascii="宋体" w:hAnsi="宋体"/>
                <w:szCs w:val="21"/>
              </w:rPr>
            </w:pPr>
          </w:p>
        </w:tc>
      </w:tr>
      <w:tr w14:paraId="5AE00D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58" w:type="pct"/>
            <w:vMerge w:val="continue"/>
            <w:vAlign w:val="center"/>
          </w:tcPr>
          <w:p w14:paraId="48ABBDBC"/>
        </w:tc>
        <w:tc>
          <w:tcPr>
            <w:tcW w:w="1631" w:type="pct"/>
            <w:gridSpan w:val="2"/>
          </w:tcPr>
          <w:p w14:paraId="2C12BFC4">
            <w:pPr>
              <w:spacing w:line="360" w:lineRule="auto"/>
              <w:jc w:val="left"/>
              <w:rPr>
                <w:rFonts w:ascii="宋体" w:hAnsi="宋体"/>
                <w:sz w:val="18"/>
                <w:szCs w:val="18"/>
              </w:rPr>
            </w:pPr>
            <w:r>
              <w:rPr>
                <w:rFonts w:hint="eastAsia" w:ascii="宋体" w:hAnsi="宋体"/>
                <w:sz w:val="18"/>
                <w:szCs w:val="18"/>
              </w:rPr>
              <w:t>安全检查</w:t>
            </w:r>
          </w:p>
        </w:tc>
        <w:tc>
          <w:tcPr>
            <w:tcW w:w="1129" w:type="pct"/>
          </w:tcPr>
          <w:p w14:paraId="54691BC3">
            <w:pPr>
              <w:spacing w:line="360" w:lineRule="auto"/>
              <w:jc w:val="left"/>
              <w:rPr>
                <w:rFonts w:ascii="宋体" w:hAnsi="宋体"/>
                <w:sz w:val="18"/>
                <w:szCs w:val="18"/>
              </w:rPr>
            </w:pPr>
            <w:r>
              <w:rPr>
                <w:rFonts w:hint="eastAsia" w:ascii="宋体" w:hAnsi="宋体"/>
                <w:sz w:val="18"/>
                <w:szCs w:val="18"/>
              </w:rPr>
              <w:t>每发现一处消防系统不符合项扣1分。</w:t>
            </w:r>
          </w:p>
        </w:tc>
        <w:tc>
          <w:tcPr>
            <w:tcW w:w="1414" w:type="pct"/>
          </w:tcPr>
          <w:p w14:paraId="70522984">
            <w:pPr>
              <w:spacing w:line="360" w:lineRule="auto"/>
              <w:jc w:val="left"/>
              <w:rPr>
                <w:rFonts w:ascii="宋体" w:hAnsi="宋体"/>
                <w:sz w:val="18"/>
                <w:szCs w:val="18"/>
              </w:rPr>
            </w:pPr>
          </w:p>
        </w:tc>
        <w:tc>
          <w:tcPr>
            <w:tcW w:w="285" w:type="pct"/>
          </w:tcPr>
          <w:p w14:paraId="37E1349A">
            <w:pPr>
              <w:spacing w:line="360" w:lineRule="auto"/>
              <w:jc w:val="left"/>
              <w:rPr>
                <w:rFonts w:ascii="宋体" w:hAnsi="宋体"/>
                <w:sz w:val="18"/>
                <w:szCs w:val="18"/>
              </w:rPr>
            </w:pPr>
          </w:p>
        </w:tc>
        <w:tc>
          <w:tcPr>
            <w:tcW w:w="182" w:type="pct"/>
          </w:tcPr>
          <w:p w14:paraId="5A045E7C">
            <w:pPr>
              <w:spacing w:line="360" w:lineRule="auto"/>
              <w:jc w:val="left"/>
              <w:rPr>
                <w:rFonts w:ascii="宋体" w:hAnsi="宋体"/>
                <w:szCs w:val="21"/>
              </w:rPr>
            </w:pPr>
          </w:p>
        </w:tc>
      </w:tr>
      <w:tr w14:paraId="232F51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58" w:type="pct"/>
            <w:vMerge w:val="continue"/>
            <w:vAlign w:val="center"/>
          </w:tcPr>
          <w:p w14:paraId="61B07983"/>
        </w:tc>
        <w:tc>
          <w:tcPr>
            <w:tcW w:w="1631" w:type="pct"/>
            <w:gridSpan w:val="2"/>
          </w:tcPr>
          <w:p w14:paraId="6CB1CB7A">
            <w:pPr>
              <w:spacing w:line="360" w:lineRule="auto"/>
              <w:jc w:val="left"/>
              <w:rPr>
                <w:rFonts w:ascii="宋体" w:hAnsi="宋体" w:eastAsia="宋体"/>
                <w:sz w:val="18"/>
                <w:szCs w:val="18"/>
              </w:rPr>
            </w:pPr>
            <w:r>
              <w:rPr>
                <w:rFonts w:hint="eastAsia" w:ascii="宋体" w:hAnsi="宋体" w:eastAsia="宋体"/>
                <w:sz w:val="18"/>
                <w:szCs w:val="18"/>
              </w:rPr>
              <w:t>维保工作人员变动需提前和甲方说明，待甲方审查合格后方可上岗</w:t>
            </w:r>
          </w:p>
        </w:tc>
        <w:tc>
          <w:tcPr>
            <w:tcW w:w="1129" w:type="pct"/>
          </w:tcPr>
          <w:p w14:paraId="6C360B94">
            <w:pPr>
              <w:spacing w:line="360" w:lineRule="auto"/>
              <w:jc w:val="left"/>
              <w:rPr>
                <w:rFonts w:ascii="宋体" w:hAnsi="宋体" w:eastAsia="宋体"/>
                <w:sz w:val="18"/>
                <w:szCs w:val="18"/>
              </w:rPr>
            </w:pPr>
            <w:r>
              <w:rPr>
                <w:rFonts w:hint="eastAsia" w:ascii="宋体" w:hAnsi="宋体" w:eastAsia="宋体"/>
                <w:sz w:val="18"/>
                <w:szCs w:val="18"/>
              </w:rPr>
              <w:t>每发现一次不符合扣1分。</w:t>
            </w:r>
          </w:p>
        </w:tc>
        <w:tc>
          <w:tcPr>
            <w:tcW w:w="1414" w:type="pct"/>
          </w:tcPr>
          <w:p w14:paraId="3FA4FC8C">
            <w:pPr>
              <w:spacing w:line="360" w:lineRule="auto"/>
              <w:jc w:val="left"/>
              <w:rPr>
                <w:rFonts w:ascii="宋体" w:hAnsi="宋体"/>
                <w:sz w:val="18"/>
                <w:szCs w:val="18"/>
              </w:rPr>
            </w:pPr>
          </w:p>
        </w:tc>
        <w:tc>
          <w:tcPr>
            <w:tcW w:w="285" w:type="pct"/>
          </w:tcPr>
          <w:p w14:paraId="7492EEE8">
            <w:pPr>
              <w:spacing w:line="360" w:lineRule="auto"/>
              <w:jc w:val="left"/>
              <w:rPr>
                <w:rFonts w:ascii="宋体" w:hAnsi="宋体"/>
                <w:sz w:val="18"/>
                <w:szCs w:val="18"/>
              </w:rPr>
            </w:pPr>
          </w:p>
        </w:tc>
        <w:tc>
          <w:tcPr>
            <w:tcW w:w="182" w:type="pct"/>
          </w:tcPr>
          <w:p w14:paraId="454A738D">
            <w:pPr>
              <w:spacing w:line="360" w:lineRule="auto"/>
              <w:jc w:val="left"/>
              <w:rPr>
                <w:rFonts w:ascii="宋体" w:hAnsi="宋体"/>
                <w:szCs w:val="21"/>
              </w:rPr>
            </w:pPr>
          </w:p>
        </w:tc>
      </w:tr>
      <w:tr w14:paraId="030BB8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58" w:type="pct"/>
            <w:vMerge w:val="restart"/>
            <w:vAlign w:val="center"/>
          </w:tcPr>
          <w:p w14:paraId="120D4995">
            <w:pPr>
              <w:spacing w:line="360" w:lineRule="auto"/>
              <w:jc w:val="center"/>
              <w:rPr>
                <w:rFonts w:ascii="宋体" w:hAnsi="宋体"/>
                <w:sz w:val="18"/>
                <w:szCs w:val="18"/>
              </w:rPr>
            </w:pPr>
            <w:r>
              <w:rPr>
                <w:rFonts w:hint="eastAsia" w:ascii="宋体" w:hAnsi="宋体"/>
                <w:sz w:val="18"/>
                <w:szCs w:val="18"/>
              </w:rPr>
              <w:t>消防设施设备维保</w:t>
            </w:r>
          </w:p>
          <w:p w14:paraId="7C3DA9C3">
            <w:pPr>
              <w:spacing w:line="360" w:lineRule="auto"/>
              <w:jc w:val="center"/>
              <w:rPr>
                <w:rFonts w:ascii="宋体" w:hAnsi="宋体"/>
                <w:sz w:val="18"/>
                <w:szCs w:val="18"/>
              </w:rPr>
            </w:pPr>
            <w:r>
              <w:rPr>
                <w:rFonts w:hint="eastAsia" w:ascii="宋体" w:hAnsi="宋体"/>
                <w:sz w:val="18"/>
                <w:szCs w:val="18"/>
              </w:rPr>
              <w:t>（80分）</w:t>
            </w:r>
          </w:p>
        </w:tc>
        <w:tc>
          <w:tcPr>
            <w:tcW w:w="365" w:type="pct"/>
            <w:vMerge w:val="restart"/>
          </w:tcPr>
          <w:p w14:paraId="09A4CC74">
            <w:pPr>
              <w:spacing w:line="360" w:lineRule="auto"/>
              <w:jc w:val="left"/>
              <w:rPr>
                <w:rFonts w:ascii="宋体" w:hAnsi="宋体"/>
                <w:sz w:val="18"/>
                <w:szCs w:val="18"/>
              </w:rPr>
            </w:pPr>
            <w:r>
              <w:rPr>
                <w:rFonts w:ascii="宋体" w:hAnsi="宋体" w:cs="宋体"/>
                <w:sz w:val="18"/>
                <w:szCs w:val="18"/>
              </w:rPr>
              <w:t>火灾自动报警、火灾警报和应急广播系统系统</w:t>
            </w:r>
          </w:p>
        </w:tc>
        <w:tc>
          <w:tcPr>
            <w:tcW w:w="1266" w:type="pct"/>
          </w:tcPr>
          <w:p w14:paraId="64B057D7">
            <w:pPr>
              <w:spacing w:line="360" w:lineRule="auto"/>
              <w:jc w:val="left"/>
              <w:rPr>
                <w:rFonts w:ascii="宋体" w:hAnsi="宋体" w:eastAsia="宋体" w:cs="宋体"/>
                <w:sz w:val="18"/>
                <w:szCs w:val="18"/>
              </w:rPr>
            </w:pPr>
            <w:r>
              <w:rPr>
                <w:rFonts w:hint="eastAsia" w:ascii="宋体" w:hAnsi="宋体" w:cs="宋体"/>
                <w:sz w:val="18"/>
                <w:szCs w:val="18"/>
              </w:rPr>
              <w:t>火灾自动报警主机的声、光显示和所有外设警示设备功能</w:t>
            </w:r>
          </w:p>
        </w:tc>
        <w:tc>
          <w:tcPr>
            <w:tcW w:w="1129" w:type="pct"/>
            <w:vMerge w:val="restart"/>
          </w:tcPr>
          <w:p w14:paraId="03A587A9">
            <w:pPr>
              <w:spacing w:line="360" w:lineRule="auto"/>
              <w:jc w:val="left"/>
              <w:rPr>
                <w:rFonts w:ascii="宋体" w:hAnsi="宋体"/>
                <w:sz w:val="18"/>
                <w:szCs w:val="18"/>
              </w:rPr>
            </w:pPr>
            <w:r>
              <w:rPr>
                <w:rFonts w:hint="eastAsia" w:ascii="宋体" w:hAnsi="宋体"/>
                <w:sz w:val="18"/>
                <w:szCs w:val="18"/>
              </w:rPr>
              <w:t>1、火灾自动报警主机声、光显示及外设警示设备有故障,每发现1次扣1分。</w:t>
            </w:r>
          </w:p>
          <w:p w14:paraId="4932AC6C">
            <w:pPr>
              <w:spacing w:line="360" w:lineRule="auto"/>
              <w:jc w:val="left"/>
              <w:rPr>
                <w:rFonts w:ascii="宋体" w:hAnsi="宋体"/>
                <w:sz w:val="18"/>
                <w:szCs w:val="18"/>
              </w:rPr>
            </w:pPr>
            <w:r>
              <w:rPr>
                <w:rFonts w:hint="eastAsia" w:ascii="宋体" w:hAnsi="宋体"/>
                <w:sz w:val="18"/>
                <w:szCs w:val="18"/>
              </w:rPr>
              <w:t>2、火灾探测器和手动报警器消防火灾报警</w:t>
            </w:r>
          </w:p>
          <w:p w14:paraId="1C82FC39">
            <w:pPr>
              <w:spacing w:line="360" w:lineRule="auto"/>
              <w:jc w:val="left"/>
              <w:rPr>
                <w:rFonts w:ascii="宋体" w:hAnsi="宋体"/>
                <w:sz w:val="18"/>
                <w:szCs w:val="18"/>
              </w:rPr>
            </w:pPr>
            <w:r>
              <w:rPr>
                <w:rFonts w:hint="eastAsia" w:ascii="宋体" w:hAnsi="宋体"/>
                <w:sz w:val="18"/>
                <w:szCs w:val="18"/>
              </w:rPr>
              <w:t>不能正常巡检,报警有故障,每发现1次扣1分。</w:t>
            </w:r>
          </w:p>
          <w:p w14:paraId="0AF466D7">
            <w:pPr>
              <w:spacing w:line="360" w:lineRule="auto"/>
              <w:jc w:val="left"/>
              <w:rPr>
                <w:rFonts w:ascii="宋体" w:hAnsi="宋体"/>
                <w:sz w:val="18"/>
                <w:szCs w:val="18"/>
              </w:rPr>
            </w:pPr>
            <w:r>
              <w:rPr>
                <w:rFonts w:hint="eastAsia" w:ascii="宋体" w:hAnsi="宋体"/>
                <w:sz w:val="18"/>
                <w:szCs w:val="18"/>
              </w:rPr>
              <w:t>3、主备电源不能正常切换,每发现1次扣1分。</w:t>
            </w:r>
          </w:p>
          <w:p w14:paraId="1D019066">
            <w:pPr>
              <w:spacing w:line="360" w:lineRule="auto"/>
              <w:jc w:val="left"/>
              <w:rPr>
                <w:rFonts w:ascii="宋体" w:hAnsi="宋体" w:eastAsia="宋体"/>
                <w:sz w:val="18"/>
                <w:szCs w:val="18"/>
              </w:rPr>
            </w:pPr>
            <w:r>
              <w:rPr>
                <w:rFonts w:hint="eastAsia" w:ascii="宋体" w:hAnsi="宋体"/>
                <w:sz w:val="18"/>
                <w:szCs w:val="18"/>
              </w:rPr>
              <w:t>4、室内消火栓、喷淋、防火卷市门、正压送风、机械排烟声光报警、消防广播、应急照明、消防电梯联动功能测试有故障,每发现1次扣1分。</w:t>
            </w:r>
          </w:p>
        </w:tc>
        <w:tc>
          <w:tcPr>
            <w:tcW w:w="1414" w:type="pct"/>
          </w:tcPr>
          <w:p w14:paraId="7A43DE6E">
            <w:pPr>
              <w:spacing w:line="360" w:lineRule="auto"/>
              <w:jc w:val="left"/>
              <w:rPr>
                <w:rFonts w:ascii="宋体" w:hAnsi="宋体"/>
                <w:sz w:val="18"/>
                <w:szCs w:val="18"/>
              </w:rPr>
            </w:pPr>
          </w:p>
        </w:tc>
        <w:tc>
          <w:tcPr>
            <w:tcW w:w="285" w:type="pct"/>
          </w:tcPr>
          <w:p w14:paraId="5BA29CA4">
            <w:pPr>
              <w:spacing w:line="360" w:lineRule="auto"/>
              <w:jc w:val="left"/>
              <w:rPr>
                <w:rFonts w:ascii="宋体" w:hAnsi="宋体"/>
                <w:sz w:val="18"/>
                <w:szCs w:val="18"/>
              </w:rPr>
            </w:pPr>
          </w:p>
        </w:tc>
        <w:tc>
          <w:tcPr>
            <w:tcW w:w="182" w:type="pct"/>
          </w:tcPr>
          <w:p w14:paraId="57C5F644">
            <w:pPr>
              <w:spacing w:line="360" w:lineRule="auto"/>
              <w:jc w:val="left"/>
              <w:rPr>
                <w:rFonts w:ascii="宋体" w:hAnsi="宋体"/>
                <w:sz w:val="28"/>
                <w:szCs w:val="28"/>
              </w:rPr>
            </w:pPr>
          </w:p>
        </w:tc>
      </w:tr>
      <w:tr w14:paraId="773FF5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58" w:type="pct"/>
            <w:vMerge w:val="continue"/>
            <w:vAlign w:val="center"/>
          </w:tcPr>
          <w:p w14:paraId="2F466C43"/>
        </w:tc>
        <w:tc>
          <w:tcPr>
            <w:tcW w:w="365" w:type="pct"/>
            <w:vMerge w:val="continue"/>
          </w:tcPr>
          <w:p w14:paraId="77A0FC3E"/>
        </w:tc>
        <w:tc>
          <w:tcPr>
            <w:tcW w:w="1266" w:type="pct"/>
          </w:tcPr>
          <w:p w14:paraId="7A5BF359">
            <w:pPr>
              <w:spacing w:line="360" w:lineRule="auto"/>
              <w:jc w:val="left"/>
              <w:rPr>
                <w:rFonts w:ascii="宋体" w:hAnsi="宋体" w:eastAsia="宋体"/>
                <w:sz w:val="18"/>
                <w:szCs w:val="18"/>
              </w:rPr>
            </w:pPr>
            <w:r>
              <w:rPr>
                <w:rFonts w:hint="eastAsia" w:ascii="宋体" w:hAnsi="宋体"/>
                <w:sz w:val="18"/>
                <w:szCs w:val="18"/>
              </w:rPr>
              <w:t>火灾探测器和手动报警按钮的动作及确认灯显示</w:t>
            </w:r>
          </w:p>
        </w:tc>
        <w:tc>
          <w:tcPr>
            <w:tcW w:w="1129" w:type="pct"/>
            <w:vMerge w:val="continue"/>
          </w:tcPr>
          <w:p w14:paraId="72828BB0"/>
        </w:tc>
        <w:tc>
          <w:tcPr>
            <w:tcW w:w="1414" w:type="pct"/>
          </w:tcPr>
          <w:p w14:paraId="1A8D93E1">
            <w:pPr>
              <w:spacing w:line="360" w:lineRule="auto"/>
              <w:jc w:val="left"/>
              <w:rPr>
                <w:rFonts w:ascii="宋体" w:hAnsi="宋体"/>
                <w:sz w:val="18"/>
                <w:szCs w:val="18"/>
              </w:rPr>
            </w:pPr>
          </w:p>
        </w:tc>
        <w:tc>
          <w:tcPr>
            <w:tcW w:w="285" w:type="pct"/>
          </w:tcPr>
          <w:p w14:paraId="5E93DAC2">
            <w:pPr>
              <w:spacing w:line="360" w:lineRule="auto"/>
              <w:jc w:val="left"/>
              <w:rPr>
                <w:rFonts w:ascii="宋体" w:hAnsi="宋体"/>
                <w:sz w:val="18"/>
                <w:szCs w:val="18"/>
              </w:rPr>
            </w:pPr>
          </w:p>
        </w:tc>
        <w:tc>
          <w:tcPr>
            <w:tcW w:w="182" w:type="pct"/>
          </w:tcPr>
          <w:p w14:paraId="083FE4D6">
            <w:pPr>
              <w:spacing w:line="360" w:lineRule="auto"/>
              <w:jc w:val="left"/>
              <w:rPr>
                <w:rFonts w:ascii="宋体" w:hAnsi="宋体"/>
                <w:sz w:val="28"/>
                <w:szCs w:val="28"/>
              </w:rPr>
            </w:pPr>
          </w:p>
        </w:tc>
      </w:tr>
      <w:tr w14:paraId="568CE4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58" w:type="pct"/>
            <w:vMerge w:val="continue"/>
            <w:vAlign w:val="center"/>
          </w:tcPr>
          <w:p w14:paraId="45F1C4CC"/>
        </w:tc>
        <w:tc>
          <w:tcPr>
            <w:tcW w:w="365" w:type="pct"/>
            <w:vMerge w:val="continue"/>
          </w:tcPr>
          <w:p w14:paraId="02CF8945"/>
        </w:tc>
        <w:tc>
          <w:tcPr>
            <w:tcW w:w="1266" w:type="pct"/>
          </w:tcPr>
          <w:p w14:paraId="604E3CAB">
            <w:pPr>
              <w:spacing w:line="360" w:lineRule="auto"/>
              <w:jc w:val="left"/>
              <w:rPr>
                <w:rFonts w:ascii="宋体" w:hAnsi="宋体" w:eastAsia="宋体"/>
                <w:sz w:val="18"/>
                <w:szCs w:val="18"/>
              </w:rPr>
            </w:pPr>
            <w:r>
              <w:rPr>
                <w:rFonts w:hint="eastAsia" w:ascii="宋体" w:hAnsi="宋体"/>
                <w:sz w:val="18"/>
                <w:szCs w:val="18"/>
              </w:rPr>
              <w:t>自动喷淋系统水流指示器、压力开关等信号设备的反馈情况</w:t>
            </w:r>
          </w:p>
        </w:tc>
        <w:tc>
          <w:tcPr>
            <w:tcW w:w="1129" w:type="pct"/>
            <w:vMerge w:val="continue"/>
          </w:tcPr>
          <w:p w14:paraId="23EA071E"/>
        </w:tc>
        <w:tc>
          <w:tcPr>
            <w:tcW w:w="1414" w:type="pct"/>
          </w:tcPr>
          <w:p w14:paraId="10C12229">
            <w:pPr>
              <w:spacing w:line="360" w:lineRule="auto"/>
              <w:jc w:val="left"/>
              <w:rPr>
                <w:rFonts w:ascii="宋体" w:hAnsi="宋体"/>
                <w:sz w:val="18"/>
                <w:szCs w:val="18"/>
              </w:rPr>
            </w:pPr>
          </w:p>
        </w:tc>
        <w:tc>
          <w:tcPr>
            <w:tcW w:w="285" w:type="pct"/>
          </w:tcPr>
          <w:p w14:paraId="39B52F6B">
            <w:pPr>
              <w:spacing w:line="360" w:lineRule="auto"/>
              <w:jc w:val="left"/>
              <w:rPr>
                <w:rFonts w:ascii="宋体" w:hAnsi="宋体"/>
                <w:sz w:val="18"/>
                <w:szCs w:val="18"/>
              </w:rPr>
            </w:pPr>
          </w:p>
        </w:tc>
        <w:tc>
          <w:tcPr>
            <w:tcW w:w="182" w:type="pct"/>
          </w:tcPr>
          <w:p w14:paraId="474D942B">
            <w:pPr>
              <w:spacing w:line="360" w:lineRule="auto"/>
              <w:jc w:val="left"/>
              <w:rPr>
                <w:rFonts w:ascii="宋体" w:hAnsi="宋体"/>
                <w:sz w:val="28"/>
                <w:szCs w:val="28"/>
              </w:rPr>
            </w:pPr>
          </w:p>
        </w:tc>
      </w:tr>
      <w:tr w14:paraId="3A4C0F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58" w:type="pct"/>
            <w:vMerge w:val="continue"/>
            <w:vAlign w:val="center"/>
          </w:tcPr>
          <w:p w14:paraId="1CDF8B68"/>
        </w:tc>
        <w:tc>
          <w:tcPr>
            <w:tcW w:w="365" w:type="pct"/>
            <w:vMerge w:val="continue"/>
          </w:tcPr>
          <w:p w14:paraId="0579ACF5"/>
        </w:tc>
        <w:tc>
          <w:tcPr>
            <w:tcW w:w="1266" w:type="pct"/>
          </w:tcPr>
          <w:p w14:paraId="15336958">
            <w:pPr>
              <w:spacing w:line="360" w:lineRule="auto"/>
              <w:jc w:val="left"/>
              <w:rPr>
                <w:rFonts w:ascii="宋体" w:hAnsi="宋体" w:eastAsia="宋体"/>
                <w:sz w:val="18"/>
                <w:szCs w:val="18"/>
              </w:rPr>
            </w:pPr>
            <w:r>
              <w:rPr>
                <w:rFonts w:hint="eastAsia" w:ascii="宋体" w:hAnsi="宋体"/>
                <w:sz w:val="18"/>
                <w:szCs w:val="18"/>
              </w:rPr>
              <w:t>对备用电源供电系统进行二次主电源和备用电源自动切换试验</w:t>
            </w:r>
          </w:p>
        </w:tc>
        <w:tc>
          <w:tcPr>
            <w:tcW w:w="1129" w:type="pct"/>
            <w:vMerge w:val="continue"/>
          </w:tcPr>
          <w:p w14:paraId="4B988427"/>
        </w:tc>
        <w:tc>
          <w:tcPr>
            <w:tcW w:w="1414" w:type="pct"/>
          </w:tcPr>
          <w:p w14:paraId="1B8DD650">
            <w:pPr>
              <w:spacing w:line="360" w:lineRule="auto"/>
              <w:jc w:val="left"/>
              <w:rPr>
                <w:rFonts w:ascii="宋体" w:hAnsi="宋体"/>
                <w:sz w:val="18"/>
                <w:szCs w:val="18"/>
              </w:rPr>
            </w:pPr>
          </w:p>
        </w:tc>
        <w:tc>
          <w:tcPr>
            <w:tcW w:w="285" w:type="pct"/>
          </w:tcPr>
          <w:p w14:paraId="08E77D8D">
            <w:pPr>
              <w:spacing w:line="360" w:lineRule="auto"/>
              <w:jc w:val="left"/>
              <w:rPr>
                <w:rFonts w:ascii="宋体" w:hAnsi="宋体"/>
                <w:sz w:val="18"/>
                <w:szCs w:val="18"/>
              </w:rPr>
            </w:pPr>
          </w:p>
        </w:tc>
        <w:tc>
          <w:tcPr>
            <w:tcW w:w="182" w:type="pct"/>
          </w:tcPr>
          <w:p w14:paraId="70D11B86">
            <w:pPr>
              <w:spacing w:line="360" w:lineRule="auto"/>
              <w:jc w:val="left"/>
              <w:rPr>
                <w:rFonts w:ascii="宋体" w:hAnsi="宋体"/>
                <w:sz w:val="28"/>
                <w:szCs w:val="28"/>
              </w:rPr>
            </w:pPr>
          </w:p>
        </w:tc>
      </w:tr>
      <w:tr w14:paraId="4004CA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58" w:type="pct"/>
            <w:vMerge w:val="continue"/>
            <w:vAlign w:val="center"/>
          </w:tcPr>
          <w:p w14:paraId="3D8D669D"/>
        </w:tc>
        <w:tc>
          <w:tcPr>
            <w:tcW w:w="365" w:type="pct"/>
            <w:vMerge w:val="continue"/>
          </w:tcPr>
          <w:p w14:paraId="65A1A7E1"/>
        </w:tc>
        <w:tc>
          <w:tcPr>
            <w:tcW w:w="1266" w:type="pct"/>
          </w:tcPr>
          <w:p w14:paraId="1AED3B8E">
            <w:pPr>
              <w:spacing w:line="360" w:lineRule="auto"/>
              <w:jc w:val="left"/>
              <w:rPr>
                <w:rFonts w:ascii="宋体" w:hAnsi="宋体" w:eastAsia="宋体"/>
                <w:sz w:val="18"/>
                <w:szCs w:val="18"/>
              </w:rPr>
            </w:pPr>
            <w:r>
              <w:rPr>
                <w:rFonts w:hint="eastAsia" w:ascii="宋体" w:hAnsi="宋体"/>
                <w:sz w:val="18"/>
                <w:szCs w:val="18"/>
              </w:rPr>
              <w:t>室内消火栓及喷淋系统联动功能测试</w:t>
            </w:r>
          </w:p>
        </w:tc>
        <w:tc>
          <w:tcPr>
            <w:tcW w:w="1129" w:type="pct"/>
            <w:vMerge w:val="continue"/>
          </w:tcPr>
          <w:p w14:paraId="4D57570F"/>
        </w:tc>
        <w:tc>
          <w:tcPr>
            <w:tcW w:w="1414" w:type="pct"/>
          </w:tcPr>
          <w:p w14:paraId="36A8D267">
            <w:pPr>
              <w:spacing w:line="360" w:lineRule="auto"/>
              <w:jc w:val="left"/>
              <w:rPr>
                <w:rFonts w:ascii="宋体" w:hAnsi="宋体"/>
                <w:sz w:val="18"/>
                <w:szCs w:val="18"/>
              </w:rPr>
            </w:pPr>
          </w:p>
        </w:tc>
        <w:tc>
          <w:tcPr>
            <w:tcW w:w="285" w:type="pct"/>
          </w:tcPr>
          <w:p w14:paraId="2246789A">
            <w:pPr>
              <w:spacing w:line="360" w:lineRule="auto"/>
              <w:jc w:val="left"/>
              <w:rPr>
                <w:rFonts w:ascii="宋体" w:hAnsi="宋体"/>
                <w:sz w:val="18"/>
                <w:szCs w:val="18"/>
              </w:rPr>
            </w:pPr>
          </w:p>
        </w:tc>
        <w:tc>
          <w:tcPr>
            <w:tcW w:w="182" w:type="pct"/>
          </w:tcPr>
          <w:p w14:paraId="217D4356">
            <w:pPr>
              <w:spacing w:line="360" w:lineRule="auto"/>
              <w:jc w:val="left"/>
              <w:rPr>
                <w:rFonts w:ascii="宋体" w:hAnsi="宋体"/>
                <w:sz w:val="28"/>
                <w:szCs w:val="28"/>
              </w:rPr>
            </w:pPr>
          </w:p>
        </w:tc>
      </w:tr>
      <w:tr w14:paraId="2FB5E6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58" w:type="pct"/>
            <w:vMerge w:val="continue"/>
            <w:vAlign w:val="center"/>
          </w:tcPr>
          <w:p w14:paraId="04ED5DDD"/>
        </w:tc>
        <w:tc>
          <w:tcPr>
            <w:tcW w:w="365" w:type="pct"/>
            <w:vMerge w:val="continue"/>
          </w:tcPr>
          <w:p w14:paraId="6C9E67FC"/>
        </w:tc>
        <w:tc>
          <w:tcPr>
            <w:tcW w:w="1266" w:type="pct"/>
          </w:tcPr>
          <w:p w14:paraId="40089A55">
            <w:pPr>
              <w:spacing w:line="360" w:lineRule="auto"/>
              <w:jc w:val="left"/>
              <w:rPr>
                <w:rFonts w:ascii="宋体" w:hAnsi="宋体" w:eastAsia="宋体"/>
                <w:sz w:val="18"/>
                <w:szCs w:val="18"/>
              </w:rPr>
            </w:pPr>
            <w:r>
              <w:rPr>
                <w:rFonts w:hint="eastAsia" w:ascii="宋体" w:hAnsi="宋体"/>
                <w:sz w:val="18"/>
                <w:szCs w:val="18"/>
              </w:rPr>
              <w:t>防火卷帘系统联动功能测试</w:t>
            </w:r>
          </w:p>
        </w:tc>
        <w:tc>
          <w:tcPr>
            <w:tcW w:w="1129" w:type="pct"/>
            <w:vMerge w:val="continue"/>
          </w:tcPr>
          <w:p w14:paraId="2D6C990A"/>
        </w:tc>
        <w:tc>
          <w:tcPr>
            <w:tcW w:w="1414" w:type="pct"/>
          </w:tcPr>
          <w:p w14:paraId="32B8DC05">
            <w:pPr>
              <w:spacing w:line="360" w:lineRule="auto"/>
              <w:jc w:val="left"/>
              <w:rPr>
                <w:rFonts w:ascii="宋体" w:hAnsi="宋体"/>
                <w:sz w:val="18"/>
                <w:szCs w:val="18"/>
              </w:rPr>
            </w:pPr>
          </w:p>
        </w:tc>
        <w:tc>
          <w:tcPr>
            <w:tcW w:w="285" w:type="pct"/>
          </w:tcPr>
          <w:p w14:paraId="3DBDBD82">
            <w:pPr>
              <w:spacing w:line="360" w:lineRule="auto"/>
              <w:jc w:val="left"/>
              <w:rPr>
                <w:rFonts w:ascii="宋体" w:hAnsi="宋体"/>
                <w:sz w:val="18"/>
                <w:szCs w:val="18"/>
              </w:rPr>
            </w:pPr>
          </w:p>
        </w:tc>
        <w:tc>
          <w:tcPr>
            <w:tcW w:w="182" w:type="pct"/>
          </w:tcPr>
          <w:p w14:paraId="6F4C5994">
            <w:pPr>
              <w:spacing w:line="360" w:lineRule="auto"/>
              <w:jc w:val="left"/>
              <w:rPr>
                <w:rFonts w:ascii="宋体" w:hAnsi="宋体"/>
                <w:sz w:val="28"/>
                <w:szCs w:val="28"/>
              </w:rPr>
            </w:pPr>
          </w:p>
        </w:tc>
      </w:tr>
      <w:tr w14:paraId="13514D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58" w:type="pct"/>
            <w:vMerge w:val="continue"/>
            <w:vAlign w:val="center"/>
          </w:tcPr>
          <w:p w14:paraId="383AFDAD"/>
        </w:tc>
        <w:tc>
          <w:tcPr>
            <w:tcW w:w="365" w:type="pct"/>
            <w:vMerge w:val="continue"/>
          </w:tcPr>
          <w:p w14:paraId="0323A22C"/>
        </w:tc>
        <w:tc>
          <w:tcPr>
            <w:tcW w:w="1266" w:type="pct"/>
          </w:tcPr>
          <w:p w14:paraId="06BF399C">
            <w:pPr>
              <w:spacing w:line="360" w:lineRule="auto"/>
              <w:jc w:val="left"/>
              <w:rPr>
                <w:rFonts w:ascii="宋体" w:hAnsi="宋体" w:eastAsia="宋体"/>
                <w:sz w:val="18"/>
                <w:szCs w:val="18"/>
              </w:rPr>
            </w:pPr>
            <w:r>
              <w:rPr>
                <w:rFonts w:hint="eastAsia" w:ascii="宋体" w:hAnsi="宋体"/>
                <w:sz w:val="18"/>
                <w:szCs w:val="18"/>
              </w:rPr>
              <w:t>正压送风、机械排烟系统联动功能测试</w:t>
            </w:r>
          </w:p>
        </w:tc>
        <w:tc>
          <w:tcPr>
            <w:tcW w:w="1129" w:type="pct"/>
            <w:vMerge w:val="continue"/>
          </w:tcPr>
          <w:p w14:paraId="21024383"/>
        </w:tc>
        <w:tc>
          <w:tcPr>
            <w:tcW w:w="1414" w:type="pct"/>
          </w:tcPr>
          <w:p w14:paraId="3DC4F880">
            <w:pPr>
              <w:spacing w:line="360" w:lineRule="auto"/>
              <w:jc w:val="left"/>
              <w:rPr>
                <w:rFonts w:ascii="宋体" w:hAnsi="宋体"/>
                <w:sz w:val="18"/>
                <w:szCs w:val="18"/>
              </w:rPr>
            </w:pPr>
          </w:p>
        </w:tc>
        <w:tc>
          <w:tcPr>
            <w:tcW w:w="285" w:type="pct"/>
          </w:tcPr>
          <w:p w14:paraId="5F096B7F">
            <w:pPr>
              <w:spacing w:line="360" w:lineRule="auto"/>
              <w:jc w:val="left"/>
              <w:rPr>
                <w:rFonts w:ascii="宋体" w:hAnsi="宋体"/>
                <w:sz w:val="18"/>
                <w:szCs w:val="18"/>
              </w:rPr>
            </w:pPr>
          </w:p>
        </w:tc>
        <w:tc>
          <w:tcPr>
            <w:tcW w:w="182" w:type="pct"/>
          </w:tcPr>
          <w:p w14:paraId="3B26FC2C">
            <w:pPr>
              <w:spacing w:line="360" w:lineRule="auto"/>
              <w:jc w:val="left"/>
              <w:rPr>
                <w:rFonts w:ascii="宋体" w:hAnsi="宋体"/>
                <w:sz w:val="28"/>
                <w:szCs w:val="28"/>
              </w:rPr>
            </w:pPr>
          </w:p>
        </w:tc>
      </w:tr>
      <w:tr w14:paraId="4B8B23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58" w:type="pct"/>
            <w:vMerge w:val="continue"/>
            <w:vAlign w:val="center"/>
          </w:tcPr>
          <w:p w14:paraId="0BB38D38"/>
        </w:tc>
        <w:tc>
          <w:tcPr>
            <w:tcW w:w="365" w:type="pct"/>
            <w:vMerge w:val="continue"/>
          </w:tcPr>
          <w:p w14:paraId="6FA779A6"/>
        </w:tc>
        <w:tc>
          <w:tcPr>
            <w:tcW w:w="1266" w:type="pct"/>
          </w:tcPr>
          <w:p w14:paraId="0468242B">
            <w:pPr>
              <w:spacing w:line="360" w:lineRule="auto"/>
              <w:jc w:val="left"/>
              <w:rPr>
                <w:rFonts w:ascii="宋体" w:hAnsi="宋体"/>
                <w:sz w:val="18"/>
                <w:szCs w:val="18"/>
              </w:rPr>
            </w:pPr>
            <w:r>
              <w:rPr>
                <w:rFonts w:hint="eastAsia" w:ascii="宋体" w:hAnsi="宋体"/>
                <w:sz w:val="18"/>
                <w:szCs w:val="18"/>
              </w:rPr>
              <w:t>声光报警、消防广播、应急照明联动功能测试</w:t>
            </w:r>
          </w:p>
        </w:tc>
        <w:tc>
          <w:tcPr>
            <w:tcW w:w="1129" w:type="pct"/>
            <w:vMerge w:val="continue"/>
          </w:tcPr>
          <w:p w14:paraId="1E58E56E"/>
        </w:tc>
        <w:tc>
          <w:tcPr>
            <w:tcW w:w="1414" w:type="pct"/>
          </w:tcPr>
          <w:p w14:paraId="68F0F06A">
            <w:pPr>
              <w:spacing w:line="360" w:lineRule="auto"/>
              <w:jc w:val="left"/>
              <w:rPr>
                <w:rFonts w:ascii="宋体" w:hAnsi="宋体"/>
                <w:sz w:val="18"/>
                <w:szCs w:val="18"/>
              </w:rPr>
            </w:pPr>
          </w:p>
        </w:tc>
        <w:tc>
          <w:tcPr>
            <w:tcW w:w="285" w:type="pct"/>
          </w:tcPr>
          <w:p w14:paraId="424A84EF">
            <w:pPr>
              <w:spacing w:line="360" w:lineRule="auto"/>
              <w:jc w:val="left"/>
              <w:rPr>
                <w:rFonts w:ascii="宋体" w:hAnsi="宋体"/>
                <w:sz w:val="18"/>
                <w:szCs w:val="18"/>
              </w:rPr>
            </w:pPr>
          </w:p>
        </w:tc>
        <w:tc>
          <w:tcPr>
            <w:tcW w:w="182" w:type="pct"/>
          </w:tcPr>
          <w:p w14:paraId="10CDC0B2">
            <w:pPr>
              <w:spacing w:line="360" w:lineRule="auto"/>
              <w:jc w:val="left"/>
              <w:rPr>
                <w:rFonts w:ascii="宋体" w:hAnsi="宋体"/>
                <w:sz w:val="28"/>
                <w:szCs w:val="28"/>
              </w:rPr>
            </w:pPr>
          </w:p>
        </w:tc>
      </w:tr>
      <w:tr w14:paraId="6C2292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3" w:hRule="atLeast"/>
        </w:trPr>
        <w:tc>
          <w:tcPr>
            <w:tcW w:w="358" w:type="pct"/>
            <w:vMerge w:val="continue"/>
            <w:vAlign w:val="center"/>
          </w:tcPr>
          <w:p w14:paraId="395E90DB"/>
        </w:tc>
        <w:tc>
          <w:tcPr>
            <w:tcW w:w="365" w:type="pct"/>
            <w:vMerge w:val="continue"/>
          </w:tcPr>
          <w:p w14:paraId="21BC1C26"/>
        </w:tc>
        <w:tc>
          <w:tcPr>
            <w:tcW w:w="1266" w:type="pct"/>
          </w:tcPr>
          <w:p w14:paraId="3A98EC95">
            <w:pPr>
              <w:spacing w:line="360" w:lineRule="auto"/>
              <w:jc w:val="left"/>
              <w:rPr>
                <w:rFonts w:ascii="宋体" w:hAnsi="宋体" w:eastAsia="宋体"/>
                <w:sz w:val="18"/>
                <w:szCs w:val="18"/>
              </w:rPr>
            </w:pPr>
            <w:r>
              <w:rPr>
                <w:rFonts w:hint="eastAsia" w:ascii="宋体" w:hAnsi="宋体"/>
                <w:sz w:val="18"/>
                <w:szCs w:val="18"/>
              </w:rPr>
              <w:t>消防电梯联动功能测试</w:t>
            </w:r>
          </w:p>
        </w:tc>
        <w:tc>
          <w:tcPr>
            <w:tcW w:w="1129" w:type="pct"/>
            <w:vMerge w:val="continue"/>
          </w:tcPr>
          <w:p w14:paraId="17BB7FD3"/>
        </w:tc>
        <w:tc>
          <w:tcPr>
            <w:tcW w:w="1414" w:type="pct"/>
          </w:tcPr>
          <w:p w14:paraId="5BB8DF00">
            <w:pPr>
              <w:spacing w:line="360" w:lineRule="auto"/>
              <w:jc w:val="left"/>
              <w:rPr>
                <w:rFonts w:ascii="宋体" w:hAnsi="宋体"/>
                <w:sz w:val="18"/>
                <w:szCs w:val="18"/>
              </w:rPr>
            </w:pPr>
          </w:p>
        </w:tc>
        <w:tc>
          <w:tcPr>
            <w:tcW w:w="285" w:type="pct"/>
          </w:tcPr>
          <w:p w14:paraId="79E08C3F">
            <w:pPr>
              <w:spacing w:line="360" w:lineRule="auto"/>
              <w:jc w:val="left"/>
              <w:rPr>
                <w:rFonts w:ascii="宋体" w:hAnsi="宋体"/>
                <w:sz w:val="18"/>
                <w:szCs w:val="18"/>
              </w:rPr>
            </w:pPr>
          </w:p>
        </w:tc>
        <w:tc>
          <w:tcPr>
            <w:tcW w:w="182" w:type="pct"/>
          </w:tcPr>
          <w:p w14:paraId="026B9595">
            <w:pPr>
              <w:spacing w:line="360" w:lineRule="auto"/>
              <w:jc w:val="left"/>
              <w:rPr>
                <w:rFonts w:ascii="宋体" w:hAnsi="宋体"/>
                <w:sz w:val="28"/>
                <w:szCs w:val="28"/>
              </w:rPr>
            </w:pPr>
          </w:p>
        </w:tc>
      </w:tr>
      <w:tr w14:paraId="04D2F9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358" w:type="pct"/>
            <w:vMerge w:val="continue"/>
            <w:vAlign w:val="center"/>
          </w:tcPr>
          <w:p w14:paraId="0BD56CE8"/>
        </w:tc>
        <w:tc>
          <w:tcPr>
            <w:tcW w:w="365" w:type="pct"/>
            <w:vMerge w:val="restart"/>
            <w:vAlign w:val="center"/>
          </w:tcPr>
          <w:p w14:paraId="34E6596D">
            <w:pPr>
              <w:spacing w:line="360" w:lineRule="auto"/>
              <w:jc w:val="center"/>
              <w:rPr>
                <w:rFonts w:ascii="宋体" w:hAnsi="宋体"/>
                <w:sz w:val="18"/>
                <w:szCs w:val="18"/>
              </w:rPr>
            </w:pPr>
            <w:r>
              <w:rPr>
                <w:rFonts w:ascii="宋体" w:hAnsi="宋体" w:cs="宋体"/>
              </w:rPr>
              <w:t>自动喷水灭火系统</w:t>
            </w:r>
          </w:p>
        </w:tc>
        <w:tc>
          <w:tcPr>
            <w:tcW w:w="1266" w:type="pct"/>
          </w:tcPr>
          <w:p w14:paraId="2B6F58A5">
            <w:pPr>
              <w:spacing w:line="360" w:lineRule="auto"/>
              <w:jc w:val="left"/>
              <w:rPr>
                <w:rFonts w:ascii="宋体" w:hAnsi="宋体" w:eastAsia="宋体"/>
                <w:sz w:val="18"/>
                <w:szCs w:val="18"/>
              </w:rPr>
            </w:pPr>
            <w:r>
              <w:rPr>
                <w:rFonts w:hint="eastAsia" w:ascii="宋体" w:hAnsi="宋体"/>
                <w:sz w:val="18"/>
                <w:szCs w:val="18"/>
              </w:rPr>
              <w:t>定期对进水阀、报警阀进行外观检查，并保证系统无故障状态</w:t>
            </w:r>
          </w:p>
        </w:tc>
        <w:tc>
          <w:tcPr>
            <w:tcW w:w="1129" w:type="pct"/>
            <w:vMerge w:val="restart"/>
          </w:tcPr>
          <w:p w14:paraId="487D28D9">
            <w:pPr>
              <w:spacing w:line="360" w:lineRule="auto"/>
              <w:jc w:val="left"/>
              <w:rPr>
                <w:rFonts w:ascii="宋体" w:hAnsi="宋体"/>
                <w:sz w:val="18"/>
                <w:szCs w:val="18"/>
              </w:rPr>
            </w:pPr>
            <w:r>
              <w:rPr>
                <w:rFonts w:hint="eastAsia" w:ascii="宋体" w:hAnsi="宋体"/>
                <w:sz w:val="18"/>
                <w:szCs w:val="18"/>
              </w:rPr>
              <w:t>1、不能启动运转喷淋泵扣2分。</w:t>
            </w:r>
          </w:p>
          <w:p w14:paraId="56D43905">
            <w:pPr>
              <w:spacing w:line="360" w:lineRule="auto"/>
              <w:jc w:val="left"/>
              <w:rPr>
                <w:rFonts w:ascii="宋体" w:hAnsi="宋体"/>
                <w:sz w:val="18"/>
                <w:szCs w:val="18"/>
              </w:rPr>
            </w:pPr>
            <w:r>
              <w:rPr>
                <w:rFonts w:hint="eastAsia" w:ascii="宋体" w:hAnsi="宋体"/>
                <w:sz w:val="18"/>
                <w:szCs w:val="18"/>
              </w:rPr>
              <w:t>2、报警阀放水试验供水、压力开关、水力警铃报警存在故障各扣2分。</w:t>
            </w:r>
          </w:p>
          <w:p w14:paraId="56078F75">
            <w:pPr>
              <w:spacing w:line="360" w:lineRule="auto"/>
              <w:jc w:val="left"/>
              <w:rPr>
                <w:rFonts w:ascii="宋体" w:hAnsi="宋体"/>
                <w:sz w:val="18"/>
                <w:szCs w:val="18"/>
              </w:rPr>
            </w:pPr>
            <w:r>
              <w:rPr>
                <w:rFonts w:hint="eastAsia" w:ascii="宋体" w:hAnsi="宋体"/>
                <w:sz w:val="18"/>
                <w:szCs w:val="18"/>
              </w:rPr>
              <w:t>3、末端排水,水流指示器报警故障扣分。</w:t>
            </w:r>
          </w:p>
          <w:p w14:paraId="60C61236">
            <w:pPr>
              <w:spacing w:line="360" w:lineRule="auto"/>
              <w:jc w:val="left"/>
              <w:rPr>
                <w:rFonts w:ascii="宋体" w:hAnsi="宋体"/>
                <w:sz w:val="18"/>
                <w:szCs w:val="18"/>
              </w:rPr>
            </w:pPr>
            <w:r>
              <w:rPr>
                <w:rFonts w:hint="eastAsia" w:ascii="宋体" w:hAnsi="宋体"/>
                <w:sz w:val="18"/>
                <w:szCs w:val="18"/>
              </w:rPr>
              <w:t>4、消防水池储水量未到达规定水位,水质混浊扣2分。</w:t>
            </w:r>
          </w:p>
          <w:p w14:paraId="635BB389">
            <w:pPr>
              <w:spacing w:line="360" w:lineRule="auto"/>
              <w:jc w:val="left"/>
              <w:rPr>
                <w:rFonts w:ascii="宋体" w:hAnsi="宋体"/>
                <w:sz w:val="18"/>
                <w:szCs w:val="18"/>
              </w:rPr>
            </w:pPr>
            <w:r>
              <w:rPr>
                <w:rFonts w:hint="eastAsia" w:ascii="宋体" w:hAnsi="宋体"/>
                <w:sz w:val="18"/>
                <w:szCs w:val="18"/>
              </w:rPr>
              <w:t>5、各阀门开闭及铅封有异常扣2分。</w:t>
            </w:r>
          </w:p>
          <w:p w14:paraId="6E076152">
            <w:pPr>
              <w:spacing w:line="360" w:lineRule="auto"/>
              <w:jc w:val="left"/>
              <w:rPr>
                <w:rFonts w:ascii="宋体" w:hAnsi="宋体"/>
                <w:sz w:val="18"/>
                <w:szCs w:val="18"/>
              </w:rPr>
            </w:pPr>
            <w:r>
              <w:rPr>
                <w:rFonts w:hint="eastAsia" w:ascii="宋体" w:hAnsi="宋体"/>
                <w:sz w:val="18"/>
                <w:szCs w:val="18"/>
              </w:rPr>
              <w:t>6、喷淋管道有跑、冒、漏、滴现象扣2分。</w:t>
            </w:r>
          </w:p>
        </w:tc>
        <w:tc>
          <w:tcPr>
            <w:tcW w:w="1414" w:type="pct"/>
          </w:tcPr>
          <w:p w14:paraId="1C21D870">
            <w:pPr>
              <w:spacing w:line="360" w:lineRule="auto"/>
              <w:jc w:val="left"/>
              <w:rPr>
                <w:rFonts w:ascii="宋体" w:hAnsi="宋体"/>
                <w:sz w:val="18"/>
                <w:szCs w:val="18"/>
              </w:rPr>
            </w:pPr>
          </w:p>
        </w:tc>
        <w:tc>
          <w:tcPr>
            <w:tcW w:w="285" w:type="pct"/>
          </w:tcPr>
          <w:p w14:paraId="5CDF3012">
            <w:pPr>
              <w:spacing w:line="360" w:lineRule="auto"/>
              <w:jc w:val="left"/>
              <w:rPr>
                <w:rFonts w:ascii="宋体" w:hAnsi="宋体"/>
                <w:sz w:val="18"/>
                <w:szCs w:val="18"/>
              </w:rPr>
            </w:pPr>
          </w:p>
        </w:tc>
        <w:tc>
          <w:tcPr>
            <w:tcW w:w="182" w:type="pct"/>
          </w:tcPr>
          <w:p w14:paraId="1AF2D7D5">
            <w:pPr>
              <w:spacing w:line="360" w:lineRule="auto"/>
              <w:jc w:val="left"/>
              <w:rPr>
                <w:rFonts w:ascii="宋体" w:hAnsi="宋体"/>
                <w:sz w:val="28"/>
                <w:szCs w:val="28"/>
              </w:rPr>
            </w:pPr>
          </w:p>
        </w:tc>
      </w:tr>
      <w:tr w14:paraId="6E05D0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8" w:hRule="atLeast"/>
        </w:trPr>
        <w:tc>
          <w:tcPr>
            <w:tcW w:w="358" w:type="pct"/>
            <w:vMerge w:val="continue"/>
            <w:vAlign w:val="center"/>
          </w:tcPr>
          <w:p w14:paraId="7CC8E0B4"/>
        </w:tc>
        <w:tc>
          <w:tcPr>
            <w:tcW w:w="365" w:type="pct"/>
            <w:vMerge w:val="continue"/>
            <w:vAlign w:val="center"/>
          </w:tcPr>
          <w:p w14:paraId="0B324A5C"/>
        </w:tc>
        <w:tc>
          <w:tcPr>
            <w:tcW w:w="1266" w:type="pct"/>
          </w:tcPr>
          <w:p w14:paraId="3C70B75B">
            <w:pPr>
              <w:spacing w:line="360" w:lineRule="auto"/>
              <w:jc w:val="left"/>
              <w:rPr>
                <w:rFonts w:ascii="宋体" w:hAnsi="宋体" w:eastAsia="宋体"/>
                <w:sz w:val="18"/>
                <w:szCs w:val="18"/>
              </w:rPr>
            </w:pPr>
            <w:r>
              <w:rPr>
                <w:rFonts w:hint="eastAsia" w:ascii="宋体" w:hAnsi="宋体"/>
                <w:sz w:val="18"/>
                <w:szCs w:val="18"/>
              </w:rPr>
              <w:t>检查喷淋管道上各阀门处于正确位置</w:t>
            </w:r>
          </w:p>
        </w:tc>
        <w:tc>
          <w:tcPr>
            <w:tcW w:w="1129" w:type="pct"/>
            <w:vMerge w:val="continue"/>
          </w:tcPr>
          <w:p w14:paraId="0FA4AC11"/>
        </w:tc>
        <w:tc>
          <w:tcPr>
            <w:tcW w:w="1414" w:type="pct"/>
          </w:tcPr>
          <w:p w14:paraId="78B71A92">
            <w:pPr>
              <w:spacing w:line="360" w:lineRule="auto"/>
              <w:jc w:val="left"/>
              <w:rPr>
                <w:rFonts w:ascii="宋体" w:hAnsi="宋体"/>
                <w:sz w:val="18"/>
                <w:szCs w:val="18"/>
              </w:rPr>
            </w:pPr>
          </w:p>
        </w:tc>
        <w:tc>
          <w:tcPr>
            <w:tcW w:w="285" w:type="pct"/>
          </w:tcPr>
          <w:p w14:paraId="71FBBEAA">
            <w:pPr>
              <w:spacing w:line="360" w:lineRule="auto"/>
              <w:jc w:val="left"/>
              <w:rPr>
                <w:rFonts w:ascii="宋体" w:hAnsi="宋体"/>
                <w:sz w:val="18"/>
                <w:szCs w:val="18"/>
              </w:rPr>
            </w:pPr>
          </w:p>
        </w:tc>
        <w:tc>
          <w:tcPr>
            <w:tcW w:w="182" w:type="pct"/>
          </w:tcPr>
          <w:p w14:paraId="7723BAB0">
            <w:pPr>
              <w:spacing w:line="360" w:lineRule="auto"/>
              <w:jc w:val="left"/>
              <w:rPr>
                <w:rFonts w:ascii="宋体" w:hAnsi="宋体"/>
                <w:sz w:val="28"/>
                <w:szCs w:val="28"/>
              </w:rPr>
            </w:pPr>
          </w:p>
        </w:tc>
      </w:tr>
      <w:tr w14:paraId="562F61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3" w:hRule="atLeast"/>
        </w:trPr>
        <w:tc>
          <w:tcPr>
            <w:tcW w:w="358" w:type="pct"/>
            <w:vMerge w:val="continue"/>
            <w:vAlign w:val="center"/>
          </w:tcPr>
          <w:p w14:paraId="10086E75"/>
        </w:tc>
        <w:tc>
          <w:tcPr>
            <w:tcW w:w="365" w:type="pct"/>
            <w:vMerge w:val="continue"/>
            <w:vAlign w:val="center"/>
          </w:tcPr>
          <w:p w14:paraId="51A31F71"/>
        </w:tc>
        <w:tc>
          <w:tcPr>
            <w:tcW w:w="1266" w:type="pct"/>
          </w:tcPr>
          <w:p w14:paraId="614788C9">
            <w:pPr>
              <w:spacing w:line="360" w:lineRule="auto"/>
              <w:jc w:val="left"/>
              <w:rPr>
                <w:rFonts w:ascii="宋体" w:hAnsi="宋体" w:eastAsia="宋体"/>
                <w:sz w:val="18"/>
                <w:szCs w:val="18"/>
              </w:rPr>
            </w:pPr>
            <w:r>
              <w:rPr>
                <w:rFonts w:hint="eastAsia" w:ascii="宋体" w:hAnsi="宋体"/>
                <w:sz w:val="18"/>
                <w:szCs w:val="18"/>
              </w:rPr>
              <w:t>对消防水池及供水能力测试，及检测水质</w:t>
            </w:r>
          </w:p>
        </w:tc>
        <w:tc>
          <w:tcPr>
            <w:tcW w:w="1129" w:type="pct"/>
            <w:vMerge w:val="continue"/>
          </w:tcPr>
          <w:p w14:paraId="6FDE055E"/>
        </w:tc>
        <w:tc>
          <w:tcPr>
            <w:tcW w:w="1414" w:type="pct"/>
          </w:tcPr>
          <w:p w14:paraId="130F3D71">
            <w:pPr>
              <w:spacing w:line="360" w:lineRule="auto"/>
              <w:jc w:val="left"/>
              <w:rPr>
                <w:rFonts w:ascii="宋体" w:hAnsi="宋体"/>
                <w:sz w:val="18"/>
                <w:szCs w:val="18"/>
              </w:rPr>
            </w:pPr>
          </w:p>
        </w:tc>
        <w:tc>
          <w:tcPr>
            <w:tcW w:w="285" w:type="pct"/>
          </w:tcPr>
          <w:p w14:paraId="0C8039CF">
            <w:pPr>
              <w:spacing w:line="360" w:lineRule="auto"/>
              <w:jc w:val="left"/>
              <w:rPr>
                <w:rFonts w:ascii="宋体" w:hAnsi="宋体"/>
                <w:sz w:val="18"/>
                <w:szCs w:val="18"/>
              </w:rPr>
            </w:pPr>
          </w:p>
        </w:tc>
        <w:tc>
          <w:tcPr>
            <w:tcW w:w="182" w:type="pct"/>
          </w:tcPr>
          <w:p w14:paraId="1FEC1494">
            <w:pPr>
              <w:spacing w:line="360" w:lineRule="auto"/>
              <w:jc w:val="left"/>
              <w:rPr>
                <w:rFonts w:ascii="宋体" w:hAnsi="宋体"/>
                <w:sz w:val="28"/>
                <w:szCs w:val="28"/>
              </w:rPr>
            </w:pPr>
          </w:p>
        </w:tc>
      </w:tr>
      <w:tr w14:paraId="65751A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358" w:type="pct"/>
            <w:vMerge w:val="continue"/>
            <w:vAlign w:val="center"/>
          </w:tcPr>
          <w:p w14:paraId="72834552"/>
        </w:tc>
        <w:tc>
          <w:tcPr>
            <w:tcW w:w="365" w:type="pct"/>
            <w:vMerge w:val="continue"/>
            <w:vAlign w:val="center"/>
          </w:tcPr>
          <w:p w14:paraId="0E5175C1"/>
        </w:tc>
        <w:tc>
          <w:tcPr>
            <w:tcW w:w="1266" w:type="pct"/>
          </w:tcPr>
          <w:p w14:paraId="08CC623B">
            <w:pPr>
              <w:spacing w:line="360" w:lineRule="auto"/>
              <w:jc w:val="left"/>
              <w:rPr>
                <w:rFonts w:ascii="宋体" w:hAnsi="宋体" w:eastAsia="宋体"/>
                <w:sz w:val="18"/>
                <w:szCs w:val="18"/>
              </w:rPr>
            </w:pPr>
            <w:r>
              <w:rPr>
                <w:rFonts w:hint="eastAsia" w:ascii="宋体" w:hAnsi="宋体"/>
                <w:sz w:val="18"/>
                <w:szCs w:val="18"/>
              </w:rPr>
              <w:t>对控制柜各操作开关、指示灯，内部接线端子的检查，保证控制面板正常显示</w:t>
            </w:r>
          </w:p>
        </w:tc>
        <w:tc>
          <w:tcPr>
            <w:tcW w:w="1129" w:type="pct"/>
            <w:vMerge w:val="continue"/>
          </w:tcPr>
          <w:p w14:paraId="47DCD6B4"/>
        </w:tc>
        <w:tc>
          <w:tcPr>
            <w:tcW w:w="1414" w:type="pct"/>
          </w:tcPr>
          <w:p w14:paraId="7C467554">
            <w:pPr>
              <w:spacing w:line="360" w:lineRule="auto"/>
              <w:jc w:val="left"/>
              <w:rPr>
                <w:rFonts w:ascii="宋体" w:hAnsi="宋体"/>
                <w:sz w:val="18"/>
                <w:szCs w:val="18"/>
              </w:rPr>
            </w:pPr>
          </w:p>
        </w:tc>
        <w:tc>
          <w:tcPr>
            <w:tcW w:w="285" w:type="pct"/>
          </w:tcPr>
          <w:p w14:paraId="7371BD63">
            <w:pPr>
              <w:spacing w:line="360" w:lineRule="auto"/>
              <w:jc w:val="left"/>
              <w:rPr>
                <w:rFonts w:ascii="宋体" w:hAnsi="宋体"/>
                <w:sz w:val="18"/>
                <w:szCs w:val="18"/>
              </w:rPr>
            </w:pPr>
          </w:p>
        </w:tc>
        <w:tc>
          <w:tcPr>
            <w:tcW w:w="182" w:type="pct"/>
          </w:tcPr>
          <w:p w14:paraId="02A838FF">
            <w:pPr>
              <w:spacing w:line="360" w:lineRule="auto"/>
              <w:jc w:val="left"/>
              <w:rPr>
                <w:rFonts w:ascii="宋体" w:hAnsi="宋体"/>
                <w:sz w:val="28"/>
                <w:szCs w:val="28"/>
              </w:rPr>
            </w:pPr>
          </w:p>
        </w:tc>
      </w:tr>
      <w:tr w14:paraId="246CFF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358" w:type="pct"/>
            <w:vMerge w:val="continue"/>
            <w:vAlign w:val="center"/>
          </w:tcPr>
          <w:p w14:paraId="3EF0C4CA"/>
        </w:tc>
        <w:tc>
          <w:tcPr>
            <w:tcW w:w="365" w:type="pct"/>
            <w:vMerge w:val="continue"/>
            <w:vAlign w:val="center"/>
          </w:tcPr>
          <w:p w14:paraId="2436B79E"/>
        </w:tc>
        <w:tc>
          <w:tcPr>
            <w:tcW w:w="1266" w:type="pct"/>
          </w:tcPr>
          <w:p w14:paraId="240E6181">
            <w:pPr>
              <w:spacing w:line="360" w:lineRule="auto"/>
              <w:jc w:val="left"/>
              <w:rPr>
                <w:rFonts w:ascii="宋体" w:hAnsi="宋体" w:eastAsia="宋体"/>
                <w:sz w:val="18"/>
                <w:szCs w:val="18"/>
              </w:rPr>
            </w:pPr>
            <w:r>
              <w:rPr>
                <w:rFonts w:hint="eastAsia" w:ascii="宋体" w:hAnsi="宋体"/>
                <w:sz w:val="18"/>
                <w:szCs w:val="18"/>
              </w:rPr>
              <w:t>对系统阀门、湿式报警阀、水流指示器，信号蝶阀的功能检验及喷头的检查和测试</w:t>
            </w:r>
          </w:p>
        </w:tc>
        <w:tc>
          <w:tcPr>
            <w:tcW w:w="1129" w:type="pct"/>
            <w:vMerge w:val="continue"/>
          </w:tcPr>
          <w:p w14:paraId="31FBB032"/>
        </w:tc>
        <w:tc>
          <w:tcPr>
            <w:tcW w:w="1414" w:type="pct"/>
          </w:tcPr>
          <w:p w14:paraId="37D6FEF0">
            <w:pPr>
              <w:spacing w:line="360" w:lineRule="auto"/>
              <w:jc w:val="left"/>
              <w:rPr>
                <w:rFonts w:ascii="宋体" w:hAnsi="宋体"/>
                <w:sz w:val="18"/>
                <w:szCs w:val="18"/>
              </w:rPr>
            </w:pPr>
          </w:p>
        </w:tc>
        <w:tc>
          <w:tcPr>
            <w:tcW w:w="285" w:type="pct"/>
          </w:tcPr>
          <w:p w14:paraId="4C750624">
            <w:pPr>
              <w:spacing w:line="360" w:lineRule="auto"/>
              <w:jc w:val="left"/>
              <w:rPr>
                <w:rFonts w:ascii="宋体" w:hAnsi="宋体"/>
                <w:sz w:val="18"/>
                <w:szCs w:val="18"/>
              </w:rPr>
            </w:pPr>
          </w:p>
        </w:tc>
        <w:tc>
          <w:tcPr>
            <w:tcW w:w="182" w:type="pct"/>
          </w:tcPr>
          <w:p w14:paraId="2D52B76D">
            <w:pPr>
              <w:spacing w:line="360" w:lineRule="auto"/>
              <w:jc w:val="left"/>
              <w:rPr>
                <w:rFonts w:ascii="宋体" w:hAnsi="宋体"/>
                <w:sz w:val="28"/>
                <w:szCs w:val="28"/>
              </w:rPr>
            </w:pPr>
          </w:p>
        </w:tc>
      </w:tr>
      <w:tr w14:paraId="2DAA4D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358" w:type="pct"/>
            <w:vMerge w:val="continue"/>
            <w:vAlign w:val="center"/>
          </w:tcPr>
          <w:p w14:paraId="725044D4"/>
        </w:tc>
        <w:tc>
          <w:tcPr>
            <w:tcW w:w="365" w:type="pct"/>
            <w:vMerge w:val="continue"/>
            <w:vAlign w:val="center"/>
          </w:tcPr>
          <w:p w14:paraId="1518D602"/>
        </w:tc>
        <w:tc>
          <w:tcPr>
            <w:tcW w:w="1266" w:type="pct"/>
          </w:tcPr>
          <w:p w14:paraId="2A4B4002">
            <w:pPr>
              <w:spacing w:line="360" w:lineRule="auto"/>
              <w:jc w:val="left"/>
              <w:rPr>
                <w:rFonts w:ascii="宋体" w:hAnsi="宋体" w:eastAsia="宋体"/>
                <w:sz w:val="18"/>
                <w:szCs w:val="18"/>
              </w:rPr>
            </w:pPr>
            <w:r>
              <w:rPr>
                <w:rFonts w:hint="eastAsia" w:ascii="宋体" w:hAnsi="宋体"/>
                <w:sz w:val="18"/>
                <w:szCs w:val="18"/>
              </w:rPr>
              <w:t>对系统管道进行一次重新标识</w:t>
            </w:r>
          </w:p>
        </w:tc>
        <w:tc>
          <w:tcPr>
            <w:tcW w:w="1129" w:type="pct"/>
            <w:vMerge w:val="continue"/>
          </w:tcPr>
          <w:p w14:paraId="67EC7A44"/>
        </w:tc>
        <w:tc>
          <w:tcPr>
            <w:tcW w:w="1414" w:type="pct"/>
          </w:tcPr>
          <w:p w14:paraId="4D5F6407">
            <w:pPr>
              <w:spacing w:line="360" w:lineRule="auto"/>
              <w:jc w:val="left"/>
              <w:rPr>
                <w:rFonts w:ascii="宋体" w:hAnsi="宋体"/>
                <w:sz w:val="18"/>
                <w:szCs w:val="18"/>
              </w:rPr>
            </w:pPr>
          </w:p>
        </w:tc>
        <w:tc>
          <w:tcPr>
            <w:tcW w:w="285" w:type="pct"/>
          </w:tcPr>
          <w:p w14:paraId="21D9E038">
            <w:pPr>
              <w:spacing w:line="360" w:lineRule="auto"/>
              <w:jc w:val="left"/>
              <w:rPr>
                <w:rFonts w:ascii="宋体" w:hAnsi="宋体"/>
                <w:sz w:val="18"/>
                <w:szCs w:val="18"/>
              </w:rPr>
            </w:pPr>
          </w:p>
        </w:tc>
        <w:tc>
          <w:tcPr>
            <w:tcW w:w="182" w:type="pct"/>
          </w:tcPr>
          <w:p w14:paraId="3F775929">
            <w:pPr>
              <w:spacing w:line="360" w:lineRule="auto"/>
              <w:jc w:val="left"/>
              <w:rPr>
                <w:rFonts w:ascii="宋体" w:hAnsi="宋体"/>
                <w:sz w:val="28"/>
                <w:szCs w:val="28"/>
              </w:rPr>
            </w:pPr>
          </w:p>
        </w:tc>
      </w:tr>
      <w:tr w14:paraId="1D35CE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358" w:type="pct"/>
            <w:vMerge w:val="continue"/>
            <w:vAlign w:val="center"/>
          </w:tcPr>
          <w:p w14:paraId="277B48BE"/>
        </w:tc>
        <w:tc>
          <w:tcPr>
            <w:tcW w:w="365" w:type="pct"/>
            <w:vMerge w:val="continue"/>
            <w:vAlign w:val="center"/>
          </w:tcPr>
          <w:p w14:paraId="5FCEF92C"/>
        </w:tc>
        <w:tc>
          <w:tcPr>
            <w:tcW w:w="1266" w:type="pct"/>
          </w:tcPr>
          <w:p w14:paraId="135C8304">
            <w:pPr>
              <w:spacing w:line="360" w:lineRule="auto"/>
              <w:jc w:val="left"/>
              <w:rPr>
                <w:rFonts w:ascii="宋体" w:hAnsi="宋体" w:eastAsia="宋体"/>
                <w:sz w:val="18"/>
                <w:szCs w:val="18"/>
              </w:rPr>
            </w:pPr>
            <w:r>
              <w:rPr>
                <w:rFonts w:hint="eastAsia" w:ascii="宋体" w:hAnsi="宋体"/>
                <w:sz w:val="18"/>
                <w:szCs w:val="18"/>
              </w:rPr>
              <w:t>对末端放水装置放水，试验水流指示器的报警性能</w:t>
            </w:r>
          </w:p>
        </w:tc>
        <w:tc>
          <w:tcPr>
            <w:tcW w:w="1129" w:type="pct"/>
            <w:vMerge w:val="continue"/>
          </w:tcPr>
          <w:p w14:paraId="6716D81B"/>
        </w:tc>
        <w:tc>
          <w:tcPr>
            <w:tcW w:w="1414" w:type="pct"/>
          </w:tcPr>
          <w:p w14:paraId="6D228CA0">
            <w:pPr>
              <w:spacing w:line="360" w:lineRule="auto"/>
              <w:jc w:val="left"/>
              <w:rPr>
                <w:rFonts w:ascii="宋体" w:hAnsi="宋体"/>
                <w:sz w:val="18"/>
                <w:szCs w:val="18"/>
              </w:rPr>
            </w:pPr>
          </w:p>
        </w:tc>
        <w:tc>
          <w:tcPr>
            <w:tcW w:w="285" w:type="pct"/>
          </w:tcPr>
          <w:p w14:paraId="2BECF075">
            <w:pPr>
              <w:spacing w:line="360" w:lineRule="auto"/>
              <w:jc w:val="left"/>
              <w:rPr>
                <w:rFonts w:ascii="宋体" w:hAnsi="宋体"/>
                <w:sz w:val="18"/>
                <w:szCs w:val="18"/>
              </w:rPr>
            </w:pPr>
          </w:p>
        </w:tc>
        <w:tc>
          <w:tcPr>
            <w:tcW w:w="182" w:type="pct"/>
          </w:tcPr>
          <w:p w14:paraId="7B2D60A7">
            <w:pPr>
              <w:spacing w:line="360" w:lineRule="auto"/>
              <w:jc w:val="left"/>
              <w:rPr>
                <w:rFonts w:ascii="宋体" w:hAnsi="宋体"/>
                <w:sz w:val="28"/>
                <w:szCs w:val="28"/>
              </w:rPr>
            </w:pPr>
          </w:p>
        </w:tc>
      </w:tr>
      <w:tr w14:paraId="18A506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358" w:type="pct"/>
            <w:vMerge w:val="continue"/>
            <w:vAlign w:val="center"/>
          </w:tcPr>
          <w:p w14:paraId="63022489"/>
        </w:tc>
        <w:tc>
          <w:tcPr>
            <w:tcW w:w="365" w:type="pct"/>
            <w:vMerge w:val="continue"/>
            <w:vAlign w:val="center"/>
          </w:tcPr>
          <w:p w14:paraId="6B90BDF2"/>
        </w:tc>
        <w:tc>
          <w:tcPr>
            <w:tcW w:w="1266" w:type="pct"/>
          </w:tcPr>
          <w:p w14:paraId="42533867">
            <w:pPr>
              <w:spacing w:line="360" w:lineRule="auto"/>
              <w:jc w:val="left"/>
              <w:rPr>
                <w:rFonts w:ascii="宋体" w:hAnsi="宋体" w:eastAsia="宋体"/>
                <w:sz w:val="18"/>
                <w:szCs w:val="18"/>
              </w:rPr>
            </w:pPr>
            <w:r>
              <w:rPr>
                <w:rFonts w:hint="eastAsia" w:ascii="宋体" w:hAnsi="宋体"/>
                <w:sz w:val="18"/>
                <w:szCs w:val="18"/>
              </w:rPr>
              <w:t>对水泵电机绝缘电阻测试</w:t>
            </w:r>
          </w:p>
        </w:tc>
        <w:tc>
          <w:tcPr>
            <w:tcW w:w="1129" w:type="pct"/>
            <w:vMerge w:val="continue"/>
          </w:tcPr>
          <w:p w14:paraId="0AE7CB27"/>
        </w:tc>
        <w:tc>
          <w:tcPr>
            <w:tcW w:w="1414" w:type="pct"/>
          </w:tcPr>
          <w:p w14:paraId="07BF810C">
            <w:pPr>
              <w:spacing w:line="360" w:lineRule="auto"/>
              <w:jc w:val="left"/>
              <w:rPr>
                <w:rFonts w:ascii="宋体" w:hAnsi="宋体"/>
                <w:sz w:val="18"/>
                <w:szCs w:val="18"/>
              </w:rPr>
            </w:pPr>
          </w:p>
        </w:tc>
        <w:tc>
          <w:tcPr>
            <w:tcW w:w="285" w:type="pct"/>
          </w:tcPr>
          <w:p w14:paraId="6FA3A5DB">
            <w:pPr>
              <w:spacing w:line="360" w:lineRule="auto"/>
              <w:jc w:val="left"/>
              <w:rPr>
                <w:rFonts w:ascii="宋体" w:hAnsi="宋体"/>
                <w:sz w:val="18"/>
                <w:szCs w:val="18"/>
              </w:rPr>
            </w:pPr>
          </w:p>
        </w:tc>
        <w:tc>
          <w:tcPr>
            <w:tcW w:w="182" w:type="pct"/>
          </w:tcPr>
          <w:p w14:paraId="5C78A3C4">
            <w:pPr>
              <w:spacing w:line="360" w:lineRule="auto"/>
              <w:jc w:val="left"/>
              <w:rPr>
                <w:rFonts w:ascii="宋体" w:hAnsi="宋体"/>
                <w:sz w:val="28"/>
                <w:szCs w:val="28"/>
              </w:rPr>
            </w:pPr>
          </w:p>
        </w:tc>
      </w:tr>
      <w:tr w14:paraId="26C8DE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8" w:hRule="atLeast"/>
        </w:trPr>
        <w:tc>
          <w:tcPr>
            <w:tcW w:w="358" w:type="pct"/>
            <w:vMerge w:val="continue"/>
            <w:vAlign w:val="center"/>
          </w:tcPr>
          <w:p w14:paraId="6F309B56"/>
        </w:tc>
        <w:tc>
          <w:tcPr>
            <w:tcW w:w="365" w:type="pct"/>
            <w:vMerge w:val="continue"/>
            <w:vAlign w:val="center"/>
          </w:tcPr>
          <w:p w14:paraId="6E46E2E9"/>
        </w:tc>
        <w:tc>
          <w:tcPr>
            <w:tcW w:w="1266" w:type="pct"/>
          </w:tcPr>
          <w:p w14:paraId="75E29E11">
            <w:pPr>
              <w:spacing w:line="360" w:lineRule="auto"/>
              <w:jc w:val="left"/>
              <w:rPr>
                <w:rFonts w:ascii="宋体" w:hAnsi="宋体" w:eastAsia="宋体"/>
                <w:sz w:val="18"/>
                <w:szCs w:val="18"/>
              </w:rPr>
            </w:pPr>
            <w:r>
              <w:rPr>
                <w:rFonts w:hint="eastAsia" w:ascii="宋体" w:hAnsi="宋体"/>
                <w:sz w:val="18"/>
                <w:szCs w:val="18"/>
              </w:rPr>
              <w:t>对稳压泵进行手动及自动试运转测试</w:t>
            </w:r>
          </w:p>
        </w:tc>
        <w:tc>
          <w:tcPr>
            <w:tcW w:w="1129" w:type="pct"/>
            <w:vMerge w:val="continue"/>
          </w:tcPr>
          <w:p w14:paraId="17CE5ED6"/>
        </w:tc>
        <w:tc>
          <w:tcPr>
            <w:tcW w:w="1414" w:type="pct"/>
          </w:tcPr>
          <w:p w14:paraId="57B9B328">
            <w:pPr>
              <w:spacing w:line="360" w:lineRule="auto"/>
              <w:jc w:val="left"/>
              <w:rPr>
                <w:rFonts w:ascii="宋体" w:hAnsi="宋体"/>
                <w:sz w:val="18"/>
                <w:szCs w:val="18"/>
              </w:rPr>
            </w:pPr>
          </w:p>
        </w:tc>
        <w:tc>
          <w:tcPr>
            <w:tcW w:w="285" w:type="pct"/>
          </w:tcPr>
          <w:p w14:paraId="330CC4DE">
            <w:pPr>
              <w:spacing w:line="360" w:lineRule="auto"/>
              <w:jc w:val="left"/>
              <w:rPr>
                <w:rFonts w:ascii="宋体" w:hAnsi="宋体"/>
                <w:sz w:val="18"/>
                <w:szCs w:val="18"/>
              </w:rPr>
            </w:pPr>
          </w:p>
        </w:tc>
        <w:tc>
          <w:tcPr>
            <w:tcW w:w="182" w:type="pct"/>
          </w:tcPr>
          <w:p w14:paraId="66DC187D">
            <w:pPr>
              <w:spacing w:line="360" w:lineRule="auto"/>
              <w:jc w:val="left"/>
              <w:rPr>
                <w:rFonts w:ascii="宋体" w:hAnsi="宋体"/>
                <w:sz w:val="28"/>
                <w:szCs w:val="28"/>
              </w:rPr>
            </w:pPr>
          </w:p>
        </w:tc>
      </w:tr>
      <w:tr w14:paraId="2661E4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8" w:hRule="atLeast"/>
        </w:trPr>
        <w:tc>
          <w:tcPr>
            <w:tcW w:w="358" w:type="pct"/>
            <w:vMerge w:val="continue"/>
            <w:vAlign w:val="center"/>
          </w:tcPr>
          <w:p w14:paraId="590BA8D3"/>
        </w:tc>
        <w:tc>
          <w:tcPr>
            <w:tcW w:w="365" w:type="pct"/>
            <w:vMerge w:val="continue"/>
            <w:vAlign w:val="center"/>
          </w:tcPr>
          <w:p w14:paraId="1432D7F3"/>
        </w:tc>
        <w:tc>
          <w:tcPr>
            <w:tcW w:w="1266" w:type="pct"/>
          </w:tcPr>
          <w:p w14:paraId="2FB3D342">
            <w:pPr>
              <w:spacing w:line="360" w:lineRule="auto"/>
              <w:jc w:val="left"/>
              <w:rPr>
                <w:rFonts w:ascii="宋体" w:hAnsi="宋体" w:eastAsia="宋体"/>
                <w:sz w:val="18"/>
                <w:szCs w:val="18"/>
              </w:rPr>
            </w:pPr>
            <w:r>
              <w:rPr>
                <w:rFonts w:hint="eastAsia" w:ascii="宋体" w:hAnsi="宋体"/>
                <w:sz w:val="18"/>
                <w:szCs w:val="18"/>
              </w:rPr>
              <w:t>对电动泵进行手动及自动试运转测试</w:t>
            </w:r>
          </w:p>
        </w:tc>
        <w:tc>
          <w:tcPr>
            <w:tcW w:w="1129" w:type="pct"/>
            <w:vMerge w:val="continue"/>
          </w:tcPr>
          <w:p w14:paraId="771D62EE"/>
        </w:tc>
        <w:tc>
          <w:tcPr>
            <w:tcW w:w="1414" w:type="pct"/>
          </w:tcPr>
          <w:p w14:paraId="4B2E4143">
            <w:pPr>
              <w:spacing w:line="360" w:lineRule="auto"/>
              <w:jc w:val="left"/>
              <w:rPr>
                <w:rFonts w:ascii="宋体" w:hAnsi="宋体"/>
                <w:sz w:val="18"/>
                <w:szCs w:val="18"/>
              </w:rPr>
            </w:pPr>
          </w:p>
        </w:tc>
        <w:tc>
          <w:tcPr>
            <w:tcW w:w="285" w:type="pct"/>
          </w:tcPr>
          <w:p w14:paraId="132297DB">
            <w:pPr>
              <w:spacing w:line="360" w:lineRule="auto"/>
              <w:jc w:val="left"/>
              <w:rPr>
                <w:rFonts w:ascii="宋体" w:hAnsi="宋体"/>
                <w:sz w:val="18"/>
                <w:szCs w:val="18"/>
              </w:rPr>
            </w:pPr>
          </w:p>
        </w:tc>
        <w:tc>
          <w:tcPr>
            <w:tcW w:w="182" w:type="pct"/>
          </w:tcPr>
          <w:p w14:paraId="634FD280">
            <w:pPr>
              <w:spacing w:line="360" w:lineRule="auto"/>
              <w:jc w:val="left"/>
              <w:rPr>
                <w:rFonts w:ascii="宋体" w:hAnsi="宋体"/>
                <w:sz w:val="28"/>
                <w:szCs w:val="28"/>
              </w:rPr>
            </w:pPr>
          </w:p>
        </w:tc>
      </w:tr>
      <w:tr w14:paraId="0566A2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58" w:type="pct"/>
            <w:vMerge w:val="continue"/>
            <w:vAlign w:val="center"/>
          </w:tcPr>
          <w:p w14:paraId="453F41E0"/>
        </w:tc>
        <w:tc>
          <w:tcPr>
            <w:tcW w:w="365" w:type="pct"/>
            <w:vMerge w:val="restart"/>
            <w:vAlign w:val="center"/>
          </w:tcPr>
          <w:p w14:paraId="2E6EAEFC">
            <w:pPr>
              <w:spacing w:line="360" w:lineRule="auto"/>
              <w:jc w:val="center"/>
              <w:rPr>
                <w:rFonts w:ascii="宋体" w:hAnsi="宋体"/>
                <w:sz w:val="18"/>
                <w:szCs w:val="18"/>
              </w:rPr>
            </w:pPr>
            <w:r>
              <w:rPr>
                <w:rFonts w:ascii="宋体" w:hAnsi="宋体" w:cs="宋体"/>
                <w:sz w:val="18"/>
                <w:szCs w:val="18"/>
              </w:rPr>
              <w:t>消火栓系统</w:t>
            </w:r>
          </w:p>
        </w:tc>
        <w:tc>
          <w:tcPr>
            <w:tcW w:w="1266" w:type="pct"/>
          </w:tcPr>
          <w:p w14:paraId="3B4C2533">
            <w:pPr>
              <w:spacing w:line="360" w:lineRule="auto"/>
              <w:jc w:val="left"/>
              <w:rPr>
                <w:rFonts w:ascii="宋体" w:hAnsi="宋体" w:eastAsia="宋体"/>
                <w:sz w:val="18"/>
                <w:szCs w:val="18"/>
              </w:rPr>
            </w:pPr>
            <w:r>
              <w:rPr>
                <w:rFonts w:hint="eastAsia" w:ascii="宋体" w:hAnsi="宋体"/>
                <w:sz w:val="18"/>
                <w:szCs w:val="18"/>
              </w:rPr>
              <w:t>对供水装置进行供水能力测试，及时对消防水池及水质进行检查</w:t>
            </w:r>
          </w:p>
        </w:tc>
        <w:tc>
          <w:tcPr>
            <w:tcW w:w="1129" w:type="pct"/>
            <w:vMerge w:val="restart"/>
          </w:tcPr>
          <w:p w14:paraId="2B11C555">
            <w:pPr>
              <w:spacing w:line="360" w:lineRule="auto"/>
              <w:jc w:val="left"/>
              <w:rPr>
                <w:rFonts w:ascii="宋体" w:hAnsi="宋体" w:eastAsia="宋体"/>
                <w:sz w:val="18"/>
                <w:szCs w:val="18"/>
              </w:rPr>
            </w:pPr>
            <w:r>
              <w:rPr>
                <w:rFonts w:hint="eastAsia" w:ascii="宋体" w:hAnsi="宋体"/>
                <w:sz w:val="18"/>
                <w:szCs w:val="18"/>
              </w:rPr>
              <w:t>1、不能启动运转消防泵扣2分。</w:t>
            </w:r>
          </w:p>
          <w:p w14:paraId="2AA778EE">
            <w:pPr>
              <w:spacing w:line="360" w:lineRule="auto"/>
              <w:jc w:val="left"/>
              <w:rPr>
                <w:rFonts w:ascii="宋体" w:hAnsi="宋体" w:eastAsia="宋体"/>
                <w:sz w:val="18"/>
                <w:szCs w:val="18"/>
              </w:rPr>
            </w:pPr>
            <w:r>
              <w:rPr>
                <w:rFonts w:hint="eastAsia" w:ascii="宋体" w:hAnsi="宋体"/>
                <w:sz w:val="18"/>
                <w:szCs w:val="18"/>
              </w:rPr>
              <w:t>2、主、备泵不能正常切换扣2分。</w:t>
            </w:r>
          </w:p>
          <w:p w14:paraId="7A5D72F6">
            <w:pPr>
              <w:spacing w:line="360" w:lineRule="auto"/>
              <w:jc w:val="left"/>
              <w:rPr>
                <w:rFonts w:ascii="宋体" w:hAnsi="宋体"/>
                <w:sz w:val="18"/>
                <w:szCs w:val="18"/>
              </w:rPr>
            </w:pPr>
            <w:r>
              <w:rPr>
                <w:rFonts w:hint="eastAsia" w:ascii="宋体" w:hAnsi="宋体"/>
                <w:sz w:val="18"/>
                <w:szCs w:val="18"/>
              </w:rPr>
              <w:t>3、各阀门启闭有故障扣2分。</w:t>
            </w:r>
          </w:p>
          <w:p w14:paraId="06029802">
            <w:pPr>
              <w:spacing w:line="360" w:lineRule="auto"/>
              <w:jc w:val="left"/>
              <w:rPr>
                <w:rFonts w:ascii="宋体" w:hAnsi="宋体"/>
                <w:sz w:val="18"/>
                <w:szCs w:val="18"/>
              </w:rPr>
            </w:pPr>
            <w:r>
              <w:rPr>
                <w:rFonts w:hint="eastAsia" w:ascii="宋体" w:hAnsi="宋体"/>
                <w:sz w:val="18"/>
                <w:szCs w:val="18"/>
              </w:rPr>
              <w:t>4、消火栓管道有跑、冒、漏、滴现象扣2分。</w:t>
            </w:r>
          </w:p>
          <w:p w14:paraId="45AF183F">
            <w:pPr>
              <w:spacing w:line="360" w:lineRule="auto"/>
              <w:jc w:val="left"/>
              <w:rPr>
                <w:rFonts w:ascii="宋体" w:hAnsi="宋体"/>
                <w:sz w:val="18"/>
                <w:szCs w:val="18"/>
              </w:rPr>
            </w:pPr>
            <w:r>
              <w:rPr>
                <w:rFonts w:hint="eastAsia" w:ascii="宋体" w:hAnsi="宋体"/>
                <w:sz w:val="18"/>
                <w:szCs w:val="18"/>
              </w:rPr>
              <w:t>5、消防水池储水量末到达规定水位,水质混浊扣2分。</w:t>
            </w:r>
          </w:p>
          <w:p w14:paraId="5F14C7A9">
            <w:pPr>
              <w:spacing w:line="360" w:lineRule="auto"/>
              <w:jc w:val="left"/>
              <w:rPr>
                <w:rFonts w:ascii="宋体" w:hAnsi="宋体" w:eastAsia="宋体"/>
                <w:sz w:val="18"/>
                <w:szCs w:val="18"/>
              </w:rPr>
            </w:pPr>
            <w:r>
              <w:rPr>
                <w:rFonts w:hint="eastAsia" w:ascii="宋体" w:hAnsi="宋体"/>
                <w:sz w:val="18"/>
                <w:szCs w:val="18"/>
              </w:rPr>
              <w:t>6、消火栓内未清洁一处扣1分。</w:t>
            </w:r>
          </w:p>
          <w:p w14:paraId="15448A51">
            <w:pPr>
              <w:spacing w:line="360" w:lineRule="auto"/>
              <w:jc w:val="left"/>
              <w:rPr>
                <w:rFonts w:ascii="宋体" w:hAnsi="宋体"/>
                <w:sz w:val="18"/>
                <w:szCs w:val="18"/>
              </w:rPr>
            </w:pPr>
            <w:r>
              <w:rPr>
                <w:rFonts w:hint="eastAsia" w:ascii="宋体" w:hAnsi="宋体"/>
                <w:sz w:val="18"/>
                <w:szCs w:val="18"/>
              </w:rPr>
              <w:t>7、消防栓内水带发毒变质未及时更换一处扣1分。</w:t>
            </w:r>
          </w:p>
        </w:tc>
        <w:tc>
          <w:tcPr>
            <w:tcW w:w="1414" w:type="pct"/>
          </w:tcPr>
          <w:p w14:paraId="04460ED3">
            <w:pPr>
              <w:spacing w:line="360" w:lineRule="auto"/>
              <w:jc w:val="left"/>
              <w:rPr>
                <w:rFonts w:ascii="宋体" w:hAnsi="宋体"/>
                <w:sz w:val="18"/>
                <w:szCs w:val="18"/>
              </w:rPr>
            </w:pPr>
          </w:p>
        </w:tc>
        <w:tc>
          <w:tcPr>
            <w:tcW w:w="285" w:type="pct"/>
          </w:tcPr>
          <w:p w14:paraId="4FBE252D">
            <w:pPr>
              <w:spacing w:line="360" w:lineRule="auto"/>
              <w:jc w:val="left"/>
              <w:rPr>
                <w:rFonts w:ascii="宋体" w:hAnsi="宋体"/>
                <w:sz w:val="18"/>
                <w:szCs w:val="18"/>
              </w:rPr>
            </w:pPr>
          </w:p>
        </w:tc>
        <w:tc>
          <w:tcPr>
            <w:tcW w:w="182" w:type="pct"/>
          </w:tcPr>
          <w:p w14:paraId="5A31BD52">
            <w:pPr>
              <w:spacing w:line="360" w:lineRule="auto"/>
              <w:jc w:val="left"/>
              <w:rPr>
                <w:rFonts w:ascii="宋体" w:hAnsi="宋体"/>
                <w:sz w:val="18"/>
                <w:szCs w:val="18"/>
              </w:rPr>
            </w:pPr>
          </w:p>
        </w:tc>
      </w:tr>
      <w:tr w14:paraId="0CA8C5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58" w:type="pct"/>
            <w:vMerge w:val="continue"/>
            <w:vAlign w:val="center"/>
          </w:tcPr>
          <w:p w14:paraId="67E5FD22"/>
        </w:tc>
        <w:tc>
          <w:tcPr>
            <w:tcW w:w="365" w:type="pct"/>
            <w:vMerge w:val="continue"/>
            <w:vAlign w:val="center"/>
          </w:tcPr>
          <w:p w14:paraId="6BFFF9C0"/>
        </w:tc>
        <w:tc>
          <w:tcPr>
            <w:tcW w:w="1266" w:type="pct"/>
          </w:tcPr>
          <w:p w14:paraId="1ABBB2DB">
            <w:pPr>
              <w:spacing w:line="360" w:lineRule="auto"/>
              <w:jc w:val="left"/>
              <w:rPr>
                <w:rFonts w:ascii="宋体" w:hAnsi="宋体" w:eastAsia="宋体"/>
                <w:sz w:val="18"/>
                <w:szCs w:val="18"/>
              </w:rPr>
            </w:pPr>
            <w:r>
              <w:rPr>
                <w:rFonts w:hint="eastAsia" w:ascii="宋体" w:hAnsi="宋体"/>
                <w:sz w:val="18"/>
                <w:szCs w:val="18"/>
              </w:rPr>
              <w:t>对控制柜各个操作开关、指示灯，内部接线端子的检查，保证控制面板正常显示</w:t>
            </w:r>
          </w:p>
        </w:tc>
        <w:tc>
          <w:tcPr>
            <w:tcW w:w="1129" w:type="pct"/>
            <w:vMerge w:val="continue"/>
          </w:tcPr>
          <w:p w14:paraId="64F497D2"/>
        </w:tc>
        <w:tc>
          <w:tcPr>
            <w:tcW w:w="1414" w:type="pct"/>
          </w:tcPr>
          <w:p w14:paraId="26C50D3B">
            <w:pPr>
              <w:spacing w:line="360" w:lineRule="auto"/>
              <w:jc w:val="left"/>
              <w:rPr>
                <w:rFonts w:ascii="宋体" w:hAnsi="宋体"/>
                <w:sz w:val="18"/>
                <w:szCs w:val="18"/>
              </w:rPr>
            </w:pPr>
          </w:p>
        </w:tc>
        <w:tc>
          <w:tcPr>
            <w:tcW w:w="285" w:type="pct"/>
          </w:tcPr>
          <w:p w14:paraId="4DF03A25">
            <w:pPr>
              <w:spacing w:line="360" w:lineRule="auto"/>
              <w:jc w:val="left"/>
              <w:rPr>
                <w:rFonts w:ascii="宋体" w:hAnsi="宋体"/>
                <w:sz w:val="18"/>
                <w:szCs w:val="18"/>
              </w:rPr>
            </w:pPr>
          </w:p>
        </w:tc>
        <w:tc>
          <w:tcPr>
            <w:tcW w:w="182" w:type="pct"/>
          </w:tcPr>
          <w:p w14:paraId="699F404A">
            <w:pPr>
              <w:spacing w:line="360" w:lineRule="auto"/>
              <w:jc w:val="left"/>
              <w:rPr>
                <w:rFonts w:ascii="宋体" w:hAnsi="宋体"/>
                <w:sz w:val="18"/>
                <w:szCs w:val="18"/>
              </w:rPr>
            </w:pPr>
          </w:p>
        </w:tc>
      </w:tr>
      <w:tr w14:paraId="31356C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58" w:type="pct"/>
            <w:vMerge w:val="continue"/>
            <w:vAlign w:val="center"/>
          </w:tcPr>
          <w:p w14:paraId="3AEBE7F1"/>
        </w:tc>
        <w:tc>
          <w:tcPr>
            <w:tcW w:w="365" w:type="pct"/>
            <w:vMerge w:val="continue"/>
            <w:vAlign w:val="center"/>
          </w:tcPr>
          <w:p w14:paraId="5AE09BC0"/>
        </w:tc>
        <w:tc>
          <w:tcPr>
            <w:tcW w:w="1266" w:type="pct"/>
          </w:tcPr>
          <w:p w14:paraId="397A3999">
            <w:pPr>
              <w:spacing w:line="360" w:lineRule="auto"/>
              <w:jc w:val="left"/>
              <w:rPr>
                <w:rFonts w:ascii="宋体" w:hAnsi="宋体"/>
                <w:sz w:val="18"/>
                <w:szCs w:val="18"/>
              </w:rPr>
            </w:pPr>
            <w:r>
              <w:rPr>
                <w:rFonts w:hint="eastAsia" w:ascii="宋体" w:hAnsi="宋体"/>
                <w:sz w:val="18"/>
                <w:szCs w:val="18"/>
              </w:rPr>
              <w:t>对系统管道进行一次重新标识</w:t>
            </w:r>
          </w:p>
        </w:tc>
        <w:tc>
          <w:tcPr>
            <w:tcW w:w="1129" w:type="pct"/>
            <w:vMerge w:val="continue"/>
          </w:tcPr>
          <w:p w14:paraId="383E380B"/>
        </w:tc>
        <w:tc>
          <w:tcPr>
            <w:tcW w:w="1414" w:type="pct"/>
          </w:tcPr>
          <w:p w14:paraId="367A2663">
            <w:pPr>
              <w:spacing w:line="360" w:lineRule="auto"/>
              <w:jc w:val="left"/>
              <w:rPr>
                <w:rFonts w:ascii="宋体" w:hAnsi="宋体"/>
                <w:sz w:val="18"/>
                <w:szCs w:val="18"/>
              </w:rPr>
            </w:pPr>
          </w:p>
        </w:tc>
        <w:tc>
          <w:tcPr>
            <w:tcW w:w="285" w:type="pct"/>
          </w:tcPr>
          <w:p w14:paraId="416E53B0">
            <w:pPr>
              <w:spacing w:line="360" w:lineRule="auto"/>
              <w:jc w:val="left"/>
              <w:rPr>
                <w:rFonts w:ascii="宋体" w:hAnsi="宋体"/>
                <w:sz w:val="18"/>
                <w:szCs w:val="18"/>
              </w:rPr>
            </w:pPr>
          </w:p>
        </w:tc>
        <w:tc>
          <w:tcPr>
            <w:tcW w:w="182" w:type="pct"/>
          </w:tcPr>
          <w:p w14:paraId="5711E54B">
            <w:pPr>
              <w:spacing w:line="360" w:lineRule="auto"/>
              <w:jc w:val="left"/>
              <w:rPr>
                <w:rFonts w:ascii="宋体" w:hAnsi="宋体"/>
                <w:sz w:val="18"/>
                <w:szCs w:val="18"/>
              </w:rPr>
            </w:pPr>
          </w:p>
        </w:tc>
      </w:tr>
      <w:tr w14:paraId="40AE9C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58" w:type="pct"/>
            <w:vMerge w:val="continue"/>
            <w:vAlign w:val="center"/>
          </w:tcPr>
          <w:p w14:paraId="5D70C6D5"/>
        </w:tc>
        <w:tc>
          <w:tcPr>
            <w:tcW w:w="365" w:type="pct"/>
            <w:vMerge w:val="continue"/>
            <w:vAlign w:val="center"/>
          </w:tcPr>
          <w:p w14:paraId="57E792FD"/>
        </w:tc>
        <w:tc>
          <w:tcPr>
            <w:tcW w:w="1266" w:type="pct"/>
          </w:tcPr>
          <w:p w14:paraId="05F11E67">
            <w:pPr>
              <w:spacing w:line="360" w:lineRule="auto"/>
              <w:jc w:val="left"/>
              <w:rPr>
                <w:rFonts w:ascii="宋体" w:hAnsi="宋体" w:eastAsia="宋体"/>
                <w:sz w:val="18"/>
                <w:szCs w:val="18"/>
              </w:rPr>
            </w:pPr>
            <w:r>
              <w:rPr>
                <w:rFonts w:hint="eastAsia" w:ascii="宋体" w:hAnsi="宋体"/>
                <w:sz w:val="18"/>
                <w:szCs w:val="18"/>
              </w:rPr>
              <w:t>对电动机轴承上油，润滑检查及测试</w:t>
            </w:r>
          </w:p>
        </w:tc>
        <w:tc>
          <w:tcPr>
            <w:tcW w:w="1129" w:type="pct"/>
            <w:vMerge w:val="continue"/>
          </w:tcPr>
          <w:p w14:paraId="099169CD"/>
        </w:tc>
        <w:tc>
          <w:tcPr>
            <w:tcW w:w="1414" w:type="pct"/>
          </w:tcPr>
          <w:p w14:paraId="0D071E6B">
            <w:pPr>
              <w:spacing w:line="360" w:lineRule="auto"/>
              <w:jc w:val="left"/>
              <w:rPr>
                <w:rFonts w:ascii="宋体" w:hAnsi="宋体"/>
                <w:sz w:val="18"/>
                <w:szCs w:val="18"/>
              </w:rPr>
            </w:pPr>
          </w:p>
        </w:tc>
        <w:tc>
          <w:tcPr>
            <w:tcW w:w="285" w:type="pct"/>
          </w:tcPr>
          <w:p w14:paraId="4B9BFEA9">
            <w:pPr>
              <w:spacing w:line="360" w:lineRule="auto"/>
              <w:jc w:val="left"/>
              <w:rPr>
                <w:rFonts w:ascii="宋体" w:hAnsi="宋体"/>
                <w:sz w:val="18"/>
                <w:szCs w:val="18"/>
              </w:rPr>
            </w:pPr>
          </w:p>
        </w:tc>
        <w:tc>
          <w:tcPr>
            <w:tcW w:w="182" w:type="pct"/>
          </w:tcPr>
          <w:p w14:paraId="36185D3A">
            <w:pPr>
              <w:spacing w:line="360" w:lineRule="auto"/>
              <w:jc w:val="left"/>
              <w:rPr>
                <w:rFonts w:ascii="宋体" w:hAnsi="宋体"/>
                <w:sz w:val="18"/>
                <w:szCs w:val="18"/>
              </w:rPr>
            </w:pPr>
          </w:p>
        </w:tc>
      </w:tr>
      <w:tr w14:paraId="4A1B0F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58" w:type="pct"/>
            <w:vMerge w:val="continue"/>
            <w:vAlign w:val="center"/>
          </w:tcPr>
          <w:p w14:paraId="297CFADE"/>
        </w:tc>
        <w:tc>
          <w:tcPr>
            <w:tcW w:w="365" w:type="pct"/>
            <w:vMerge w:val="continue"/>
            <w:vAlign w:val="center"/>
          </w:tcPr>
          <w:p w14:paraId="78609A2D"/>
        </w:tc>
        <w:tc>
          <w:tcPr>
            <w:tcW w:w="1266" w:type="pct"/>
          </w:tcPr>
          <w:p w14:paraId="6EED159D">
            <w:pPr>
              <w:spacing w:line="360" w:lineRule="auto"/>
              <w:jc w:val="left"/>
              <w:rPr>
                <w:rFonts w:ascii="宋体" w:hAnsi="宋体" w:eastAsia="宋体"/>
                <w:sz w:val="18"/>
                <w:szCs w:val="18"/>
              </w:rPr>
            </w:pPr>
            <w:r>
              <w:rPr>
                <w:rFonts w:hint="eastAsia" w:ascii="宋体" w:hAnsi="宋体"/>
                <w:sz w:val="18"/>
                <w:szCs w:val="18"/>
              </w:rPr>
              <w:t>对水泵进行手动及自动测试，检测水泵联动启动功能</w:t>
            </w:r>
          </w:p>
        </w:tc>
        <w:tc>
          <w:tcPr>
            <w:tcW w:w="1129" w:type="pct"/>
            <w:vMerge w:val="continue"/>
          </w:tcPr>
          <w:p w14:paraId="43A7B106"/>
        </w:tc>
        <w:tc>
          <w:tcPr>
            <w:tcW w:w="1414" w:type="pct"/>
          </w:tcPr>
          <w:p w14:paraId="24432BE1">
            <w:pPr>
              <w:spacing w:line="360" w:lineRule="auto"/>
              <w:jc w:val="left"/>
              <w:rPr>
                <w:rFonts w:ascii="宋体" w:hAnsi="宋体"/>
                <w:sz w:val="18"/>
                <w:szCs w:val="18"/>
              </w:rPr>
            </w:pPr>
          </w:p>
        </w:tc>
        <w:tc>
          <w:tcPr>
            <w:tcW w:w="285" w:type="pct"/>
          </w:tcPr>
          <w:p w14:paraId="05E0A92D">
            <w:pPr>
              <w:spacing w:line="360" w:lineRule="auto"/>
              <w:jc w:val="left"/>
              <w:rPr>
                <w:rFonts w:ascii="宋体" w:hAnsi="宋体"/>
                <w:sz w:val="18"/>
                <w:szCs w:val="18"/>
              </w:rPr>
            </w:pPr>
          </w:p>
        </w:tc>
        <w:tc>
          <w:tcPr>
            <w:tcW w:w="182" w:type="pct"/>
          </w:tcPr>
          <w:p w14:paraId="3992B838">
            <w:pPr>
              <w:spacing w:line="360" w:lineRule="auto"/>
              <w:jc w:val="left"/>
              <w:rPr>
                <w:rFonts w:ascii="宋体" w:hAnsi="宋体"/>
                <w:sz w:val="18"/>
                <w:szCs w:val="18"/>
              </w:rPr>
            </w:pPr>
          </w:p>
        </w:tc>
      </w:tr>
      <w:tr w14:paraId="16CD84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58" w:type="pct"/>
            <w:vMerge w:val="continue"/>
            <w:vAlign w:val="center"/>
          </w:tcPr>
          <w:p w14:paraId="4FF25F61"/>
        </w:tc>
        <w:tc>
          <w:tcPr>
            <w:tcW w:w="365" w:type="pct"/>
            <w:vMerge w:val="continue"/>
            <w:vAlign w:val="center"/>
          </w:tcPr>
          <w:p w14:paraId="37F6C881"/>
        </w:tc>
        <w:tc>
          <w:tcPr>
            <w:tcW w:w="1266" w:type="pct"/>
          </w:tcPr>
          <w:p w14:paraId="28BA0647">
            <w:pPr>
              <w:spacing w:line="360" w:lineRule="auto"/>
              <w:jc w:val="left"/>
              <w:rPr>
                <w:rFonts w:ascii="宋体" w:hAnsi="宋体" w:eastAsia="宋体"/>
                <w:sz w:val="18"/>
                <w:szCs w:val="18"/>
              </w:rPr>
            </w:pPr>
            <w:r>
              <w:rPr>
                <w:rFonts w:hint="eastAsia" w:ascii="宋体" w:hAnsi="宋体"/>
                <w:sz w:val="18"/>
                <w:szCs w:val="18"/>
              </w:rPr>
              <w:t>对阀门、水泵接合器等进行检查</w:t>
            </w:r>
          </w:p>
        </w:tc>
        <w:tc>
          <w:tcPr>
            <w:tcW w:w="1129" w:type="pct"/>
            <w:vMerge w:val="continue"/>
          </w:tcPr>
          <w:p w14:paraId="32A97382"/>
        </w:tc>
        <w:tc>
          <w:tcPr>
            <w:tcW w:w="1414" w:type="pct"/>
          </w:tcPr>
          <w:p w14:paraId="7D5E4772">
            <w:pPr>
              <w:spacing w:line="360" w:lineRule="auto"/>
              <w:jc w:val="left"/>
              <w:rPr>
                <w:rFonts w:ascii="宋体" w:hAnsi="宋体"/>
                <w:sz w:val="18"/>
                <w:szCs w:val="18"/>
              </w:rPr>
            </w:pPr>
          </w:p>
        </w:tc>
        <w:tc>
          <w:tcPr>
            <w:tcW w:w="285" w:type="pct"/>
          </w:tcPr>
          <w:p w14:paraId="48A11EB7">
            <w:pPr>
              <w:spacing w:line="360" w:lineRule="auto"/>
              <w:jc w:val="left"/>
              <w:rPr>
                <w:rFonts w:ascii="宋体" w:hAnsi="宋体"/>
                <w:sz w:val="18"/>
                <w:szCs w:val="18"/>
              </w:rPr>
            </w:pPr>
          </w:p>
        </w:tc>
        <w:tc>
          <w:tcPr>
            <w:tcW w:w="182" w:type="pct"/>
          </w:tcPr>
          <w:p w14:paraId="4DF5937D">
            <w:pPr>
              <w:spacing w:line="360" w:lineRule="auto"/>
              <w:jc w:val="left"/>
              <w:rPr>
                <w:rFonts w:ascii="宋体" w:hAnsi="宋体"/>
                <w:sz w:val="18"/>
                <w:szCs w:val="18"/>
              </w:rPr>
            </w:pPr>
          </w:p>
        </w:tc>
      </w:tr>
      <w:tr w14:paraId="05F704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58" w:type="pct"/>
            <w:vMerge w:val="continue"/>
            <w:vAlign w:val="center"/>
          </w:tcPr>
          <w:p w14:paraId="76909F5B"/>
        </w:tc>
        <w:tc>
          <w:tcPr>
            <w:tcW w:w="365" w:type="pct"/>
            <w:vMerge w:val="continue"/>
            <w:vAlign w:val="center"/>
          </w:tcPr>
          <w:p w14:paraId="09102F42"/>
        </w:tc>
        <w:tc>
          <w:tcPr>
            <w:tcW w:w="1266" w:type="pct"/>
          </w:tcPr>
          <w:p w14:paraId="44B9D18C">
            <w:pPr>
              <w:spacing w:line="360" w:lineRule="auto"/>
              <w:jc w:val="left"/>
              <w:rPr>
                <w:rFonts w:ascii="宋体" w:hAnsi="宋体" w:eastAsia="宋体"/>
                <w:sz w:val="18"/>
                <w:szCs w:val="18"/>
              </w:rPr>
            </w:pPr>
            <w:r>
              <w:rPr>
                <w:rFonts w:hint="eastAsia" w:ascii="宋体" w:hAnsi="宋体"/>
                <w:sz w:val="18"/>
                <w:szCs w:val="18"/>
              </w:rPr>
              <w:t>定期排放管路内的水源，空气，冲洗管道</w:t>
            </w:r>
          </w:p>
        </w:tc>
        <w:tc>
          <w:tcPr>
            <w:tcW w:w="1129" w:type="pct"/>
            <w:vMerge w:val="continue"/>
          </w:tcPr>
          <w:p w14:paraId="30BCF1CB"/>
        </w:tc>
        <w:tc>
          <w:tcPr>
            <w:tcW w:w="1414" w:type="pct"/>
          </w:tcPr>
          <w:p w14:paraId="7AED5CF0">
            <w:pPr>
              <w:spacing w:line="360" w:lineRule="auto"/>
              <w:jc w:val="left"/>
              <w:rPr>
                <w:rFonts w:ascii="宋体" w:hAnsi="宋体"/>
                <w:sz w:val="18"/>
                <w:szCs w:val="18"/>
              </w:rPr>
            </w:pPr>
          </w:p>
        </w:tc>
        <w:tc>
          <w:tcPr>
            <w:tcW w:w="285" w:type="pct"/>
          </w:tcPr>
          <w:p w14:paraId="12D898D2">
            <w:pPr>
              <w:spacing w:line="360" w:lineRule="auto"/>
              <w:jc w:val="left"/>
              <w:rPr>
                <w:rFonts w:ascii="宋体" w:hAnsi="宋体"/>
                <w:sz w:val="18"/>
                <w:szCs w:val="18"/>
              </w:rPr>
            </w:pPr>
          </w:p>
        </w:tc>
        <w:tc>
          <w:tcPr>
            <w:tcW w:w="182" w:type="pct"/>
          </w:tcPr>
          <w:p w14:paraId="32F439C4">
            <w:pPr>
              <w:spacing w:line="360" w:lineRule="auto"/>
              <w:jc w:val="left"/>
              <w:rPr>
                <w:rFonts w:ascii="宋体" w:hAnsi="宋体"/>
                <w:sz w:val="18"/>
                <w:szCs w:val="18"/>
              </w:rPr>
            </w:pPr>
          </w:p>
        </w:tc>
      </w:tr>
      <w:tr w14:paraId="37C458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58" w:type="pct"/>
            <w:vMerge w:val="continue"/>
            <w:vAlign w:val="center"/>
          </w:tcPr>
          <w:p w14:paraId="327FEB0F"/>
        </w:tc>
        <w:tc>
          <w:tcPr>
            <w:tcW w:w="365" w:type="pct"/>
            <w:vMerge w:val="continue"/>
            <w:vAlign w:val="center"/>
          </w:tcPr>
          <w:p w14:paraId="206F7811"/>
        </w:tc>
        <w:tc>
          <w:tcPr>
            <w:tcW w:w="1266" w:type="pct"/>
          </w:tcPr>
          <w:p w14:paraId="0C1815F4">
            <w:pPr>
              <w:spacing w:line="360" w:lineRule="auto"/>
              <w:jc w:val="left"/>
              <w:rPr>
                <w:rFonts w:ascii="宋体" w:hAnsi="宋体" w:eastAsia="宋体"/>
                <w:sz w:val="18"/>
                <w:szCs w:val="18"/>
              </w:rPr>
            </w:pPr>
            <w:r>
              <w:rPr>
                <w:rFonts w:hint="eastAsia" w:ascii="宋体" w:hAnsi="宋体"/>
                <w:sz w:val="18"/>
                <w:szCs w:val="18"/>
              </w:rPr>
              <w:t>检查箱内水带是否霉烂，水枪内有无杂物，消防水枪接口处的密封胶圈是否老化，是否有漏水现象以及保持消火栓箱内清洁</w:t>
            </w:r>
          </w:p>
        </w:tc>
        <w:tc>
          <w:tcPr>
            <w:tcW w:w="1129" w:type="pct"/>
            <w:vMerge w:val="continue"/>
          </w:tcPr>
          <w:p w14:paraId="6703F178"/>
        </w:tc>
        <w:tc>
          <w:tcPr>
            <w:tcW w:w="1414" w:type="pct"/>
          </w:tcPr>
          <w:p w14:paraId="778D6946">
            <w:pPr>
              <w:spacing w:line="360" w:lineRule="auto"/>
              <w:jc w:val="left"/>
              <w:rPr>
                <w:rFonts w:ascii="宋体" w:hAnsi="宋体"/>
                <w:sz w:val="18"/>
                <w:szCs w:val="18"/>
              </w:rPr>
            </w:pPr>
          </w:p>
        </w:tc>
        <w:tc>
          <w:tcPr>
            <w:tcW w:w="285" w:type="pct"/>
          </w:tcPr>
          <w:p w14:paraId="6E769D1D">
            <w:pPr>
              <w:spacing w:line="360" w:lineRule="auto"/>
              <w:jc w:val="left"/>
              <w:rPr>
                <w:rFonts w:ascii="宋体" w:hAnsi="宋体"/>
                <w:sz w:val="18"/>
                <w:szCs w:val="18"/>
              </w:rPr>
            </w:pPr>
          </w:p>
        </w:tc>
        <w:tc>
          <w:tcPr>
            <w:tcW w:w="182" w:type="pct"/>
          </w:tcPr>
          <w:p w14:paraId="71337E1E">
            <w:pPr>
              <w:spacing w:line="360" w:lineRule="auto"/>
              <w:jc w:val="left"/>
              <w:rPr>
                <w:rFonts w:ascii="宋体" w:hAnsi="宋体"/>
                <w:sz w:val="18"/>
                <w:szCs w:val="18"/>
              </w:rPr>
            </w:pPr>
          </w:p>
        </w:tc>
      </w:tr>
      <w:tr w14:paraId="08C56C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58" w:type="pct"/>
            <w:vMerge w:val="continue"/>
            <w:vAlign w:val="center"/>
          </w:tcPr>
          <w:p w14:paraId="1E4735A6"/>
        </w:tc>
        <w:tc>
          <w:tcPr>
            <w:tcW w:w="365" w:type="pct"/>
            <w:vMerge w:val="continue"/>
            <w:vAlign w:val="center"/>
          </w:tcPr>
          <w:p w14:paraId="5A5D776D"/>
        </w:tc>
        <w:tc>
          <w:tcPr>
            <w:tcW w:w="1266" w:type="pct"/>
          </w:tcPr>
          <w:p w14:paraId="6C625137">
            <w:pPr>
              <w:spacing w:line="360" w:lineRule="auto"/>
              <w:jc w:val="left"/>
              <w:rPr>
                <w:rFonts w:ascii="宋体" w:hAnsi="宋体" w:eastAsia="宋体"/>
                <w:sz w:val="18"/>
                <w:szCs w:val="18"/>
              </w:rPr>
            </w:pPr>
            <w:r>
              <w:rPr>
                <w:rFonts w:hint="eastAsia" w:ascii="宋体" w:hAnsi="宋体"/>
                <w:sz w:val="18"/>
                <w:szCs w:val="18"/>
              </w:rPr>
              <w:t>检查消火栓管道上各阀门是否处于正确位置，有无锈蚀、滴漏</w:t>
            </w:r>
          </w:p>
        </w:tc>
        <w:tc>
          <w:tcPr>
            <w:tcW w:w="1129" w:type="pct"/>
            <w:vMerge w:val="continue"/>
          </w:tcPr>
          <w:p w14:paraId="2BD127F4"/>
        </w:tc>
        <w:tc>
          <w:tcPr>
            <w:tcW w:w="1414" w:type="pct"/>
          </w:tcPr>
          <w:p w14:paraId="516B70D9">
            <w:pPr>
              <w:spacing w:line="360" w:lineRule="auto"/>
              <w:jc w:val="left"/>
              <w:rPr>
                <w:rFonts w:ascii="宋体" w:hAnsi="宋体"/>
                <w:sz w:val="18"/>
                <w:szCs w:val="18"/>
              </w:rPr>
            </w:pPr>
          </w:p>
        </w:tc>
        <w:tc>
          <w:tcPr>
            <w:tcW w:w="285" w:type="pct"/>
          </w:tcPr>
          <w:p w14:paraId="3A6BA02D">
            <w:pPr>
              <w:spacing w:line="360" w:lineRule="auto"/>
              <w:jc w:val="left"/>
              <w:rPr>
                <w:rFonts w:ascii="宋体" w:hAnsi="宋体"/>
                <w:sz w:val="18"/>
                <w:szCs w:val="18"/>
              </w:rPr>
            </w:pPr>
          </w:p>
        </w:tc>
        <w:tc>
          <w:tcPr>
            <w:tcW w:w="182" w:type="pct"/>
          </w:tcPr>
          <w:p w14:paraId="2106CEA0">
            <w:pPr>
              <w:spacing w:line="360" w:lineRule="auto"/>
              <w:jc w:val="left"/>
              <w:rPr>
                <w:rFonts w:ascii="宋体" w:hAnsi="宋体"/>
                <w:sz w:val="18"/>
                <w:szCs w:val="18"/>
              </w:rPr>
            </w:pPr>
          </w:p>
        </w:tc>
      </w:tr>
      <w:tr w14:paraId="3233E0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58" w:type="pct"/>
            <w:vMerge w:val="continue"/>
            <w:vAlign w:val="center"/>
          </w:tcPr>
          <w:p w14:paraId="675027FD"/>
        </w:tc>
        <w:tc>
          <w:tcPr>
            <w:tcW w:w="365" w:type="pct"/>
            <w:vMerge w:val="continue"/>
            <w:vAlign w:val="center"/>
          </w:tcPr>
          <w:p w14:paraId="3C3BC4F8"/>
        </w:tc>
        <w:tc>
          <w:tcPr>
            <w:tcW w:w="1266" w:type="pct"/>
          </w:tcPr>
          <w:p w14:paraId="33545BE0">
            <w:pPr>
              <w:spacing w:line="360" w:lineRule="auto"/>
              <w:jc w:val="left"/>
              <w:rPr>
                <w:rFonts w:ascii="宋体" w:hAnsi="宋体" w:eastAsia="宋体"/>
                <w:sz w:val="18"/>
                <w:szCs w:val="18"/>
              </w:rPr>
            </w:pPr>
            <w:r>
              <w:rPr>
                <w:rFonts w:hint="eastAsia" w:ascii="宋体" w:hAnsi="宋体"/>
                <w:sz w:val="18"/>
                <w:szCs w:val="18"/>
              </w:rPr>
              <w:t>定期对减压阀、过滤网、止回阀进行清洗</w:t>
            </w:r>
          </w:p>
        </w:tc>
        <w:tc>
          <w:tcPr>
            <w:tcW w:w="1129" w:type="pct"/>
            <w:vMerge w:val="continue"/>
          </w:tcPr>
          <w:p w14:paraId="4C7AC6EB"/>
        </w:tc>
        <w:tc>
          <w:tcPr>
            <w:tcW w:w="1414" w:type="pct"/>
          </w:tcPr>
          <w:p w14:paraId="4337F662">
            <w:pPr>
              <w:spacing w:line="360" w:lineRule="auto"/>
              <w:jc w:val="left"/>
              <w:rPr>
                <w:rFonts w:ascii="宋体" w:hAnsi="宋体"/>
                <w:sz w:val="18"/>
                <w:szCs w:val="18"/>
              </w:rPr>
            </w:pPr>
          </w:p>
        </w:tc>
        <w:tc>
          <w:tcPr>
            <w:tcW w:w="285" w:type="pct"/>
          </w:tcPr>
          <w:p w14:paraId="0509C0CD">
            <w:pPr>
              <w:spacing w:line="360" w:lineRule="auto"/>
              <w:jc w:val="left"/>
              <w:rPr>
                <w:rFonts w:ascii="宋体" w:hAnsi="宋体"/>
                <w:sz w:val="18"/>
                <w:szCs w:val="18"/>
              </w:rPr>
            </w:pPr>
          </w:p>
        </w:tc>
        <w:tc>
          <w:tcPr>
            <w:tcW w:w="182" w:type="pct"/>
          </w:tcPr>
          <w:p w14:paraId="2437CF0E">
            <w:pPr>
              <w:spacing w:line="360" w:lineRule="auto"/>
              <w:jc w:val="left"/>
              <w:rPr>
                <w:rFonts w:ascii="宋体" w:hAnsi="宋体"/>
                <w:sz w:val="18"/>
                <w:szCs w:val="18"/>
              </w:rPr>
            </w:pPr>
          </w:p>
        </w:tc>
      </w:tr>
      <w:tr w14:paraId="3ECE6C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3" w:hRule="atLeast"/>
        </w:trPr>
        <w:tc>
          <w:tcPr>
            <w:tcW w:w="358" w:type="pct"/>
            <w:vMerge w:val="continue"/>
            <w:vAlign w:val="center"/>
          </w:tcPr>
          <w:p w14:paraId="5110B9AD"/>
        </w:tc>
        <w:tc>
          <w:tcPr>
            <w:tcW w:w="365" w:type="pct"/>
            <w:vMerge w:val="restart"/>
            <w:vAlign w:val="center"/>
          </w:tcPr>
          <w:p w14:paraId="7E05DE9C">
            <w:pPr>
              <w:spacing w:line="360" w:lineRule="auto"/>
              <w:jc w:val="center"/>
              <w:rPr>
                <w:rFonts w:ascii="宋体" w:hAnsi="宋体" w:cs="宋体"/>
                <w:sz w:val="18"/>
                <w:szCs w:val="18"/>
              </w:rPr>
            </w:pPr>
          </w:p>
          <w:p w14:paraId="61E56137">
            <w:pPr>
              <w:spacing w:line="360" w:lineRule="auto"/>
              <w:jc w:val="center"/>
              <w:rPr>
                <w:rFonts w:ascii="宋体" w:hAnsi="宋体"/>
                <w:sz w:val="18"/>
                <w:szCs w:val="18"/>
              </w:rPr>
            </w:pPr>
            <w:r>
              <w:rPr>
                <w:rFonts w:ascii="宋体" w:hAnsi="宋体" w:cs="宋体"/>
                <w:sz w:val="18"/>
                <w:szCs w:val="18"/>
              </w:rPr>
              <w:t>防排烟系统</w:t>
            </w:r>
          </w:p>
          <w:p w14:paraId="0505A220">
            <w:pPr>
              <w:spacing w:line="360" w:lineRule="auto"/>
              <w:jc w:val="center"/>
              <w:rPr>
                <w:rFonts w:ascii="宋体" w:hAnsi="宋体"/>
                <w:sz w:val="18"/>
                <w:szCs w:val="18"/>
              </w:rPr>
            </w:pPr>
          </w:p>
        </w:tc>
        <w:tc>
          <w:tcPr>
            <w:tcW w:w="1266" w:type="pct"/>
          </w:tcPr>
          <w:p w14:paraId="70497E9D">
            <w:pPr>
              <w:spacing w:line="360" w:lineRule="auto"/>
              <w:jc w:val="left"/>
              <w:rPr>
                <w:rFonts w:ascii="宋体" w:hAnsi="宋体" w:eastAsia="宋体"/>
                <w:sz w:val="18"/>
                <w:szCs w:val="18"/>
              </w:rPr>
            </w:pPr>
            <w:r>
              <w:rPr>
                <w:rFonts w:hint="eastAsia" w:ascii="宋体" w:hAnsi="宋体"/>
                <w:sz w:val="18"/>
                <w:szCs w:val="18"/>
              </w:rPr>
              <w:t>对风机及电源控制箱的检查维护与功能测试</w:t>
            </w:r>
          </w:p>
        </w:tc>
        <w:tc>
          <w:tcPr>
            <w:tcW w:w="1129" w:type="pct"/>
            <w:vMerge w:val="restart"/>
          </w:tcPr>
          <w:p w14:paraId="6492BA98">
            <w:pPr>
              <w:spacing w:line="360" w:lineRule="auto"/>
              <w:jc w:val="left"/>
              <w:rPr>
                <w:rFonts w:ascii="宋体" w:hAnsi="宋体"/>
                <w:sz w:val="18"/>
                <w:szCs w:val="18"/>
              </w:rPr>
            </w:pPr>
            <w:r>
              <w:rPr>
                <w:rFonts w:hint="eastAsia" w:ascii="宋体" w:hAnsi="宋体"/>
                <w:sz w:val="18"/>
                <w:szCs w:val="18"/>
              </w:rPr>
              <w:t>1、风机故障未及时修复,每发现一次扣2分。</w:t>
            </w:r>
          </w:p>
          <w:p w14:paraId="0D8C5D35">
            <w:pPr>
              <w:spacing w:line="360" w:lineRule="auto"/>
              <w:jc w:val="left"/>
              <w:rPr>
                <w:rFonts w:ascii="宋体" w:hAnsi="宋体"/>
                <w:sz w:val="18"/>
                <w:szCs w:val="18"/>
              </w:rPr>
            </w:pPr>
            <w:r>
              <w:rPr>
                <w:rFonts w:hint="eastAsia" w:ascii="宋体" w:hAnsi="宋体"/>
                <w:sz w:val="18"/>
                <w:szCs w:val="18"/>
              </w:rPr>
              <w:t>2、控制箱未清洁,每次扣1分。</w:t>
            </w:r>
          </w:p>
          <w:p w14:paraId="38859735">
            <w:pPr>
              <w:spacing w:line="360" w:lineRule="auto"/>
              <w:jc w:val="left"/>
              <w:rPr>
                <w:rFonts w:ascii="宋体" w:hAnsi="宋体"/>
                <w:sz w:val="18"/>
                <w:szCs w:val="18"/>
              </w:rPr>
            </w:pPr>
            <w:r>
              <w:rPr>
                <w:rFonts w:hint="eastAsia" w:ascii="宋体" w:hAnsi="宋体"/>
                <w:sz w:val="18"/>
                <w:szCs w:val="18"/>
              </w:rPr>
              <w:t>3、未对控制柜接线镙丝鬆动的进行紧固处理每次扣1分。</w:t>
            </w:r>
          </w:p>
          <w:p w14:paraId="76A3DCEC">
            <w:pPr>
              <w:spacing w:line="360" w:lineRule="auto"/>
              <w:jc w:val="left"/>
              <w:rPr>
                <w:rFonts w:ascii="宋体" w:hAnsi="宋体"/>
                <w:sz w:val="18"/>
                <w:szCs w:val="18"/>
              </w:rPr>
            </w:pPr>
            <w:r>
              <w:rPr>
                <w:rFonts w:hint="eastAsia" w:ascii="宋体" w:hAnsi="宋体"/>
                <w:sz w:val="18"/>
                <w:szCs w:val="18"/>
              </w:rPr>
              <w:t>4、未对系统进行联动测试每次扣2分。</w:t>
            </w:r>
          </w:p>
          <w:p w14:paraId="60797A49">
            <w:pPr>
              <w:spacing w:line="360" w:lineRule="auto"/>
              <w:jc w:val="left"/>
              <w:rPr>
                <w:rFonts w:ascii="宋体" w:hAnsi="宋体"/>
                <w:sz w:val="18"/>
                <w:szCs w:val="18"/>
              </w:rPr>
            </w:pPr>
          </w:p>
        </w:tc>
        <w:tc>
          <w:tcPr>
            <w:tcW w:w="1414" w:type="pct"/>
            <w:vMerge w:val="restart"/>
          </w:tcPr>
          <w:p w14:paraId="624E10CD">
            <w:pPr>
              <w:spacing w:line="360" w:lineRule="auto"/>
              <w:jc w:val="left"/>
              <w:rPr>
                <w:rFonts w:ascii="宋体" w:hAnsi="宋体"/>
                <w:sz w:val="18"/>
                <w:szCs w:val="18"/>
              </w:rPr>
            </w:pPr>
          </w:p>
        </w:tc>
        <w:tc>
          <w:tcPr>
            <w:tcW w:w="285" w:type="pct"/>
            <w:vMerge w:val="restart"/>
          </w:tcPr>
          <w:p w14:paraId="4CF4D00C">
            <w:pPr>
              <w:spacing w:line="360" w:lineRule="auto"/>
              <w:jc w:val="left"/>
              <w:rPr>
                <w:rFonts w:ascii="宋体" w:hAnsi="宋体"/>
                <w:sz w:val="18"/>
                <w:szCs w:val="18"/>
              </w:rPr>
            </w:pPr>
          </w:p>
        </w:tc>
        <w:tc>
          <w:tcPr>
            <w:tcW w:w="182" w:type="pct"/>
            <w:vMerge w:val="restart"/>
          </w:tcPr>
          <w:p w14:paraId="53D2E6DC">
            <w:pPr>
              <w:spacing w:line="360" w:lineRule="auto"/>
              <w:jc w:val="left"/>
              <w:rPr>
                <w:rFonts w:ascii="宋体" w:hAnsi="宋体"/>
                <w:sz w:val="18"/>
                <w:szCs w:val="18"/>
              </w:rPr>
            </w:pPr>
          </w:p>
        </w:tc>
      </w:tr>
      <w:tr w14:paraId="77AB70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3" w:hRule="atLeast"/>
        </w:trPr>
        <w:tc>
          <w:tcPr>
            <w:tcW w:w="358" w:type="pct"/>
            <w:vMerge w:val="continue"/>
            <w:vAlign w:val="center"/>
          </w:tcPr>
          <w:p w14:paraId="6444C35C"/>
        </w:tc>
        <w:tc>
          <w:tcPr>
            <w:tcW w:w="365" w:type="pct"/>
            <w:vMerge w:val="continue"/>
            <w:vAlign w:val="center"/>
          </w:tcPr>
          <w:p w14:paraId="2740EE6A"/>
        </w:tc>
        <w:tc>
          <w:tcPr>
            <w:tcW w:w="1266" w:type="pct"/>
          </w:tcPr>
          <w:p w14:paraId="76EBA14A">
            <w:pPr>
              <w:spacing w:line="360" w:lineRule="auto"/>
              <w:jc w:val="left"/>
              <w:rPr>
                <w:rFonts w:ascii="宋体" w:hAnsi="宋体"/>
                <w:sz w:val="18"/>
                <w:szCs w:val="18"/>
              </w:rPr>
            </w:pPr>
            <w:r>
              <w:rPr>
                <w:rFonts w:hint="eastAsia" w:ascii="宋体" w:hAnsi="宋体"/>
                <w:sz w:val="18"/>
                <w:szCs w:val="18"/>
              </w:rPr>
              <w:t>对系统进行联动测试</w:t>
            </w:r>
          </w:p>
        </w:tc>
        <w:tc>
          <w:tcPr>
            <w:tcW w:w="1129" w:type="pct"/>
            <w:vMerge w:val="continue"/>
          </w:tcPr>
          <w:p w14:paraId="0687A714"/>
        </w:tc>
        <w:tc>
          <w:tcPr>
            <w:tcW w:w="1414" w:type="pct"/>
            <w:vMerge w:val="continue"/>
          </w:tcPr>
          <w:p w14:paraId="26392AE3"/>
        </w:tc>
        <w:tc>
          <w:tcPr>
            <w:tcW w:w="285" w:type="pct"/>
            <w:vMerge w:val="continue"/>
          </w:tcPr>
          <w:p w14:paraId="66FE4D15"/>
        </w:tc>
        <w:tc>
          <w:tcPr>
            <w:tcW w:w="182" w:type="pct"/>
            <w:vMerge w:val="continue"/>
          </w:tcPr>
          <w:p w14:paraId="76D39020"/>
        </w:tc>
      </w:tr>
      <w:tr w14:paraId="77948C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63" w:hRule="atLeast"/>
        </w:trPr>
        <w:tc>
          <w:tcPr>
            <w:tcW w:w="358" w:type="pct"/>
            <w:vMerge w:val="continue"/>
            <w:vAlign w:val="center"/>
          </w:tcPr>
          <w:p w14:paraId="57B9D04B"/>
        </w:tc>
        <w:tc>
          <w:tcPr>
            <w:tcW w:w="365" w:type="pct"/>
            <w:vMerge w:val="continue"/>
            <w:vAlign w:val="center"/>
          </w:tcPr>
          <w:p w14:paraId="392C78F4"/>
        </w:tc>
        <w:tc>
          <w:tcPr>
            <w:tcW w:w="1266" w:type="pct"/>
          </w:tcPr>
          <w:p w14:paraId="36811FD7">
            <w:pPr>
              <w:spacing w:line="360" w:lineRule="auto"/>
              <w:jc w:val="left"/>
              <w:rPr>
                <w:rFonts w:ascii="宋体" w:hAnsi="宋体"/>
                <w:sz w:val="18"/>
                <w:szCs w:val="18"/>
              </w:rPr>
            </w:pPr>
            <w:r>
              <w:rPr>
                <w:rFonts w:hint="eastAsia" w:ascii="宋体" w:hAnsi="宋体"/>
                <w:sz w:val="18"/>
                <w:szCs w:val="18"/>
              </w:rPr>
              <w:t>定期对风机控制箱进行清洁，螺丝进行紧固</w:t>
            </w:r>
          </w:p>
        </w:tc>
        <w:tc>
          <w:tcPr>
            <w:tcW w:w="1129" w:type="pct"/>
            <w:vMerge w:val="continue"/>
          </w:tcPr>
          <w:p w14:paraId="2DC030E0"/>
        </w:tc>
        <w:tc>
          <w:tcPr>
            <w:tcW w:w="1414" w:type="pct"/>
            <w:vMerge w:val="continue"/>
          </w:tcPr>
          <w:p w14:paraId="7CED3D6E"/>
        </w:tc>
        <w:tc>
          <w:tcPr>
            <w:tcW w:w="285" w:type="pct"/>
            <w:vMerge w:val="continue"/>
          </w:tcPr>
          <w:p w14:paraId="57B3D512"/>
        </w:tc>
        <w:tc>
          <w:tcPr>
            <w:tcW w:w="182" w:type="pct"/>
            <w:vMerge w:val="continue"/>
          </w:tcPr>
          <w:p w14:paraId="08FAE1F8"/>
        </w:tc>
      </w:tr>
      <w:tr w14:paraId="1F93A3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3" w:hRule="atLeast"/>
        </w:trPr>
        <w:tc>
          <w:tcPr>
            <w:tcW w:w="358" w:type="pct"/>
            <w:vMerge w:val="continue"/>
            <w:vAlign w:val="center"/>
          </w:tcPr>
          <w:p w14:paraId="19F329B8"/>
        </w:tc>
        <w:tc>
          <w:tcPr>
            <w:tcW w:w="365" w:type="pct"/>
            <w:vMerge w:val="continue"/>
            <w:vAlign w:val="center"/>
          </w:tcPr>
          <w:p w14:paraId="3D3209D3"/>
        </w:tc>
        <w:tc>
          <w:tcPr>
            <w:tcW w:w="1266" w:type="pct"/>
          </w:tcPr>
          <w:p w14:paraId="4AA780F8">
            <w:pPr>
              <w:spacing w:line="360" w:lineRule="auto"/>
              <w:jc w:val="left"/>
              <w:rPr>
                <w:rFonts w:ascii="宋体" w:hAnsi="宋体"/>
                <w:sz w:val="18"/>
                <w:szCs w:val="18"/>
              </w:rPr>
            </w:pPr>
            <w:r>
              <w:rPr>
                <w:rFonts w:hint="eastAsia" w:ascii="宋体" w:hAnsi="宋体"/>
                <w:sz w:val="18"/>
                <w:szCs w:val="18"/>
              </w:rPr>
              <w:t>检查风机运转情况</w:t>
            </w:r>
          </w:p>
        </w:tc>
        <w:tc>
          <w:tcPr>
            <w:tcW w:w="1129" w:type="pct"/>
            <w:vMerge w:val="continue"/>
          </w:tcPr>
          <w:p w14:paraId="3CE8EB09"/>
        </w:tc>
        <w:tc>
          <w:tcPr>
            <w:tcW w:w="1414" w:type="pct"/>
            <w:vMerge w:val="continue"/>
          </w:tcPr>
          <w:p w14:paraId="3F0EE1AB"/>
        </w:tc>
        <w:tc>
          <w:tcPr>
            <w:tcW w:w="285" w:type="pct"/>
            <w:vMerge w:val="continue"/>
          </w:tcPr>
          <w:p w14:paraId="612426DC"/>
        </w:tc>
        <w:tc>
          <w:tcPr>
            <w:tcW w:w="182" w:type="pct"/>
            <w:vMerge w:val="continue"/>
          </w:tcPr>
          <w:p w14:paraId="3C8AEB94"/>
        </w:tc>
      </w:tr>
      <w:tr w14:paraId="07DF33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358" w:type="pct"/>
            <w:vMerge w:val="continue"/>
            <w:vAlign w:val="center"/>
          </w:tcPr>
          <w:p w14:paraId="614D4A59"/>
        </w:tc>
        <w:tc>
          <w:tcPr>
            <w:tcW w:w="365" w:type="pct"/>
            <w:vMerge w:val="restart"/>
            <w:vAlign w:val="center"/>
          </w:tcPr>
          <w:p w14:paraId="0F0EC75F">
            <w:pPr>
              <w:spacing w:line="360" w:lineRule="auto"/>
              <w:jc w:val="center"/>
              <w:rPr>
                <w:rFonts w:ascii="宋体" w:hAnsi="宋体"/>
                <w:sz w:val="18"/>
                <w:szCs w:val="18"/>
              </w:rPr>
            </w:pPr>
            <w:r>
              <w:rPr>
                <w:rFonts w:ascii="宋体" w:hAnsi="宋体" w:cs="宋体"/>
                <w:sz w:val="18"/>
                <w:szCs w:val="18"/>
              </w:rPr>
              <w:t>消防电话系统</w:t>
            </w:r>
          </w:p>
        </w:tc>
        <w:tc>
          <w:tcPr>
            <w:tcW w:w="1266" w:type="pct"/>
          </w:tcPr>
          <w:p w14:paraId="40DDE719">
            <w:pPr>
              <w:spacing w:line="360" w:lineRule="auto"/>
              <w:jc w:val="left"/>
              <w:rPr>
                <w:rFonts w:ascii="宋体" w:hAnsi="宋体"/>
                <w:sz w:val="18"/>
                <w:szCs w:val="18"/>
              </w:rPr>
            </w:pPr>
            <w:r>
              <w:rPr>
                <w:rFonts w:hint="eastAsia" w:ascii="宋体" w:hAnsi="宋体"/>
                <w:sz w:val="18"/>
                <w:szCs w:val="18"/>
              </w:rPr>
              <w:t>消防电话系统测试</w:t>
            </w:r>
          </w:p>
        </w:tc>
        <w:tc>
          <w:tcPr>
            <w:tcW w:w="1129" w:type="pct"/>
            <w:vMerge w:val="restart"/>
          </w:tcPr>
          <w:p w14:paraId="4A149859">
            <w:pPr>
              <w:spacing w:line="360" w:lineRule="auto"/>
              <w:jc w:val="left"/>
              <w:rPr>
                <w:rFonts w:ascii="宋体" w:hAnsi="宋体"/>
                <w:sz w:val="18"/>
                <w:szCs w:val="18"/>
              </w:rPr>
            </w:pPr>
            <w:r>
              <w:rPr>
                <w:rFonts w:hint="eastAsia" w:ascii="宋体" w:hAnsi="宋体"/>
                <w:sz w:val="18"/>
                <w:szCs w:val="18"/>
              </w:rPr>
              <w:t>1、主机功能故障未及时发现或修复扣2分。</w:t>
            </w:r>
          </w:p>
          <w:p w14:paraId="541A6230">
            <w:pPr>
              <w:spacing w:line="360" w:lineRule="auto"/>
              <w:jc w:val="left"/>
              <w:rPr>
                <w:rFonts w:ascii="宋体" w:hAnsi="宋体"/>
                <w:sz w:val="18"/>
                <w:szCs w:val="18"/>
              </w:rPr>
            </w:pPr>
            <w:r>
              <w:rPr>
                <w:rFonts w:hint="eastAsia" w:ascii="宋体" w:hAnsi="宋体"/>
                <w:sz w:val="18"/>
                <w:szCs w:val="18"/>
              </w:rPr>
              <w:t>2、消防电话损坏,一处扣1分。</w:t>
            </w:r>
          </w:p>
          <w:p w14:paraId="7FFF7A39">
            <w:pPr>
              <w:spacing w:line="360" w:lineRule="auto"/>
              <w:jc w:val="left"/>
              <w:rPr>
                <w:rFonts w:ascii="宋体" w:hAnsi="宋体"/>
                <w:sz w:val="18"/>
                <w:szCs w:val="18"/>
              </w:rPr>
            </w:pPr>
            <w:r>
              <w:rPr>
                <w:rFonts w:hint="eastAsia" w:ascii="宋体" w:hAnsi="宋体"/>
                <w:sz w:val="18"/>
                <w:szCs w:val="18"/>
              </w:rPr>
              <w:t>3、电话未清洁一处扣1分。</w:t>
            </w:r>
          </w:p>
          <w:p w14:paraId="0D88B0BF">
            <w:pPr>
              <w:spacing w:line="360" w:lineRule="auto"/>
              <w:jc w:val="left"/>
              <w:rPr>
                <w:rFonts w:ascii="宋体" w:hAnsi="宋体"/>
                <w:sz w:val="18"/>
                <w:szCs w:val="18"/>
              </w:rPr>
            </w:pPr>
            <w:r>
              <w:rPr>
                <w:rFonts w:hint="eastAsia" w:ascii="宋体" w:hAnsi="宋体"/>
                <w:sz w:val="18"/>
                <w:szCs w:val="18"/>
              </w:rPr>
              <w:t>4、机房、水泵房消防电话不能与中控室进行对讲扣2分。</w:t>
            </w:r>
          </w:p>
        </w:tc>
        <w:tc>
          <w:tcPr>
            <w:tcW w:w="1414" w:type="pct"/>
          </w:tcPr>
          <w:p w14:paraId="516A7C38">
            <w:pPr>
              <w:spacing w:line="360" w:lineRule="auto"/>
              <w:jc w:val="left"/>
              <w:rPr>
                <w:rFonts w:ascii="宋体" w:hAnsi="宋体"/>
                <w:sz w:val="18"/>
                <w:szCs w:val="18"/>
              </w:rPr>
            </w:pPr>
          </w:p>
        </w:tc>
        <w:tc>
          <w:tcPr>
            <w:tcW w:w="285" w:type="pct"/>
          </w:tcPr>
          <w:p w14:paraId="2D1A00D2">
            <w:pPr>
              <w:spacing w:line="360" w:lineRule="auto"/>
              <w:jc w:val="left"/>
              <w:rPr>
                <w:rFonts w:ascii="宋体" w:hAnsi="宋体"/>
                <w:sz w:val="18"/>
                <w:szCs w:val="18"/>
              </w:rPr>
            </w:pPr>
          </w:p>
        </w:tc>
        <w:tc>
          <w:tcPr>
            <w:tcW w:w="182" w:type="pct"/>
          </w:tcPr>
          <w:p w14:paraId="511605BC">
            <w:pPr>
              <w:spacing w:line="360" w:lineRule="auto"/>
              <w:jc w:val="left"/>
              <w:rPr>
                <w:rFonts w:ascii="宋体" w:hAnsi="宋体"/>
                <w:sz w:val="18"/>
                <w:szCs w:val="18"/>
              </w:rPr>
            </w:pPr>
          </w:p>
        </w:tc>
      </w:tr>
      <w:tr w14:paraId="6DCF0B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90" w:hRule="atLeast"/>
        </w:trPr>
        <w:tc>
          <w:tcPr>
            <w:tcW w:w="358" w:type="pct"/>
            <w:vMerge w:val="continue"/>
            <w:vAlign w:val="center"/>
          </w:tcPr>
          <w:p w14:paraId="5B565330"/>
        </w:tc>
        <w:tc>
          <w:tcPr>
            <w:tcW w:w="365" w:type="pct"/>
            <w:vMerge w:val="continue"/>
            <w:vAlign w:val="center"/>
          </w:tcPr>
          <w:p w14:paraId="12EF31A1"/>
        </w:tc>
        <w:tc>
          <w:tcPr>
            <w:tcW w:w="1266" w:type="pct"/>
          </w:tcPr>
          <w:p w14:paraId="05C96A46">
            <w:pPr>
              <w:spacing w:line="360" w:lineRule="auto"/>
              <w:jc w:val="left"/>
              <w:rPr>
                <w:rFonts w:ascii="宋体" w:hAnsi="宋体" w:eastAsia="宋体"/>
                <w:sz w:val="18"/>
                <w:szCs w:val="18"/>
              </w:rPr>
            </w:pPr>
            <w:r>
              <w:rPr>
                <w:rFonts w:hint="eastAsia" w:ascii="宋体" w:hAnsi="宋体"/>
                <w:sz w:val="18"/>
                <w:szCs w:val="18"/>
              </w:rPr>
              <w:t>检查各分机的性能</w:t>
            </w:r>
          </w:p>
        </w:tc>
        <w:tc>
          <w:tcPr>
            <w:tcW w:w="1129" w:type="pct"/>
            <w:vMerge w:val="continue"/>
          </w:tcPr>
          <w:p w14:paraId="55E38ED1"/>
        </w:tc>
        <w:tc>
          <w:tcPr>
            <w:tcW w:w="1414" w:type="pct"/>
          </w:tcPr>
          <w:p w14:paraId="28290234">
            <w:pPr>
              <w:spacing w:line="360" w:lineRule="auto"/>
              <w:jc w:val="left"/>
              <w:rPr>
                <w:rFonts w:ascii="宋体" w:hAnsi="宋体"/>
                <w:sz w:val="18"/>
                <w:szCs w:val="18"/>
              </w:rPr>
            </w:pPr>
          </w:p>
        </w:tc>
        <w:tc>
          <w:tcPr>
            <w:tcW w:w="285" w:type="pct"/>
          </w:tcPr>
          <w:p w14:paraId="0ADF38AE">
            <w:pPr>
              <w:spacing w:line="360" w:lineRule="auto"/>
              <w:jc w:val="left"/>
              <w:rPr>
                <w:rFonts w:ascii="宋体" w:hAnsi="宋体"/>
                <w:sz w:val="18"/>
                <w:szCs w:val="18"/>
              </w:rPr>
            </w:pPr>
          </w:p>
        </w:tc>
        <w:tc>
          <w:tcPr>
            <w:tcW w:w="182" w:type="pct"/>
          </w:tcPr>
          <w:p w14:paraId="3BBE50FE">
            <w:pPr>
              <w:spacing w:line="360" w:lineRule="auto"/>
              <w:jc w:val="left"/>
              <w:rPr>
                <w:rFonts w:ascii="宋体" w:hAnsi="宋体"/>
                <w:sz w:val="18"/>
                <w:szCs w:val="18"/>
              </w:rPr>
            </w:pPr>
          </w:p>
        </w:tc>
      </w:tr>
      <w:tr w14:paraId="06EE52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358" w:type="pct"/>
            <w:vMerge w:val="continue"/>
            <w:vAlign w:val="center"/>
          </w:tcPr>
          <w:p w14:paraId="2659A629"/>
        </w:tc>
        <w:tc>
          <w:tcPr>
            <w:tcW w:w="365" w:type="pct"/>
            <w:vMerge w:val="continue"/>
            <w:vAlign w:val="center"/>
          </w:tcPr>
          <w:p w14:paraId="02818930"/>
        </w:tc>
        <w:tc>
          <w:tcPr>
            <w:tcW w:w="1266" w:type="pct"/>
          </w:tcPr>
          <w:p w14:paraId="7DE42C99">
            <w:pPr>
              <w:spacing w:line="360" w:lineRule="auto"/>
              <w:jc w:val="left"/>
              <w:rPr>
                <w:rFonts w:ascii="宋体" w:hAnsi="宋体" w:eastAsia="宋体"/>
                <w:sz w:val="18"/>
                <w:szCs w:val="18"/>
              </w:rPr>
            </w:pPr>
            <w:r>
              <w:rPr>
                <w:rFonts w:hint="eastAsia" w:ascii="宋体" w:hAnsi="宋体"/>
                <w:sz w:val="18"/>
                <w:szCs w:val="18"/>
              </w:rPr>
              <w:t>对插孔电话进行测试，确保通话正常</w:t>
            </w:r>
          </w:p>
        </w:tc>
        <w:tc>
          <w:tcPr>
            <w:tcW w:w="1129" w:type="pct"/>
            <w:vMerge w:val="continue"/>
          </w:tcPr>
          <w:p w14:paraId="1A52A448"/>
        </w:tc>
        <w:tc>
          <w:tcPr>
            <w:tcW w:w="1414" w:type="pct"/>
          </w:tcPr>
          <w:p w14:paraId="00EF23BF">
            <w:pPr>
              <w:spacing w:line="360" w:lineRule="auto"/>
              <w:jc w:val="left"/>
              <w:rPr>
                <w:rFonts w:ascii="宋体" w:hAnsi="宋体"/>
                <w:sz w:val="18"/>
                <w:szCs w:val="18"/>
              </w:rPr>
            </w:pPr>
          </w:p>
        </w:tc>
        <w:tc>
          <w:tcPr>
            <w:tcW w:w="285" w:type="pct"/>
          </w:tcPr>
          <w:p w14:paraId="25C91B7A">
            <w:pPr>
              <w:spacing w:line="360" w:lineRule="auto"/>
              <w:jc w:val="left"/>
              <w:rPr>
                <w:rFonts w:ascii="宋体" w:hAnsi="宋体"/>
                <w:sz w:val="18"/>
                <w:szCs w:val="18"/>
              </w:rPr>
            </w:pPr>
          </w:p>
        </w:tc>
        <w:tc>
          <w:tcPr>
            <w:tcW w:w="182" w:type="pct"/>
          </w:tcPr>
          <w:p w14:paraId="3D91C034">
            <w:pPr>
              <w:spacing w:line="360" w:lineRule="auto"/>
              <w:jc w:val="left"/>
              <w:rPr>
                <w:rFonts w:ascii="宋体" w:hAnsi="宋体"/>
                <w:sz w:val="18"/>
                <w:szCs w:val="18"/>
              </w:rPr>
            </w:pPr>
          </w:p>
        </w:tc>
      </w:tr>
      <w:tr w14:paraId="00D557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58" w:type="pct"/>
            <w:vMerge w:val="continue"/>
            <w:vAlign w:val="center"/>
          </w:tcPr>
          <w:p w14:paraId="55E78C82"/>
        </w:tc>
        <w:tc>
          <w:tcPr>
            <w:tcW w:w="365" w:type="pct"/>
            <w:vMerge w:val="restart"/>
            <w:vAlign w:val="center"/>
          </w:tcPr>
          <w:p w14:paraId="2EB11950">
            <w:pPr>
              <w:spacing w:line="360" w:lineRule="auto"/>
              <w:jc w:val="center"/>
              <w:rPr>
                <w:rFonts w:ascii="宋体" w:hAnsi="宋体"/>
                <w:sz w:val="18"/>
                <w:szCs w:val="18"/>
              </w:rPr>
            </w:pPr>
            <w:r>
              <w:rPr>
                <w:rFonts w:ascii="宋体" w:hAnsi="宋体" w:cs="宋体"/>
                <w:sz w:val="18"/>
                <w:szCs w:val="18"/>
              </w:rPr>
              <w:t>气体灭火系统</w:t>
            </w:r>
          </w:p>
        </w:tc>
        <w:tc>
          <w:tcPr>
            <w:tcW w:w="1266" w:type="pct"/>
          </w:tcPr>
          <w:p w14:paraId="38035B68">
            <w:pPr>
              <w:spacing w:line="360" w:lineRule="auto"/>
              <w:jc w:val="left"/>
              <w:rPr>
                <w:rFonts w:ascii="宋体" w:hAnsi="宋体"/>
                <w:sz w:val="18"/>
                <w:szCs w:val="18"/>
              </w:rPr>
            </w:pPr>
            <w:r>
              <w:rPr>
                <w:rFonts w:hint="eastAsia" w:ascii="宋体" w:hAnsi="宋体"/>
                <w:sz w:val="18"/>
                <w:szCs w:val="18"/>
              </w:rPr>
              <w:t>对灭火剂储存装置,驱动裝置的检查,灭火剂储量应符合要求</w:t>
            </w:r>
          </w:p>
        </w:tc>
        <w:tc>
          <w:tcPr>
            <w:tcW w:w="1129" w:type="pct"/>
            <w:vMerge w:val="restart"/>
          </w:tcPr>
          <w:p w14:paraId="499A3BB4">
            <w:pPr>
              <w:spacing w:line="360" w:lineRule="auto"/>
              <w:jc w:val="left"/>
              <w:rPr>
                <w:rFonts w:ascii="宋体" w:hAnsi="宋体"/>
                <w:sz w:val="18"/>
                <w:szCs w:val="18"/>
              </w:rPr>
            </w:pPr>
            <w:r>
              <w:rPr>
                <w:rFonts w:hint="eastAsia" w:ascii="宋体" w:hAnsi="宋体"/>
                <w:sz w:val="18"/>
                <w:szCs w:val="18"/>
              </w:rPr>
              <w:t>1、系统未清清,扣1分。</w:t>
            </w:r>
          </w:p>
          <w:p w14:paraId="3222933E">
            <w:pPr>
              <w:spacing w:line="360" w:lineRule="auto"/>
              <w:jc w:val="left"/>
              <w:rPr>
                <w:rFonts w:ascii="宋体" w:hAnsi="宋体"/>
                <w:sz w:val="18"/>
                <w:szCs w:val="18"/>
              </w:rPr>
            </w:pPr>
            <w:r>
              <w:rPr>
                <w:rFonts w:hint="eastAsia" w:ascii="宋体" w:hAnsi="宋体"/>
                <w:sz w:val="18"/>
                <w:szCs w:val="18"/>
              </w:rPr>
              <w:t>2、灭火剂泄漏达不到要求扣2分。</w:t>
            </w:r>
          </w:p>
          <w:p w14:paraId="2561954F">
            <w:pPr>
              <w:spacing w:line="360" w:lineRule="auto"/>
              <w:jc w:val="left"/>
              <w:rPr>
                <w:rFonts w:ascii="宋体" w:hAnsi="宋体"/>
                <w:sz w:val="18"/>
                <w:szCs w:val="18"/>
              </w:rPr>
            </w:pPr>
            <w:r>
              <w:rPr>
                <w:rFonts w:hint="eastAsia" w:ascii="宋体" w:hAnsi="宋体"/>
                <w:sz w:val="18"/>
                <w:szCs w:val="18"/>
              </w:rPr>
              <w:t>3、驱动瓶泄漏,驱动气体达不到要求扣1分。</w:t>
            </w:r>
          </w:p>
          <w:p w14:paraId="05E83955">
            <w:pPr>
              <w:spacing w:line="360" w:lineRule="auto"/>
              <w:jc w:val="left"/>
              <w:rPr>
                <w:rFonts w:ascii="宋体" w:hAnsi="宋体"/>
                <w:sz w:val="18"/>
                <w:szCs w:val="18"/>
              </w:rPr>
            </w:pPr>
            <w:r>
              <w:rPr>
                <w:rFonts w:hint="eastAsia" w:ascii="宋体" w:hAnsi="宋体"/>
                <w:sz w:val="18"/>
                <w:szCs w:val="18"/>
              </w:rPr>
              <w:t>4、控制器故障未及时修复扣2分。</w:t>
            </w:r>
          </w:p>
          <w:p w14:paraId="25E88EEC">
            <w:pPr>
              <w:spacing w:line="360" w:lineRule="auto"/>
              <w:jc w:val="left"/>
              <w:rPr>
                <w:rFonts w:ascii="宋体" w:hAnsi="宋体" w:eastAsia="宋体"/>
                <w:sz w:val="18"/>
                <w:szCs w:val="18"/>
              </w:rPr>
            </w:pPr>
            <w:r>
              <w:rPr>
                <w:rFonts w:hint="eastAsia" w:ascii="宋体" w:hAnsi="宋体"/>
                <w:sz w:val="18"/>
                <w:szCs w:val="18"/>
              </w:rPr>
              <w:t>5、其它系统硬件故障扣1分。</w:t>
            </w:r>
          </w:p>
        </w:tc>
        <w:tc>
          <w:tcPr>
            <w:tcW w:w="1414" w:type="pct"/>
          </w:tcPr>
          <w:p w14:paraId="29F58BC9">
            <w:pPr>
              <w:spacing w:line="360" w:lineRule="auto"/>
              <w:jc w:val="left"/>
              <w:rPr>
                <w:rFonts w:ascii="宋体" w:hAnsi="宋体"/>
                <w:sz w:val="18"/>
                <w:szCs w:val="18"/>
              </w:rPr>
            </w:pPr>
          </w:p>
        </w:tc>
        <w:tc>
          <w:tcPr>
            <w:tcW w:w="285" w:type="pct"/>
          </w:tcPr>
          <w:p w14:paraId="0164523D">
            <w:pPr>
              <w:spacing w:line="360" w:lineRule="auto"/>
              <w:jc w:val="left"/>
              <w:rPr>
                <w:rFonts w:ascii="宋体" w:hAnsi="宋体"/>
                <w:sz w:val="18"/>
                <w:szCs w:val="18"/>
              </w:rPr>
            </w:pPr>
          </w:p>
        </w:tc>
        <w:tc>
          <w:tcPr>
            <w:tcW w:w="182" w:type="pct"/>
          </w:tcPr>
          <w:p w14:paraId="58F3853C">
            <w:pPr>
              <w:spacing w:line="360" w:lineRule="auto"/>
              <w:jc w:val="left"/>
              <w:rPr>
                <w:rFonts w:ascii="宋体" w:hAnsi="宋体"/>
                <w:sz w:val="18"/>
                <w:szCs w:val="18"/>
              </w:rPr>
            </w:pPr>
          </w:p>
        </w:tc>
      </w:tr>
      <w:tr w14:paraId="59C8B8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58" w:type="pct"/>
            <w:vMerge w:val="continue"/>
            <w:vAlign w:val="center"/>
          </w:tcPr>
          <w:p w14:paraId="5CCBF30D"/>
        </w:tc>
        <w:tc>
          <w:tcPr>
            <w:tcW w:w="365" w:type="pct"/>
            <w:vMerge w:val="continue"/>
            <w:vAlign w:val="center"/>
          </w:tcPr>
          <w:p w14:paraId="183DADD1"/>
        </w:tc>
        <w:tc>
          <w:tcPr>
            <w:tcW w:w="1266" w:type="pct"/>
          </w:tcPr>
          <w:p w14:paraId="4ADA56DB">
            <w:pPr>
              <w:spacing w:line="360" w:lineRule="auto"/>
              <w:jc w:val="left"/>
              <w:rPr>
                <w:rFonts w:ascii="宋体" w:hAnsi="宋体"/>
                <w:sz w:val="18"/>
                <w:szCs w:val="18"/>
              </w:rPr>
            </w:pPr>
            <w:r>
              <w:rPr>
                <w:rFonts w:hint="eastAsia" w:ascii="宋体" w:hAnsi="宋体"/>
                <w:sz w:val="18"/>
                <w:szCs w:val="18"/>
              </w:rPr>
              <w:t>对储存容器、容器阀、电磁启动阀、压力表、喷头及整个组对报警控制器，模块箱，端子箱的接线情况检查</w:t>
            </w:r>
          </w:p>
        </w:tc>
        <w:tc>
          <w:tcPr>
            <w:tcW w:w="1129" w:type="pct"/>
            <w:vMerge w:val="continue"/>
          </w:tcPr>
          <w:p w14:paraId="56F56059"/>
        </w:tc>
        <w:tc>
          <w:tcPr>
            <w:tcW w:w="1414" w:type="pct"/>
          </w:tcPr>
          <w:p w14:paraId="5AE48A3B">
            <w:pPr>
              <w:spacing w:line="360" w:lineRule="auto"/>
              <w:jc w:val="left"/>
              <w:rPr>
                <w:rFonts w:ascii="宋体" w:hAnsi="宋体"/>
                <w:sz w:val="18"/>
                <w:szCs w:val="18"/>
              </w:rPr>
            </w:pPr>
          </w:p>
        </w:tc>
        <w:tc>
          <w:tcPr>
            <w:tcW w:w="285" w:type="pct"/>
          </w:tcPr>
          <w:p w14:paraId="1A5888F4">
            <w:pPr>
              <w:spacing w:line="360" w:lineRule="auto"/>
              <w:jc w:val="left"/>
              <w:rPr>
                <w:rFonts w:ascii="宋体" w:hAnsi="宋体"/>
                <w:sz w:val="18"/>
                <w:szCs w:val="18"/>
              </w:rPr>
            </w:pPr>
          </w:p>
        </w:tc>
        <w:tc>
          <w:tcPr>
            <w:tcW w:w="182" w:type="pct"/>
          </w:tcPr>
          <w:p w14:paraId="3A060BE6">
            <w:pPr>
              <w:spacing w:line="360" w:lineRule="auto"/>
              <w:jc w:val="left"/>
              <w:rPr>
                <w:rFonts w:ascii="宋体" w:hAnsi="宋体"/>
                <w:sz w:val="18"/>
                <w:szCs w:val="18"/>
              </w:rPr>
            </w:pPr>
          </w:p>
        </w:tc>
      </w:tr>
      <w:tr w14:paraId="758262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58" w:type="pct"/>
            <w:vMerge w:val="continue"/>
            <w:vAlign w:val="center"/>
          </w:tcPr>
          <w:p w14:paraId="1EBABA49"/>
        </w:tc>
        <w:tc>
          <w:tcPr>
            <w:tcW w:w="365" w:type="pct"/>
            <w:vMerge w:val="continue"/>
            <w:vAlign w:val="center"/>
          </w:tcPr>
          <w:p w14:paraId="3995A800"/>
        </w:tc>
        <w:tc>
          <w:tcPr>
            <w:tcW w:w="1266" w:type="pct"/>
          </w:tcPr>
          <w:p w14:paraId="30606D2E">
            <w:pPr>
              <w:spacing w:line="360" w:lineRule="auto"/>
              <w:jc w:val="left"/>
              <w:rPr>
                <w:rFonts w:ascii="宋体" w:hAnsi="宋体"/>
                <w:sz w:val="18"/>
                <w:szCs w:val="18"/>
              </w:rPr>
            </w:pPr>
            <w:r>
              <w:rPr>
                <w:rFonts w:hint="eastAsia" w:ascii="宋体" w:hAnsi="宋体"/>
                <w:sz w:val="18"/>
                <w:szCs w:val="18"/>
              </w:rPr>
              <w:t>检查手动应急机械操作装置</w:t>
            </w:r>
          </w:p>
        </w:tc>
        <w:tc>
          <w:tcPr>
            <w:tcW w:w="1129" w:type="pct"/>
            <w:vMerge w:val="continue"/>
          </w:tcPr>
          <w:p w14:paraId="5A91C500"/>
        </w:tc>
        <w:tc>
          <w:tcPr>
            <w:tcW w:w="1414" w:type="pct"/>
          </w:tcPr>
          <w:p w14:paraId="31FEB5F3">
            <w:pPr>
              <w:spacing w:line="360" w:lineRule="auto"/>
              <w:jc w:val="left"/>
              <w:rPr>
                <w:rFonts w:ascii="宋体" w:hAnsi="宋体"/>
                <w:sz w:val="18"/>
                <w:szCs w:val="18"/>
              </w:rPr>
            </w:pPr>
          </w:p>
        </w:tc>
        <w:tc>
          <w:tcPr>
            <w:tcW w:w="285" w:type="pct"/>
          </w:tcPr>
          <w:p w14:paraId="64DFDC10">
            <w:pPr>
              <w:spacing w:line="360" w:lineRule="auto"/>
              <w:jc w:val="left"/>
              <w:rPr>
                <w:rFonts w:ascii="宋体" w:hAnsi="宋体"/>
                <w:sz w:val="18"/>
                <w:szCs w:val="18"/>
              </w:rPr>
            </w:pPr>
          </w:p>
        </w:tc>
        <w:tc>
          <w:tcPr>
            <w:tcW w:w="182" w:type="pct"/>
          </w:tcPr>
          <w:p w14:paraId="5EE14014">
            <w:pPr>
              <w:spacing w:line="360" w:lineRule="auto"/>
              <w:jc w:val="left"/>
              <w:rPr>
                <w:rFonts w:ascii="宋体" w:hAnsi="宋体"/>
                <w:sz w:val="18"/>
                <w:szCs w:val="18"/>
              </w:rPr>
            </w:pPr>
          </w:p>
        </w:tc>
      </w:tr>
      <w:tr w14:paraId="7DA2AA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58" w:type="pct"/>
            <w:vMerge w:val="continue"/>
            <w:vAlign w:val="center"/>
          </w:tcPr>
          <w:p w14:paraId="347DADBC"/>
        </w:tc>
        <w:tc>
          <w:tcPr>
            <w:tcW w:w="365" w:type="pct"/>
            <w:vMerge w:val="restart"/>
            <w:vAlign w:val="center"/>
          </w:tcPr>
          <w:p w14:paraId="50DEA4DF">
            <w:pPr>
              <w:spacing w:line="360" w:lineRule="auto"/>
              <w:jc w:val="center"/>
              <w:rPr>
                <w:rFonts w:ascii="宋体" w:hAnsi="宋体" w:eastAsia="宋体"/>
                <w:sz w:val="18"/>
                <w:szCs w:val="18"/>
              </w:rPr>
            </w:pPr>
            <w:r>
              <w:rPr>
                <w:rFonts w:hint="eastAsia" w:ascii="宋体" w:hAnsi="宋体"/>
                <w:sz w:val="18"/>
                <w:szCs w:val="18"/>
              </w:rPr>
              <w:t>防火门、防火卷帘门系统</w:t>
            </w:r>
          </w:p>
        </w:tc>
        <w:tc>
          <w:tcPr>
            <w:tcW w:w="1266" w:type="pct"/>
          </w:tcPr>
          <w:p w14:paraId="10408A22">
            <w:pPr>
              <w:spacing w:line="360" w:lineRule="auto"/>
              <w:jc w:val="left"/>
              <w:rPr>
                <w:rFonts w:ascii="宋体" w:hAnsi="宋体" w:eastAsia="宋体"/>
                <w:sz w:val="18"/>
                <w:szCs w:val="18"/>
              </w:rPr>
            </w:pPr>
            <w:r>
              <w:rPr>
                <w:rFonts w:hint="eastAsia" w:ascii="宋体" w:hAnsi="宋体"/>
                <w:sz w:val="18"/>
                <w:szCs w:val="18"/>
              </w:rPr>
              <w:t>对卷帘门的外观检查，卡脱槽位状况</w:t>
            </w:r>
          </w:p>
        </w:tc>
        <w:tc>
          <w:tcPr>
            <w:tcW w:w="1129" w:type="pct"/>
            <w:vMerge w:val="restart"/>
          </w:tcPr>
          <w:p w14:paraId="7502F400">
            <w:pPr>
              <w:spacing w:line="360" w:lineRule="auto"/>
              <w:jc w:val="left"/>
              <w:rPr>
                <w:rFonts w:ascii="宋体" w:hAnsi="宋体"/>
                <w:sz w:val="18"/>
                <w:szCs w:val="18"/>
              </w:rPr>
            </w:pPr>
            <w:r>
              <w:rPr>
                <w:rFonts w:hint="eastAsia" w:ascii="宋体" w:hAnsi="宋体"/>
                <w:sz w:val="18"/>
                <w:szCs w:val="18"/>
              </w:rPr>
              <w:t>1、防火门不能正常开关,闭门器有故障扣2分。</w:t>
            </w:r>
          </w:p>
          <w:p w14:paraId="6F69A160">
            <w:pPr>
              <w:spacing w:line="360" w:lineRule="auto"/>
              <w:jc w:val="left"/>
              <w:rPr>
                <w:rFonts w:ascii="宋体" w:hAnsi="宋体"/>
                <w:sz w:val="18"/>
                <w:szCs w:val="18"/>
              </w:rPr>
            </w:pPr>
            <w:r>
              <w:rPr>
                <w:rFonts w:hint="eastAsia" w:ascii="宋体" w:hAnsi="宋体"/>
                <w:sz w:val="18"/>
                <w:szCs w:val="18"/>
              </w:rPr>
              <w:t>2、防火卷帘门不能远程及就地控制启停扣2分。</w:t>
            </w:r>
          </w:p>
          <w:p w14:paraId="39D66572">
            <w:pPr>
              <w:spacing w:line="360" w:lineRule="auto"/>
              <w:jc w:val="left"/>
              <w:rPr>
                <w:rFonts w:ascii="宋体" w:hAnsi="宋体"/>
                <w:sz w:val="18"/>
                <w:szCs w:val="18"/>
              </w:rPr>
            </w:pPr>
            <w:r>
              <w:rPr>
                <w:rFonts w:hint="eastAsia" w:ascii="宋体" w:hAnsi="宋体"/>
                <w:sz w:val="18"/>
                <w:szCs w:val="18"/>
              </w:rPr>
              <w:t>3、防火卷帘门框损坏未及时修复每次扣2分。</w:t>
            </w:r>
          </w:p>
          <w:p w14:paraId="4716BCAB">
            <w:pPr>
              <w:spacing w:line="360" w:lineRule="auto"/>
              <w:jc w:val="left"/>
              <w:rPr>
                <w:rFonts w:ascii="宋体" w:hAnsi="宋体"/>
                <w:sz w:val="18"/>
                <w:szCs w:val="18"/>
              </w:rPr>
            </w:pPr>
            <w:r>
              <w:rPr>
                <w:rFonts w:hint="eastAsia" w:ascii="宋体" w:hAnsi="宋体"/>
                <w:sz w:val="18"/>
                <w:szCs w:val="18"/>
              </w:rPr>
              <w:t>4、未对控箱灰进行清理每次扣1分。</w:t>
            </w:r>
          </w:p>
          <w:p w14:paraId="663A7BCC">
            <w:pPr>
              <w:spacing w:line="360" w:lineRule="auto"/>
              <w:jc w:val="left"/>
              <w:rPr>
                <w:rFonts w:ascii="宋体" w:hAnsi="宋体" w:eastAsia="宋体"/>
                <w:sz w:val="15"/>
                <w:szCs w:val="15"/>
              </w:rPr>
            </w:pPr>
            <w:r>
              <w:rPr>
                <w:rFonts w:hint="eastAsia" w:ascii="宋体" w:hAnsi="宋体"/>
                <w:sz w:val="18"/>
                <w:szCs w:val="18"/>
              </w:rPr>
              <w:t>5、未对齿轮轴承等传动机构进行润滑处理每次扣2分。</w:t>
            </w:r>
          </w:p>
        </w:tc>
        <w:tc>
          <w:tcPr>
            <w:tcW w:w="1414" w:type="pct"/>
          </w:tcPr>
          <w:p w14:paraId="1E9B30F9">
            <w:pPr>
              <w:spacing w:line="360" w:lineRule="auto"/>
              <w:jc w:val="left"/>
              <w:rPr>
                <w:rFonts w:ascii="宋体" w:hAnsi="宋体"/>
                <w:sz w:val="18"/>
                <w:szCs w:val="18"/>
              </w:rPr>
            </w:pPr>
          </w:p>
        </w:tc>
        <w:tc>
          <w:tcPr>
            <w:tcW w:w="285" w:type="pct"/>
          </w:tcPr>
          <w:p w14:paraId="36E770A5">
            <w:pPr>
              <w:spacing w:line="360" w:lineRule="auto"/>
              <w:jc w:val="left"/>
              <w:rPr>
                <w:rFonts w:ascii="宋体" w:hAnsi="宋体"/>
                <w:sz w:val="18"/>
                <w:szCs w:val="18"/>
              </w:rPr>
            </w:pPr>
          </w:p>
        </w:tc>
        <w:tc>
          <w:tcPr>
            <w:tcW w:w="182" w:type="pct"/>
          </w:tcPr>
          <w:p w14:paraId="3D40021D">
            <w:pPr>
              <w:spacing w:line="360" w:lineRule="auto"/>
              <w:jc w:val="left"/>
              <w:rPr>
                <w:rFonts w:ascii="宋体" w:hAnsi="宋体"/>
                <w:sz w:val="18"/>
                <w:szCs w:val="18"/>
              </w:rPr>
            </w:pPr>
          </w:p>
        </w:tc>
      </w:tr>
      <w:tr w14:paraId="15A5FC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58" w:type="pct"/>
            <w:vMerge w:val="continue"/>
            <w:vAlign w:val="center"/>
          </w:tcPr>
          <w:p w14:paraId="00A9FE89"/>
        </w:tc>
        <w:tc>
          <w:tcPr>
            <w:tcW w:w="365" w:type="pct"/>
            <w:vMerge w:val="continue"/>
            <w:vAlign w:val="center"/>
          </w:tcPr>
          <w:p w14:paraId="2484D2E2"/>
        </w:tc>
        <w:tc>
          <w:tcPr>
            <w:tcW w:w="1266" w:type="pct"/>
          </w:tcPr>
          <w:p w14:paraId="3F3A8EF2">
            <w:pPr>
              <w:spacing w:line="360" w:lineRule="auto"/>
              <w:jc w:val="left"/>
              <w:rPr>
                <w:rFonts w:ascii="宋体" w:hAnsi="宋体" w:eastAsia="宋体"/>
                <w:sz w:val="18"/>
                <w:szCs w:val="18"/>
              </w:rPr>
            </w:pPr>
            <w:r>
              <w:rPr>
                <w:rFonts w:hint="eastAsia" w:ascii="宋体" w:hAnsi="宋体"/>
                <w:sz w:val="18"/>
                <w:szCs w:val="18"/>
              </w:rPr>
              <w:t>对电气控制箱内部电路检查，并测试功能</w:t>
            </w:r>
          </w:p>
        </w:tc>
        <w:tc>
          <w:tcPr>
            <w:tcW w:w="1129" w:type="pct"/>
            <w:vMerge w:val="continue"/>
          </w:tcPr>
          <w:p w14:paraId="073C03EF"/>
        </w:tc>
        <w:tc>
          <w:tcPr>
            <w:tcW w:w="1414" w:type="pct"/>
          </w:tcPr>
          <w:p w14:paraId="05BF8052">
            <w:pPr>
              <w:spacing w:line="360" w:lineRule="auto"/>
              <w:jc w:val="left"/>
              <w:rPr>
                <w:rFonts w:ascii="宋体" w:hAnsi="宋体"/>
                <w:sz w:val="18"/>
                <w:szCs w:val="18"/>
              </w:rPr>
            </w:pPr>
          </w:p>
        </w:tc>
        <w:tc>
          <w:tcPr>
            <w:tcW w:w="285" w:type="pct"/>
          </w:tcPr>
          <w:p w14:paraId="75D7EC5A">
            <w:pPr>
              <w:spacing w:line="360" w:lineRule="auto"/>
              <w:jc w:val="left"/>
              <w:rPr>
                <w:rFonts w:ascii="宋体" w:hAnsi="宋体"/>
                <w:sz w:val="18"/>
                <w:szCs w:val="18"/>
              </w:rPr>
            </w:pPr>
          </w:p>
        </w:tc>
        <w:tc>
          <w:tcPr>
            <w:tcW w:w="182" w:type="pct"/>
          </w:tcPr>
          <w:p w14:paraId="149A1480">
            <w:pPr>
              <w:spacing w:line="360" w:lineRule="auto"/>
              <w:jc w:val="left"/>
              <w:rPr>
                <w:rFonts w:ascii="宋体" w:hAnsi="宋体"/>
                <w:sz w:val="18"/>
                <w:szCs w:val="18"/>
              </w:rPr>
            </w:pPr>
          </w:p>
        </w:tc>
      </w:tr>
      <w:tr w14:paraId="016109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58" w:type="pct"/>
            <w:vMerge w:val="continue"/>
            <w:vAlign w:val="center"/>
          </w:tcPr>
          <w:p w14:paraId="529D4895"/>
        </w:tc>
        <w:tc>
          <w:tcPr>
            <w:tcW w:w="365" w:type="pct"/>
            <w:vMerge w:val="continue"/>
            <w:vAlign w:val="center"/>
          </w:tcPr>
          <w:p w14:paraId="37AE75D2"/>
        </w:tc>
        <w:tc>
          <w:tcPr>
            <w:tcW w:w="1266" w:type="pct"/>
          </w:tcPr>
          <w:p w14:paraId="006E8F44">
            <w:pPr>
              <w:spacing w:line="360" w:lineRule="auto"/>
              <w:jc w:val="left"/>
              <w:rPr>
                <w:rFonts w:ascii="宋体" w:hAnsi="宋体" w:eastAsia="宋体"/>
                <w:sz w:val="18"/>
                <w:szCs w:val="18"/>
              </w:rPr>
            </w:pPr>
            <w:r>
              <w:rPr>
                <w:rFonts w:hint="eastAsia" w:ascii="宋体" w:hAnsi="宋体"/>
                <w:sz w:val="18"/>
                <w:szCs w:val="18"/>
              </w:rPr>
              <w:t>对系统进行手动及自动测试，测试联动控制功能</w:t>
            </w:r>
          </w:p>
        </w:tc>
        <w:tc>
          <w:tcPr>
            <w:tcW w:w="1129" w:type="pct"/>
            <w:vMerge w:val="continue"/>
          </w:tcPr>
          <w:p w14:paraId="3A20A3A8"/>
        </w:tc>
        <w:tc>
          <w:tcPr>
            <w:tcW w:w="1414" w:type="pct"/>
          </w:tcPr>
          <w:p w14:paraId="242EFB55">
            <w:pPr>
              <w:spacing w:line="360" w:lineRule="auto"/>
              <w:jc w:val="left"/>
              <w:rPr>
                <w:rFonts w:ascii="宋体" w:hAnsi="宋体"/>
                <w:sz w:val="18"/>
                <w:szCs w:val="18"/>
              </w:rPr>
            </w:pPr>
          </w:p>
        </w:tc>
        <w:tc>
          <w:tcPr>
            <w:tcW w:w="285" w:type="pct"/>
          </w:tcPr>
          <w:p w14:paraId="76E2C3C3">
            <w:pPr>
              <w:spacing w:line="360" w:lineRule="auto"/>
              <w:jc w:val="left"/>
              <w:rPr>
                <w:rFonts w:ascii="宋体" w:hAnsi="宋体"/>
                <w:sz w:val="18"/>
                <w:szCs w:val="18"/>
              </w:rPr>
            </w:pPr>
          </w:p>
        </w:tc>
        <w:tc>
          <w:tcPr>
            <w:tcW w:w="182" w:type="pct"/>
          </w:tcPr>
          <w:p w14:paraId="2F7D6C8F">
            <w:pPr>
              <w:spacing w:line="360" w:lineRule="auto"/>
              <w:jc w:val="left"/>
              <w:rPr>
                <w:rFonts w:ascii="宋体" w:hAnsi="宋体"/>
                <w:sz w:val="18"/>
                <w:szCs w:val="18"/>
              </w:rPr>
            </w:pPr>
          </w:p>
        </w:tc>
      </w:tr>
      <w:tr w14:paraId="249169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58" w:type="pct"/>
            <w:vMerge w:val="continue"/>
            <w:vAlign w:val="center"/>
          </w:tcPr>
          <w:p w14:paraId="0F54D8AA"/>
        </w:tc>
        <w:tc>
          <w:tcPr>
            <w:tcW w:w="365" w:type="pct"/>
            <w:vMerge w:val="continue"/>
            <w:vAlign w:val="center"/>
          </w:tcPr>
          <w:p w14:paraId="41B888EE"/>
        </w:tc>
        <w:tc>
          <w:tcPr>
            <w:tcW w:w="1266" w:type="pct"/>
          </w:tcPr>
          <w:p w14:paraId="19C87463">
            <w:pPr>
              <w:spacing w:line="360" w:lineRule="auto"/>
              <w:jc w:val="left"/>
              <w:rPr>
                <w:rFonts w:ascii="宋体" w:hAnsi="宋体" w:eastAsia="宋体"/>
                <w:sz w:val="18"/>
                <w:szCs w:val="18"/>
              </w:rPr>
            </w:pPr>
            <w:r>
              <w:rPr>
                <w:rFonts w:hint="eastAsia" w:ascii="宋体" w:hAnsi="宋体"/>
                <w:sz w:val="18"/>
                <w:szCs w:val="18"/>
              </w:rPr>
              <w:t>对控制箱进行除尘，螺丝紧固，齿轮等润滑处理</w:t>
            </w:r>
          </w:p>
        </w:tc>
        <w:tc>
          <w:tcPr>
            <w:tcW w:w="1129" w:type="pct"/>
            <w:vMerge w:val="continue"/>
          </w:tcPr>
          <w:p w14:paraId="5DD71A19"/>
        </w:tc>
        <w:tc>
          <w:tcPr>
            <w:tcW w:w="1414" w:type="pct"/>
          </w:tcPr>
          <w:p w14:paraId="35E6FE3C">
            <w:pPr>
              <w:spacing w:line="360" w:lineRule="auto"/>
              <w:jc w:val="left"/>
              <w:rPr>
                <w:rFonts w:ascii="宋体" w:hAnsi="宋体"/>
                <w:sz w:val="18"/>
                <w:szCs w:val="18"/>
              </w:rPr>
            </w:pPr>
          </w:p>
        </w:tc>
        <w:tc>
          <w:tcPr>
            <w:tcW w:w="285" w:type="pct"/>
          </w:tcPr>
          <w:p w14:paraId="58D5C433">
            <w:pPr>
              <w:spacing w:line="360" w:lineRule="auto"/>
              <w:jc w:val="left"/>
              <w:rPr>
                <w:rFonts w:ascii="宋体" w:hAnsi="宋体"/>
                <w:sz w:val="18"/>
                <w:szCs w:val="18"/>
              </w:rPr>
            </w:pPr>
          </w:p>
        </w:tc>
        <w:tc>
          <w:tcPr>
            <w:tcW w:w="182" w:type="pct"/>
          </w:tcPr>
          <w:p w14:paraId="6CB785AC">
            <w:pPr>
              <w:spacing w:line="360" w:lineRule="auto"/>
              <w:jc w:val="left"/>
              <w:rPr>
                <w:rFonts w:ascii="宋体" w:hAnsi="宋体"/>
                <w:sz w:val="18"/>
                <w:szCs w:val="18"/>
              </w:rPr>
            </w:pPr>
          </w:p>
        </w:tc>
      </w:tr>
      <w:tr w14:paraId="0227FF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58" w:type="pct"/>
            <w:vMerge w:val="continue"/>
            <w:vAlign w:val="center"/>
          </w:tcPr>
          <w:p w14:paraId="361707AD"/>
        </w:tc>
        <w:tc>
          <w:tcPr>
            <w:tcW w:w="365" w:type="pct"/>
            <w:vMerge w:val="continue"/>
            <w:vAlign w:val="center"/>
          </w:tcPr>
          <w:p w14:paraId="4CE55C58"/>
        </w:tc>
        <w:tc>
          <w:tcPr>
            <w:tcW w:w="1266" w:type="pct"/>
          </w:tcPr>
          <w:p w14:paraId="00BE46D0">
            <w:pPr>
              <w:spacing w:line="360" w:lineRule="auto"/>
              <w:jc w:val="left"/>
              <w:rPr>
                <w:rFonts w:ascii="宋体" w:hAnsi="宋体" w:eastAsia="宋体"/>
                <w:sz w:val="18"/>
                <w:szCs w:val="18"/>
              </w:rPr>
            </w:pPr>
            <w:r>
              <w:rPr>
                <w:rFonts w:hint="eastAsia" w:ascii="宋体" w:hAnsi="宋体"/>
                <w:sz w:val="18"/>
                <w:szCs w:val="18"/>
              </w:rPr>
              <w:t>升降机有无异常杂音或震动</w:t>
            </w:r>
          </w:p>
        </w:tc>
        <w:tc>
          <w:tcPr>
            <w:tcW w:w="1129" w:type="pct"/>
            <w:vMerge w:val="continue"/>
          </w:tcPr>
          <w:p w14:paraId="58F2D53E"/>
        </w:tc>
        <w:tc>
          <w:tcPr>
            <w:tcW w:w="1414" w:type="pct"/>
          </w:tcPr>
          <w:p w14:paraId="79A245E8">
            <w:pPr>
              <w:spacing w:line="360" w:lineRule="auto"/>
              <w:jc w:val="left"/>
              <w:rPr>
                <w:rFonts w:ascii="宋体" w:hAnsi="宋体"/>
                <w:sz w:val="18"/>
                <w:szCs w:val="18"/>
              </w:rPr>
            </w:pPr>
          </w:p>
        </w:tc>
        <w:tc>
          <w:tcPr>
            <w:tcW w:w="285" w:type="pct"/>
          </w:tcPr>
          <w:p w14:paraId="5205ECFB">
            <w:pPr>
              <w:spacing w:line="360" w:lineRule="auto"/>
              <w:jc w:val="left"/>
              <w:rPr>
                <w:rFonts w:ascii="宋体" w:hAnsi="宋体"/>
                <w:sz w:val="18"/>
                <w:szCs w:val="18"/>
              </w:rPr>
            </w:pPr>
          </w:p>
        </w:tc>
        <w:tc>
          <w:tcPr>
            <w:tcW w:w="182" w:type="pct"/>
          </w:tcPr>
          <w:p w14:paraId="421F19FC">
            <w:pPr>
              <w:spacing w:line="360" w:lineRule="auto"/>
              <w:jc w:val="left"/>
              <w:rPr>
                <w:rFonts w:ascii="宋体" w:hAnsi="宋体"/>
                <w:sz w:val="18"/>
                <w:szCs w:val="18"/>
              </w:rPr>
            </w:pPr>
          </w:p>
        </w:tc>
      </w:tr>
      <w:tr w14:paraId="16ADB5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58" w:type="pct"/>
            <w:vMerge w:val="continue"/>
            <w:vAlign w:val="center"/>
          </w:tcPr>
          <w:p w14:paraId="302C0764"/>
        </w:tc>
        <w:tc>
          <w:tcPr>
            <w:tcW w:w="365" w:type="pct"/>
            <w:vMerge w:val="restart"/>
            <w:vAlign w:val="center"/>
          </w:tcPr>
          <w:p w14:paraId="652EE808">
            <w:pPr>
              <w:spacing w:line="360" w:lineRule="auto"/>
              <w:jc w:val="center"/>
              <w:rPr>
                <w:rFonts w:ascii="宋体" w:hAnsi="宋体" w:eastAsia="宋体"/>
                <w:sz w:val="18"/>
                <w:szCs w:val="18"/>
              </w:rPr>
            </w:pPr>
            <w:r>
              <w:rPr>
                <w:rFonts w:hint="eastAsia" w:ascii="宋体" w:hAnsi="宋体"/>
                <w:sz w:val="18"/>
                <w:szCs w:val="18"/>
              </w:rPr>
              <w:t>应急照明及疏散指示系统</w:t>
            </w:r>
          </w:p>
        </w:tc>
        <w:tc>
          <w:tcPr>
            <w:tcW w:w="1266" w:type="pct"/>
          </w:tcPr>
          <w:p w14:paraId="013017CB">
            <w:pPr>
              <w:spacing w:line="360" w:lineRule="auto"/>
              <w:jc w:val="left"/>
              <w:rPr>
                <w:rFonts w:ascii="宋体" w:hAnsi="宋体" w:eastAsia="宋体"/>
                <w:sz w:val="18"/>
                <w:szCs w:val="18"/>
              </w:rPr>
            </w:pPr>
            <w:r>
              <w:rPr>
                <w:rFonts w:hint="eastAsia" w:ascii="宋体" w:hAnsi="宋体"/>
                <w:sz w:val="18"/>
                <w:szCs w:val="18"/>
              </w:rPr>
              <w:t>检查安全出口指示是否正常状态</w:t>
            </w:r>
          </w:p>
        </w:tc>
        <w:tc>
          <w:tcPr>
            <w:tcW w:w="1129" w:type="pct"/>
            <w:vMerge w:val="restart"/>
          </w:tcPr>
          <w:p w14:paraId="2DCBE0BB">
            <w:pPr>
              <w:spacing w:line="360" w:lineRule="auto"/>
              <w:jc w:val="left"/>
              <w:rPr>
                <w:rFonts w:ascii="宋体" w:hAnsi="宋体"/>
                <w:sz w:val="18"/>
                <w:szCs w:val="18"/>
              </w:rPr>
            </w:pPr>
            <w:r>
              <w:rPr>
                <w:rFonts w:hint="eastAsia" w:ascii="宋体" w:hAnsi="宋体"/>
                <w:sz w:val="18"/>
                <w:szCs w:val="18"/>
              </w:rPr>
              <w:t>1、应急灯不亮扣1分。</w:t>
            </w:r>
          </w:p>
          <w:p w14:paraId="0641EE11">
            <w:pPr>
              <w:spacing w:line="360" w:lineRule="auto"/>
              <w:jc w:val="left"/>
              <w:rPr>
                <w:rFonts w:ascii="宋体" w:hAnsi="宋体"/>
                <w:sz w:val="18"/>
                <w:szCs w:val="18"/>
              </w:rPr>
            </w:pPr>
            <w:r>
              <w:rPr>
                <w:rFonts w:hint="eastAsia" w:ascii="宋体" w:hAnsi="宋体"/>
                <w:sz w:val="18"/>
                <w:szCs w:val="18"/>
              </w:rPr>
              <w:t>2、指示灯不亮未及时更换扣1分。</w:t>
            </w:r>
          </w:p>
          <w:p w14:paraId="4FACE797">
            <w:pPr>
              <w:spacing w:line="360" w:lineRule="auto"/>
              <w:jc w:val="left"/>
              <w:rPr>
                <w:rFonts w:ascii="宋体" w:hAnsi="宋体"/>
                <w:sz w:val="18"/>
                <w:szCs w:val="18"/>
              </w:rPr>
            </w:pPr>
            <w:r>
              <w:rPr>
                <w:rFonts w:hint="eastAsia" w:ascii="宋体" w:hAnsi="宋体"/>
                <w:sz w:val="18"/>
                <w:szCs w:val="18"/>
              </w:rPr>
              <w:t>3、未固定扣1分。</w:t>
            </w:r>
          </w:p>
        </w:tc>
        <w:tc>
          <w:tcPr>
            <w:tcW w:w="1414" w:type="pct"/>
          </w:tcPr>
          <w:p w14:paraId="2511894A">
            <w:pPr>
              <w:spacing w:line="360" w:lineRule="auto"/>
              <w:jc w:val="left"/>
              <w:rPr>
                <w:rFonts w:ascii="宋体" w:hAnsi="宋体"/>
                <w:sz w:val="18"/>
                <w:szCs w:val="18"/>
              </w:rPr>
            </w:pPr>
          </w:p>
        </w:tc>
        <w:tc>
          <w:tcPr>
            <w:tcW w:w="285" w:type="pct"/>
          </w:tcPr>
          <w:p w14:paraId="38E8BEC3">
            <w:pPr>
              <w:spacing w:line="360" w:lineRule="auto"/>
              <w:jc w:val="left"/>
              <w:rPr>
                <w:rFonts w:ascii="宋体" w:hAnsi="宋体"/>
                <w:sz w:val="18"/>
                <w:szCs w:val="18"/>
              </w:rPr>
            </w:pPr>
          </w:p>
        </w:tc>
        <w:tc>
          <w:tcPr>
            <w:tcW w:w="182" w:type="pct"/>
          </w:tcPr>
          <w:p w14:paraId="3DFA9D62">
            <w:pPr>
              <w:spacing w:line="360" w:lineRule="auto"/>
              <w:jc w:val="left"/>
              <w:rPr>
                <w:rFonts w:ascii="宋体" w:hAnsi="宋体"/>
                <w:sz w:val="18"/>
                <w:szCs w:val="18"/>
              </w:rPr>
            </w:pPr>
          </w:p>
        </w:tc>
      </w:tr>
      <w:tr w14:paraId="479D7F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58" w:type="pct"/>
            <w:vMerge w:val="continue"/>
            <w:vAlign w:val="center"/>
          </w:tcPr>
          <w:p w14:paraId="4009AE2F"/>
        </w:tc>
        <w:tc>
          <w:tcPr>
            <w:tcW w:w="365" w:type="pct"/>
            <w:vMerge w:val="continue"/>
            <w:vAlign w:val="center"/>
          </w:tcPr>
          <w:p w14:paraId="31993F14"/>
        </w:tc>
        <w:tc>
          <w:tcPr>
            <w:tcW w:w="1266" w:type="pct"/>
          </w:tcPr>
          <w:p w14:paraId="202E7C45">
            <w:pPr>
              <w:spacing w:line="360" w:lineRule="auto"/>
              <w:jc w:val="left"/>
              <w:rPr>
                <w:rFonts w:ascii="宋体" w:hAnsi="宋体" w:eastAsia="宋体"/>
                <w:sz w:val="18"/>
                <w:szCs w:val="18"/>
              </w:rPr>
            </w:pPr>
            <w:r>
              <w:rPr>
                <w:rFonts w:hint="eastAsia" w:ascii="宋体" w:hAnsi="宋体"/>
                <w:sz w:val="18"/>
                <w:szCs w:val="18"/>
              </w:rPr>
              <w:t>检查安全出口指示是否固定良好</w:t>
            </w:r>
          </w:p>
        </w:tc>
        <w:tc>
          <w:tcPr>
            <w:tcW w:w="1129" w:type="pct"/>
            <w:vMerge w:val="continue"/>
          </w:tcPr>
          <w:p w14:paraId="157BF023"/>
        </w:tc>
        <w:tc>
          <w:tcPr>
            <w:tcW w:w="1414" w:type="pct"/>
          </w:tcPr>
          <w:p w14:paraId="2D7CBED7">
            <w:pPr>
              <w:spacing w:line="360" w:lineRule="auto"/>
              <w:jc w:val="left"/>
              <w:rPr>
                <w:rFonts w:ascii="宋体" w:hAnsi="宋体"/>
                <w:sz w:val="18"/>
                <w:szCs w:val="18"/>
              </w:rPr>
            </w:pPr>
          </w:p>
        </w:tc>
        <w:tc>
          <w:tcPr>
            <w:tcW w:w="285" w:type="pct"/>
          </w:tcPr>
          <w:p w14:paraId="1C3E6397">
            <w:pPr>
              <w:spacing w:line="360" w:lineRule="auto"/>
              <w:jc w:val="left"/>
              <w:rPr>
                <w:rFonts w:ascii="宋体" w:hAnsi="宋体"/>
                <w:sz w:val="18"/>
                <w:szCs w:val="18"/>
              </w:rPr>
            </w:pPr>
          </w:p>
        </w:tc>
        <w:tc>
          <w:tcPr>
            <w:tcW w:w="182" w:type="pct"/>
          </w:tcPr>
          <w:p w14:paraId="71AAB284">
            <w:pPr>
              <w:spacing w:line="360" w:lineRule="auto"/>
              <w:jc w:val="left"/>
              <w:rPr>
                <w:rFonts w:ascii="宋体" w:hAnsi="宋体"/>
                <w:sz w:val="18"/>
                <w:szCs w:val="18"/>
              </w:rPr>
            </w:pPr>
          </w:p>
        </w:tc>
      </w:tr>
      <w:tr w14:paraId="2B9DD1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58" w:type="pct"/>
            <w:vMerge w:val="continue"/>
            <w:vAlign w:val="center"/>
          </w:tcPr>
          <w:p w14:paraId="7C4A1E00"/>
        </w:tc>
        <w:tc>
          <w:tcPr>
            <w:tcW w:w="365" w:type="pct"/>
            <w:vMerge w:val="continue"/>
            <w:vAlign w:val="center"/>
          </w:tcPr>
          <w:p w14:paraId="2B9C3D8A"/>
        </w:tc>
        <w:tc>
          <w:tcPr>
            <w:tcW w:w="1266" w:type="pct"/>
          </w:tcPr>
          <w:p w14:paraId="17483B13">
            <w:pPr>
              <w:spacing w:line="360" w:lineRule="auto"/>
              <w:jc w:val="left"/>
              <w:rPr>
                <w:rFonts w:ascii="宋体" w:hAnsi="宋体" w:eastAsia="宋体"/>
                <w:sz w:val="18"/>
                <w:szCs w:val="18"/>
              </w:rPr>
            </w:pPr>
            <w:r>
              <w:rPr>
                <w:rFonts w:hint="eastAsia" w:ascii="宋体" w:hAnsi="宋体"/>
                <w:sz w:val="18"/>
                <w:szCs w:val="18"/>
              </w:rPr>
              <w:t>测试应急照明灯是否有效</w:t>
            </w:r>
          </w:p>
        </w:tc>
        <w:tc>
          <w:tcPr>
            <w:tcW w:w="1129" w:type="pct"/>
            <w:vMerge w:val="continue"/>
          </w:tcPr>
          <w:p w14:paraId="3721DEF2"/>
        </w:tc>
        <w:tc>
          <w:tcPr>
            <w:tcW w:w="1414" w:type="pct"/>
          </w:tcPr>
          <w:p w14:paraId="278CD284">
            <w:pPr>
              <w:spacing w:line="360" w:lineRule="auto"/>
              <w:jc w:val="left"/>
              <w:rPr>
                <w:rFonts w:ascii="宋体" w:hAnsi="宋体"/>
                <w:sz w:val="18"/>
                <w:szCs w:val="18"/>
              </w:rPr>
            </w:pPr>
          </w:p>
        </w:tc>
        <w:tc>
          <w:tcPr>
            <w:tcW w:w="285" w:type="pct"/>
          </w:tcPr>
          <w:p w14:paraId="26620DA6">
            <w:pPr>
              <w:spacing w:line="360" w:lineRule="auto"/>
              <w:jc w:val="left"/>
              <w:rPr>
                <w:rFonts w:ascii="宋体" w:hAnsi="宋体"/>
                <w:sz w:val="18"/>
                <w:szCs w:val="18"/>
              </w:rPr>
            </w:pPr>
          </w:p>
        </w:tc>
        <w:tc>
          <w:tcPr>
            <w:tcW w:w="182" w:type="pct"/>
          </w:tcPr>
          <w:p w14:paraId="22006542">
            <w:pPr>
              <w:spacing w:line="360" w:lineRule="auto"/>
              <w:jc w:val="left"/>
              <w:rPr>
                <w:rFonts w:ascii="宋体" w:hAnsi="宋体"/>
                <w:sz w:val="18"/>
                <w:szCs w:val="18"/>
              </w:rPr>
            </w:pPr>
          </w:p>
        </w:tc>
      </w:tr>
      <w:tr w14:paraId="407404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58" w:type="pct"/>
            <w:vMerge w:val="continue"/>
            <w:vAlign w:val="center"/>
          </w:tcPr>
          <w:p w14:paraId="045621C4"/>
        </w:tc>
        <w:tc>
          <w:tcPr>
            <w:tcW w:w="365" w:type="pct"/>
            <w:vMerge w:val="restart"/>
            <w:vAlign w:val="center"/>
          </w:tcPr>
          <w:p w14:paraId="172CC7EF">
            <w:pPr>
              <w:spacing w:line="360" w:lineRule="auto"/>
              <w:jc w:val="center"/>
              <w:rPr>
                <w:rFonts w:ascii="宋体" w:hAnsi="宋体" w:eastAsia="宋体"/>
                <w:sz w:val="18"/>
                <w:szCs w:val="18"/>
              </w:rPr>
            </w:pPr>
            <w:r>
              <w:rPr>
                <w:rFonts w:hint="eastAsia" w:ascii="宋体" w:hAnsi="宋体"/>
                <w:sz w:val="18"/>
                <w:szCs w:val="18"/>
              </w:rPr>
              <w:t>灭火器系统</w:t>
            </w:r>
          </w:p>
        </w:tc>
        <w:tc>
          <w:tcPr>
            <w:tcW w:w="1266" w:type="pct"/>
          </w:tcPr>
          <w:p w14:paraId="527F7D1C">
            <w:pPr>
              <w:spacing w:line="360" w:lineRule="auto"/>
              <w:jc w:val="left"/>
              <w:rPr>
                <w:rFonts w:ascii="宋体" w:hAnsi="宋体" w:eastAsia="宋体"/>
                <w:sz w:val="18"/>
                <w:szCs w:val="18"/>
              </w:rPr>
            </w:pPr>
            <w:r>
              <w:rPr>
                <w:rFonts w:hint="eastAsia" w:ascii="宋体" w:hAnsi="宋体"/>
                <w:sz w:val="18"/>
                <w:szCs w:val="18"/>
              </w:rPr>
              <w:t>检查灭火器是否有效，是否超压、欠压</w:t>
            </w:r>
          </w:p>
        </w:tc>
        <w:tc>
          <w:tcPr>
            <w:tcW w:w="1129" w:type="pct"/>
            <w:vMerge w:val="restart"/>
          </w:tcPr>
          <w:p w14:paraId="3A70DD10">
            <w:pPr>
              <w:numPr>
                <w:ilvl w:val="0"/>
                <w:numId w:val="1"/>
              </w:numPr>
              <w:spacing w:line="360" w:lineRule="auto"/>
              <w:jc w:val="left"/>
              <w:rPr>
                <w:rFonts w:ascii="宋体" w:hAnsi="宋体"/>
                <w:sz w:val="18"/>
                <w:szCs w:val="18"/>
              </w:rPr>
            </w:pPr>
            <w:r>
              <w:rPr>
                <w:rFonts w:hint="eastAsia" w:ascii="宋体" w:hAnsi="宋体"/>
                <w:sz w:val="18"/>
                <w:szCs w:val="18"/>
              </w:rPr>
              <w:t>灭火器超压、欠压、过期未更换，每次扣1分。</w:t>
            </w:r>
          </w:p>
          <w:p w14:paraId="3529471F">
            <w:pPr>
              <w:spacing w:line="360" w:lineRule="auto"/>
              <w:jc w:val="left"/>
              <w:rPr>
                <w:rFonts w:ascii="宋体" w:hAnsi="宋体"/>
                <w:sz w:val="18"/>
                <w:szCs w:val="18"/>
              </w:rPr>
            </w:pPr>
            <w:r>
              <w:rPr>
                <w:rFonts w:hint="eastAsia" w:ascii="宋体" w:hAnsi="宋体"/>
                <w:sz w:val="18"/>
                <w:szCs w:val="18"/>
              </w:rPr>
              <w:t>2、灭火器破损未更换扣1分。</w:t>
            </w:r>
          </w:p>
        </w:tc>
        <w:tc>
          <w:tcPr>
            <w:tcW w:w="1414" w:type="pct"/>
          </w:tcPr>
          <w:p w14:paraId="126C74C1">
            <w:pPr>
              <w:spacing w:line="360" w:lineRule="auto"/>
              <w:jc w:val="left"/>
              <w:rPr>
                <w:rFonts w:ascii="宋体" w:hAnsi="宋体"/>
                <w:sz w:val="18"/>
                <w:szCs w:val="18"/>
              </w:rPr>
            </w:pPr>
          </w:p>
        </w:tc>
        <w:tc>
          <w:tcPr>
            <w:tcW w:w="285" w:type="pct"/>
          </w:tcPr>
          <w:p w14:paraId="22214D20">
            <w:pPr>
              <w:spacing w:line="360" w:lineRule="auto"/>
              <w:jc w:val="left"/>
              <w:rPr>
                <w:rFonts w:ascii="宋体" w:hAnsi="宋体"/>
                <w:sz w:val="18"/>
                <w:szCs w:val="18"/>
              </w:rPr>
            </w:pPr>
          </w:p>
        </w:tc>
        <w:tc>
          <w:tcPr>
            <w:tcW w:w="182" w:type="pct"/>
          </w:tcPr>
          <w:p w14:paraId="6F6626D9">
            <w:pPr>
              <w:spacing w:line="360" w:lineRule="auto"/>
              <w:jc w:val="left"/>
              <w:rPr>
                <w:rFonts w:ascii="宋体" w:hAnsi="宋体"/>
                <w:sz w:val="18"/>
                <w:szCs w:val="18"/>
              </w:rPr>
            </w:pPr>
          </w:p>
        </w:tc>
      </w:tr>
      <w:tr w14:paraId="235E03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58" w:type="pct"/>
            <w:vMerge w:val="continue"/>
            <w:vAlign w:val="center"/>
          </w:tcPr>
          <w:p w14:paraId="484B50EE"/>
        </w:tc>
        <w:tc>
          <w:tcPr>
            <w:tcW w:w="365" w:type="pct"/>
            <w:vMerge w:val="continue"/>
            <w:vAlign w:val="center"/>
          </w:tcPr>
          <w:p w14:paraId="2DE44402"/>
        </w:tc>
        <w:tc>
          <w:tcPr>
            <w:tcW w:w="1266" w:type="pct"/>
          </w:tcPr>
          <w:p w14:paraId="7D517CDD">
            <w:pPr>
              <w:spacing w:line="360" w:lineRule="auto"/>
              <w:jc w:val="left"/>
              <w:rPr>
                <w:rFonts w:ascii="宋体" w:hAnsi="宋体" w:eastAsia="宋体"/>
                <w:sz w:val="18"/>
                <w:szCs w:val="18"/>
              </w:rPr>
            </w:pPr>
            <w:r>
              <w:rPr>
                <w:rFonts w:hint="eastAsia" w:ascii="宋体" w:hAnsi="宋体"/>
                <w:sz w:val="18"/>
                <w:szCs w:val="18"/>
              </w:rPr>
              <w:t>检查灭火器是否年检</w:t>
            </w:r>
          </w:p>
        </w:tc>
        <w:tc>
          <w:tcPr>
            <w:tcW w:w="1129" w:type="pct"/>
            <w:vMerge w:val="continue"/>
          </w:tcPr>
          <w:p w14:paraId="04D8542C"/>
        </w:tc>
        <w:tc>
          <w:tcPr>
            <w:tcW w:w="1414" w:type="pct"/>
          </w:tcPr>
          <w:p w14:paraId="487D346D">
            <w:pPr>
              <w:spacing w:line="360" w:lineRule="auto"/>
              <w:jc w:val="left"/>
              <w:rPr>
                <w:rFonts w:ascii="宋体" w:hAnsi="宋体"/>
                <w:sz w:val="18"/>
                <w:szCs w:val="18"/>
              </w:rPr>
            </w:pPr>
          </w:p>
        </w:tc>
        <w:tc>
          <w:tcPr>
            <w:tcW w:w="285" w:type="pct"/>
          </w:tcPr>
          <w:p w14:paraId="6BE38EF3">
            <w:pPr>
              <w:spacing w:line="360" w:lineRule="auto"/>
              <w:jc w:val="left"/>
              <w:rPr>
                <w:rFonts w:ascii="宋体" w:hAnsi="宋体"/>
                <w:sz w:val="18"/>
                <w:szCs w:val="18"/>
              </w:rPr>
            </w:pPr>
          </w:p>
        </w:tc>
        <w:tc>
          <w:tcPr>
            <w:tcW w:w="182" w:type="pct"/>
          </w:tcPr>
          <w:p w14:paraId="37B91E4E">
            <w:pPr>
              <w:spacing w:line="360" w:lineRule="auto"/>
              <w:jc w:val="left"/>
              <w:rPr>
                <w:rFonts w:ascii="宋体" w:hAnsi="宋体"/>
                <w:sz w:val="18"/>
                <w:szCs w:val="18"/>
              </w:rPr>
            </w:pPr>
          </w:p>
        </w:tc>
      </w:tr>
      <w:tr w14:paraId="0C8707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58" w:type="pct"/>
            <w:vMerge w:val="continue"/>
            <w:vAlign w:val="center"/>
          </w:tcPr>
          <w:p w14:paraId="53BBEE67"/>
        </w:tc>
        <w:tc>
          <w:tcPr>
            <w:tcW w:w="365" w:type="pct"/>
            <w:vMerge w:val="restart"/>
            <w:vAlign w:val="center"/>
          </w:tcPr>
          <w:p w14:paraId="20A827D4">
            <w:pPr>
              <w:spacing w:line="360" w:lineRule="auto"/>
              <w:jc w:val="center"/>
              <w:rPr>
                <w:rFonts w:ascii="宋体" w:hAnsi="宋体" w:eastAsia="宋体"/>
                <w:sz w:val="18"/>
                <w:szCs w:val="18"/>
              </w:rPr>
            </w:pPr>
            <w:r>
              <w:rPr>
                <w:rFonts w:hint="eastAsia" w:ascii="宋体" w:hAnsi="宋体"/>
                <w:sz w:val="18"/>
                <w:szCs w:val="18"/>
              </w:rPr>
              <w:t>消防水泡灭火系统</w:t>
            </w:r>
          </w:p>
        </w:tc>
        <w:tc>
          <w:tcPr>
            <w:tcW w:w="1266" w:type="pct"/>
            <w:vMerge w:val="restart"/>
          </w:tcPr>
          <w:p w14:paraId="2F021C00">
            <w:pPr>
              <w:spacing w:line="360" w:lineRule="auto"/>
              <w:jc w:val="left"/>
              <w:rPr>
                <w:rFonts w:ascii="宋体" w:hAnsi="宋体"/>
                <w:sz w:val="18"/>
                <w:szCs w:val="18"/>
              </w:rPr>
            </w:pPr>
            <w:r>
              <w:rPr>
                <w:rFonts w:hint="eastAsia" w:ascii="宋体" w:hAnsi="宋体"/>
                <w:sz w:val="18"/>
                <w:szCs w:val="18"/>
              </w:rPr>
              <w:t>检查消防水泵的远程及就地控制功能，并启动试运行</w:t>
            </w:r>
          </w:p>
        </w:tc>
        <w:tc>
          <w:tcPr>
            <w:tcW w:w="1129" w:type="pct"/>
            <w:vMerge w:val="restart"/>
          </w:tcPr>
          <w:p w14:paraId="6235EF2F">
            <w:pPr>
              <w:spacing w:line="360" w:lineRule="auto"/>
              <w:jc w:val="left"/>
              <w:rPr>
                <w:rFonts w:ascii="宋体" w:hAnsi="宋体" w:eastAsia="宋体"/>
                <w:sz w:val="18"/>
                <w:szCs w:val="18"/>
              </w:rPr>
            </w:pPr>
            <w:r>
              <w:rPr>
                <w:rFonts w:hint="eastAsia" w:ascii="宋体" w:hAnsi="宋体"/>
                <w:sz w:val="18"/>
                <w:szCs w:val="18"/>
              </w:rPr>
              <w:t>1、不能启动运转消防泵扣2分。</w:t>
            </w:r>
          </w:p>
          <w:p w14:paraId="3764553C">
            <w:pPr>
              <w:spacing w:line="360" w:lineRule="auto"/>
              <w:jc w:val="left"/>
              <w:rPr>
                <w:rFonts w:ascii="宋体" w:hAnsi="宋体"/>
                <w:sz w:val="18"/>
                <w:szCs w:val="18"/>
              </w:rPr>
            </w:pPr>
            <w:r>
              <w:rPr>
                <w:rFonts w:hint="eastAsia" w:ascii="宋体" w:hAnsi="宋体"/>
                <w:sz w:val="18"/>
                <w:szCs w:val="18"/>
              </w:rPr>
              <w:t>2、消防水池储水量末到达规定水位扣2分。</w:t>
            </w:r>
          </w:p>
          <w:p w14:paraId="60504C9F">
            <w:pPr>
              <w:spacing w:line="360" w:lineRule="auto"/>
              <w:jc w:val="left"/>
              <w:rPr>
                <w:rFonts w:ascii="宋体" w:hAnsi="宋体" w:eastAsia="宋体"/>
                <w:sz w:val="18"/>
                <w:szCs w:val="18"/>
              </w:rPr>
            </w:pPr>
            <w:r>
              <w:rPr>
                <w:rFonts w:hint="eastAsia" w:ascii="宋体" w:hAnsi="宋体"/>
                <w:sz w:val="18"/>
                <w:szCs w:val="18"/>
              </w:rPr>
              <w:t>3、无法手动或自动未及时修理扣2分。</w:t>
            </w:r>
          </w:p>
          <w:p w14:paraId="62F88467">
            <w:pPr>
              <w:spacing w:line="360" w:lineRule="auto"/>
              <w:jc w:val="left"/>
              <w:rPr>
                <w:rFonts w:ascii="宋体" w:hAnsi="宋体" w:eastAsia="宋体"/>
                <w:sz w:val="18"/>
                <w:szCs w:val="18"/>
              </w:rPr>
            </w:pPr>
          </w:p>
        </w:tc>
        <w:tc>
          <w:tcPr>
            <w:tcW w:w="1414" w:type="pct"/>
          </w:tcPr>
          <w:p w14:paraId="3B3510D3">
            <w:pPr>
              <w:spacing w:line="360" w:lineRule="auto"/>
              <w:jc w:val="left"/>
              <w:rPr>
                <w:rFonts w:ascii="宋体" w:hAnsi="宋体"/>
                <w:sz w:val="18"/>
                <w:szCs w:val="18"/>
              </w:rPr>
            </w:pPr>
          </w:p>
        </w:tc>
        <w:tc>
          <w:tcPr>
            <w:tcW w:w="285" w:type="pct"/>
          </w:tcPr>
          <w:p w14:paraId="7A6702C8">
            <w:pPr>
              <w:spacing w:line="360" w:lineRule="auto"/>
              <w:jc w:val="left"/>
              <w:rPr>
                <w:rFonts w:ascii="宋体" w:hAnsi="宋体"/>
                <w:sz w:val="18"/>
                <w:szCs w:val="18"/>
              </w:rPr>
            </w:pPr>
          </w:p>
        </w:tc>
        <w:tc>
          <w:tcPr>
            <w:tcW w:w="182" w:type="pct"/>
          </w:tcPr>
          <w:p w14:paraId="35BA3720">
            <w:pPr>
              <w:spacing w:line="360" w:lineRule="auto"/>
              <w:jc w:val="left"/>
              <w:rPr>
                <w:rFonts w:ascii="宋体" w:hAnsi="宋体"/>
                <w:sz w:val="18"/>
                <w:szCs w:val="18"/>
              </w:rPr>
            </w:pPr>
          </w:p>
        </w:tc>
      </w:tr>
      <w:tr w14:paraId="788F1B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358" w:type="pct"/>
            <w:vMerge w:val="continue"/>
            <w:vAlign w:val="center"/>
          </w:tcPr>
          <w:p w14:paraId="5BD4A8DE"/>
        </w:tc>
        <w:tc>
          <w:tcPr>
            <w:tcW w:w="365" w:type="pct"/>
            <w:vMerge w:val="continue"/>
            <w:vAlign w:val="center"/>
          </w:tcPr>
          <w:p w14:paraId="0A5063DA"/>
        </w:tc>
        <w:tc>
          <w:tcPr>
            <w:tcW w:w="1266" w:type="pct"/>
            <w:vMerge w:val="continue"/>
          </w:tcPr>
          <w:p w14:paraId="27AFDBAF"/>
        </w:tc>
        <w:tc>
          <w:tcPr>
            <w:tcW w:w="1129" w:type="pct"/>
            <w:vMerge w:val="continue"/>
          </w:tcPr>
          <w:p w14:paraId="44B034F0"/>
        </w:tc>
        <w:tc>
          <w:tcPr>
            <w:tcW w:w="1414" w:type="pct"/>
          </w:tcPr>
          <w:p w14:paraId="5AD795E2">
            <w:pPr>
              <w:spacing w:line="360" w:lineRule="auto"/>
              <w:jc w:val="left"/>
              <w:rPr>
                <w:rFonts w:ascii="宋体" w:hAnsi="宋体"/>
                <w:sz w:val="18"/>
                <w:szCs w:val="18"/>
              </w:rPr>
            </w:pPr>
          </w:p>
        </w:tc>
        <w:tc>
          <w:tcPr>
            <w:tcW w:w="285" w:type="pct"/>
          </w:tcPr>
          <w:p w14:paraId="49FFA76E">
            <w:pPr>
              <w:spacing w:line="360" w:lineRule="auto"/>
              <w:jc w:val="left"/>
              <w:rPr>
                <w:rFonts w:ascii="宋体" w:hAnsi="宋体"/>
                <w:sz w:val="18"/>
                <w:szCs w:val="18"/>
              </w:rPr>
            </w:pPr>
          </w:p>
        </w:tc>
        <w:tc>
          <w:tcPr>
            <w:tcW w:w="182" w:type="pct"/>
          </w:tcPr>
          <w:p w14:paraId="2C5BA44B">
            <w:pPr>
              <w:spacing w:line="360" w:lineRule="auto"/>
              <w:jc w:val="left"/>
              <w:rPr>
                <w:rFonts w:ascii="宋体" w:hAnsi="宋体"/>
                <w:sz w:val="18"/>
                <w:szCs w:val="18"/>
              </w:rPr>
            </w:pPr>
          </w:p>
        </w:tc>
      </w:tr>
      <w:tr w14:paraId="7897EC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7" w:hRule="atLeast"/>
        </w:trPr>
        <w:tc>
          <w:tcPr>
            <w:tcW w:w="358" w:type="pct"/>
            <w:vMerge w:val="continue"/>
            <w:vAlign w:val="center"/>
          </w:tcPr>
          <w:p w14:paraId="22E63456"/>
        </w:tc>
        <w:tc>
          <w:tcPr>
            <w:tcW w:w="365" w:type="pct"/>
            <w:vMerge w:val="continue"/>
            <w:vAlign w:val="center"/>
          </w:tcPr>
          <w:p w14:paraId="4B71F16E"/>
        </w:tc>
        <w:tc>
          <w:tcPr>
            <w:tcW w:w="1266" w:type="pct"/>
          </w:tcPr>
          <w:p w14:paraId="0AE8295F">
            <w:pPr>
              <w:spacing w:line="360" w:lineRule="auto"/>
              <w:jc w:val="left"/>
              <w:rPr>
                <w:rFonts w:ascii="宋体" w:hAnsi="宋体"/>
                <w:sz w:val="18"/>
                <w:szCs w:val="18"/>
              </w:rPr>
            </w:pPr>
            <w:r>
              <w:rPr>
                <w:rFonts w:hint="eastAsia" w:ascii="宋体" w:hAnsi="宋体"/>
                <w:sz w:val="18"/>
                <w:szCs w:val="18"/>
              </w:rPr>
              <w:t>对消防供水水源及水位指示装置进行检查</w:t>
            </w:r>
          </w:p>
        </w:tc>
        <w:tc>
          <w:tcPr>
            <w:tcW w:w="1129" w:type="pct"/>
            <w:vMerge w:val="continue"/>
          </w:tcPr>
          <w:p w14:paraId="37504FB7"/>
        </w:tc>
        <w:tc>
          <w:tcPr>
            <w:tcW w:w="1414" w:type="pct"/>
          </w:tcPr>
          <w:p w14:paraId="092BAC67">
            <w:pPr>
              <w:spacing w:line="360" w:lineRule="auto"/>
              <w:jc w:val="left"/>
              <w:rPr>
                <w:rFonts w:ascii="宋体" w:hAnsi="宋体"/>
                <w:sz w:val="18"/>
                <w:szCs w:val="18"/>
              </w:rPr>
            </w:pPr>
          </w:p>
        </w:tc>
        <w:tc>
          <w:tcPr>
            <w:tcW w:w="285" w:type="pct"/>
          </w:tcPr>
          <w:p w14:paraId="4FF8CC56">
            <w:pPr>
              <w:spacing w:line="360" w:lineRule="auto"/>
              <w:jc w:val="left"/>
              <w:rPr>
                <w:rFonts w:ascii="宋体" w:hAnsi="宋体"/>
                <w:sz w:val="18"/>
                <w:szCs w:val="18"/>
              </w:rPr>
            </w:pPr>
          </w:p>
        </w:tc>
        <w:tc>
          <w:tcPr>
            <w:tcW w:w="182" w:type="pct"/>
          </w:tcPr>
          <w:p w14:paraId="751A0ABE">
            <w:pPr>
              <w:spacing w:line="360" w:lineRule="auto"/>
              <w:jc w:val="left"/>
              <w:rPr>
                <w:rFonts w:ascii="宋体" w:hAnsi="宋体"/>
                <w:sz w:val="18"/>
                <w:szCs w:val="18"/>
              </w:rPr>
            </w:pPr>
          </w:p>
        </w:tc>
      </w:tr>
      <w:tr w14:paraId="7CA938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58" w:type="pct"/>
          </w:tcPr>
          <w:p w14:paraId="513E2E62">
            <w:pPr>
              <w:spacing w:line="360" w:lineRule="auto"/>
              <w:jc w:val="left"/>
              <w:rPr>
                <w:rFonts w:ascii="宋体" w:hAnsi="宋体"/>
                <w:sz w:val="28"/>
                <w:szCs w:val="28"/>
              </w:rPr>
            </w:pPr>
          </w:p>
        </w:tc>
        <w:tc>
          <w:tcPr>
            <w:tcW w:w="365" w:type="pct"/>
          </w:tcPr>
          <w:p w14:paraId="5F38E1A5">
            <w:pPr>
              <w:spacing w:line="360" w:lineRule="auto"/>
              <w:jc w:val="left"/>
              <w:rPr>
                <w:rFonts w:ascii="宋体" w:hAnsi="宋体" w:eastAsia="宋体"/>
                <w:sz w:val="18"/>
                <w:szCs w:val="18"/>
              </w:rPr>
            </w:pPr>
            <w:r>
              <w:rPr>
                <w:rFonts w:hint="eastAsia" w:ascii="宋体" w:hAnsi="宋体"/>
                <w:sz w:val="18"/>
                <w:szCs w:val="18"/>
              </w:rPr>
              <w:t>维保记录</w:t>
            </w:r>
          </w:p>
        </w:tc>
        <w:tc>
          <w:tcPr>
            <w:tcW w:w="1266" w:type="pct"/>
          </w:tcPr>
          <w:p w14:paraId="16819C23">
            <w:pPr>
              <w:spacing w:line="360" w:lineRule="auto"/>
              <w:jc w:val="left"/>
              <w:rPr>
                <w:rFonts w:ascii="宋体" w:hAnsi="宋体"/>
                <w:sz w:val="18"/>
                <w:szCs w:val="18"/>
              </w:rPr>
            </w:pPr>
            <w:r>
              <w:rPr>
                <w:rFonts w:hint="eastAsia" w:ascii="宋体" w:hAnsi="宋体"/>
                <w:sz w:val="18"/>
                <w:szCs w:val="18"/>
              </w:rPr>
              <w:t>检查每月维保巡查、维修、检测、保养各项记录</w:t>
            </w:r>
          </w:p>
        </w:tc>
        <w:tc>
          <w:tcPr>
            <w:tcW w:w="1129" w:type="pct"/>
          </w:tcPr>
          <w:p w14:paraId="31584373">
            <w:pPr>
              <w:spacing w:line="360" w:lineRule="auto"/>
              <w:jc w:val="left"/>
              <w:rPr>
                <w:rFonts w:ascii="宋体" w:hAnsi="宋体"/>
                <w:sz w:val="18"/>
                <w:szCs w:val="18"/>
              </w:rPr>
            </w:pPr>
            <w:r>
              <w:rPr>
                <w:rFonts w:hint="eastAsia" w:ascii="宋体" w:hAnsi="宋体"/>
                <w:sz w:val="18"/>
                <w:szCs w:val="18"/>
              </w:rPr>
              <w:t>未按时填写，或伪造记录每次扣2分。</w:t>
            </w:r>
          </w:p>
        </w:tc>
        <w:tc>
          <w:tcPr>
            <w:tcW w:w="1414" w:type="pct"/>
          </w:tcPr>
          <w:p w14:paraId="717634D3">
            <w:pPr>
              <w:spacing w:line="360" w:lineRule="auto"/>
              <w:jc w:val="left"/>
              <w:rPr>
                <w:rFonts w:ascii="宋体" w:hAnsi="宋体"/>
                <w:sz w:val="18"/>
                <w:szCs w:val="18"/>
              </w:rPr>
            </w:pPr>
          </w:p>
        </w:tc>
        <w:tc>
          <w:tcPr>
            <w:tcW w:w="285" w:type="pct"/>
          </w:tcPr>
          <w:p w14:paraId="6C1584D3">
            <w:pPr>
              <w:spacing w:line="360" w:lineRule="auto"/>
              <w:jc w:val="left"/>
              <w:rPr>
                <w:rFonts w:ascii="宋体" w:hAnsi="宋体"/>
                <w:sz w:val="18"/>
                <w:szCs w:val="18"/>
              </w:rPr>
            </w:pPr>
          </w:p>
        </w:tc>
        <w:tc>
          <w:tcPr>
            <w:tcW w:w="182" w:type="pct"/>
          </w:tcPr>
          <w:p w14:paraId="5F3DC830">
            <w:pPr>
              <w:spacing w:line="360" w:lineRule="auto"/>
              <w:jc w:val="left"/>
              <w:rPr>
                <w:rFonts w:ascii="宋体" w:hAnsi="宋体"/>
                <w:sz w:val="18"/>
                <w:szCs w:val="18"/>
              </w:rPr>
            </w:pPr>
          </w:p>
        </w:tc>
      </w:tr>
      <w:tr w14:paraId="64DD11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60" w:hRule="atLeast"/>
        </w:trPr>
        <w:tc>
          <w:tcPr>
            <w:tcW w:w="358" w:type="pct"/>
          </w:tcPr>
          <w:p w14:paraId="3FB2D299">
            <w:pPr>
              <w:spacing w:line="360" w:lineRule="auto"/>
              <w:jc w:val="left"/>
              <w:rPr>
                <w:rFonts w:ascii="宋体" w:hAnsi="宋体"/>
                <w:sz w:val="28"/>
                <w:szCs w:val="28"/>
              </w:rPr>
            </w:pPr>
          </w:p>
        </w:tc>
        <w:tc>
          <w:tcPr>
            <w:tcW w:w="365" w:type="pct"/>
          </w:tcPr>
          <w:p w14:paraId="2E8E6135">
            <w:pPr>
              <w:spacing w:line="360" w:lineRule="auto"/>
              <w:jc w:val="left"/>
              <w:rPr>
                <w:rFonts w:ascii="宋体" w:hAnsi="宋体"/>
                <w:sz w:val="18"/>
                <w:szCs w:val="18"/>
              </w:rPr>
            </w:pPr>
            <w:r>
              <w:rPr>
                <w:rFonts w:hint="eastAsia" w:ascii="宋体" w:hAnsi="宋体"/>
                <w:sz w:val="18"/>
                <w:szCs w:val="18"/>
              </w:rPr>
              <w:t>应急救援</w:t>
            </w:r>
          </w:p>
        </w:tc>
        <w:tc>
          <w:tcPr>
            <w:tcW w:w="1266" w:type="pct"/>
          </w:tcPr>
          <w:p w14:paraId="5518F130">
            <w:pPr>
              <w:spacing w:line="360" w:lineRule="auto"/>
              <w:jc w:val="left"/>
              <w:rPr>
                <w:rFonts w:ascii="宋体" w:hAnsi="宋体"/>
                <w:sz w:val="18"/>
                <w:szCs w:val="18"/>
              </w:rPr>
            </w:pPr>
            <w:r>
              <w:rPr>
                <w:rFonts w:hint="eastAsia" w:ascii="宋体" w:hAnsi="宋体"/>
                <w:sz w:val="18"/>
                <w:szCs w:val="18"/>
              </w:rPr>
              <w:t>突发紧急状况要求20分钟内到场，及时完成故障排除</w:t>
            </w:r>
          </w:p>
        </w:tc>
        <w:tc>
          <w:tcPr>
            <w:tcW w:w="1129" w:type="pct"/>
          </w:tcPr>
          <w:p w14:paraId="6E5E787B">
            <w:pPr>
              <w:spacing w:line="360" w:lineRule="auto"/>
              <w:jc w:val="left"/>
              <w:rPr>
                <w:rFonts w:ascii="宋体" w:hAnsi="宋体"/>
                <w:sz w:val="18"/>
                <w:szCs w:val="18"/>
              </w:rPr>
            </w:pPr>
            <w:r>
              <w:rPr>
                <w:rFonts w:hint="eastAsia" w:ascii="宋体" w:hAnsi="宋体"/>
                <w:sz w:val="18"/>
                <w:szCs w:val="18"/>
              </w:rPr>
              <w:t>未按时到场扣2分。</w:t>
            </w:r>
          </w:p>
          <w:p w14:paraId="7BA9B1D1">
            <w:pPr>
              <w:spacing w:line="360" w:lineRule="auto"/>
              <w:jc w:val="left"/>
              <w:rPr>
                <w:rFonts w:ascii="宋体" w:hAnsi="宋体"/>
                <w:sz w:val="18"/>
                <w:szCs w:val="18"/>
              </w:rPr>
            </w:pPr>
            <w:r>
              <w:rPr>
                <w:rFonts w:hint="eastAsia" w:ascii="宋体" w:hAnsi="宋体"/>
                <w:sz w:val="18"/>
                <w:szCs w:val="18"/>
              </w:rPr>
              <w:t>未及时排除故障扣2分。</w:t>
            </w:r>
          </w:p>
        </w:tc>
        <w:tc>
          <w:tcPr>
            <w:tcW w:w="1414" w:type="pct"/>
          </w:tcPr>
          <w:p w14:paraId="2432D0A7">
            <w:pPr>
              <w:spacing w:line="360" w:lineRule="auto"/>
              <w:jc w:val="left"/>
              <w:rPr>
                <w:rFonts w:ascii="宋体" w:hAnsi="宋体"/>
                <w:sz w:val="18"/>
                <w:szCs w:val="18"/>
              </w:rPr>
            </w:pPr>
          </w:p>
        </w:tc>
        <w:tc>
          <w:tcPr>
            <w:tcW w:w="285" w:type="pct"/>
          </w:tcPr>
          <w:p w14:paraId="5F91A6E5">
            <w:pPr>
              <w:spacing w:line="360" w:lineRule="auto"/>
              <w:jc w:val="left"/>
              <w:rPr>
                <w:rFonts w:ascii="宋体" w:hAnsi="宋体"/>
                <w:sz w:val="18"/>
                <w:szCs w:val="18"/>
              </w:rPr>
            </w:pPr>
          </w:p>
        </w:tc>
        <w:tc>
          <w:tcPr>
            <w:tcW w:w="182" w:type="pct"/>
          </w:tcPr>
          <w:p w14:paraId="12EC0B6F">
            <w:pPr>
              <w:spacing w:line="360" w:lineRule="auto"/>
              <w:jc w:val="left"/>
              <w:rPr>
                <w:rFonts w:ascii="宋体" w:hAnsi="宋体"/>
                <w:sz w:val="18"/>
                <w:szCs w:val="18"/>
              </w:rPr>
            </w:pPr>
          </w:p>
        </w:tc>
      </w:tr>
      <w:tr w14:paraId="7CFD99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71" w:hRule="atLeast"/>
        </w:trPr>
        <w:tc>
          <w:tcPr>
            <w:tcW w:w="358" w:type="pct"/>
          </w:tcPr>
          <w:p w14:paraId="2A2386F3">
            <w:pPr>
              <w:spacing w:line="360" w:lineRule="auto"/>
              <w:jc w:val="left"/>
              <w:rPr>
                <w:rFonts w:ascii="宋体" w:hAnsi="宋体" w:eastAsia="宋体"/>
                <w:sz w:val="28"/>
                <w:szCs w:val="28"/>
              </w:rPr>
            </w:pPr>
            <w:r>
              <w:rPr>
                <w:rFonts w:hint="eastAsia" w:ascii="宋体" w:hAnsi="宋体"/>
                <w:sz w:val="22"/>
                <w:szCs w:val="22"/>
              </w:rPr>
              <w:t>甲方签字</w:t>
            </w:r>
          </w:p>
        </w:tc>
        <w:tc>
          <w:tcPr>
            <w:tcW w:w="2760" w:type="pct"/>
            <w:gridSpan w:val="3"/>
          </w:tcPr>
          <w:p w14:paraId="3B705303">
            <w:pPr>
              <w:spacing w:line="360" w:lineRule="auto"/>
              <w:jc w:val="left"/>
              <w:rPr>
                <w:rFonts w:ascii="宋体" w:hAnsi="宋体"/>
                <w:sz w:val="18"/>
                <w:szCs w:val="18"/>
              </w:rPr>
            </w:pPr>
          </w:p>
        </w:tc>
        <w:tc>
          <w:tcPr>
            <w:tcW w:w="1414" w:type="pct"/>
            <w:vAlign w:val="center"/>
          </w:tcPr>
          <w:p w14:paraId="757ACF35">
            <w:pPr>
              <w:spacing w:line="360" w:lineRule="auto"/>
              <w:jc w:val="center"/>
              <w:rPr>
                <w:rFonts w:ascii="宋体" w:hAnsi="宋体"/>
                <w:sz w:val="18"/>
                <w:szCs w:val="18"/>
              </w:rPr>
            </w:pPr>
            <w:r>
              <w:rPr>
                <w:rFonts w:hint="eastAsia" w:ascii="宋体" w:hAnsi="宋体"/>
                <w:sz w:val="28"/>
                <w:szCs w:val="28"/>
              </w:rPr>
              <w:t>总分</w:t>
            </w:r>
          </w:p>
        </w:tc>
        <w:tc>
          <w:tcPr>
            <w:tcW w:w="467" w:type="pct"/>
            <w:gridSpan w:val="2"/>
          </w:tcPr>
          <w:p w14:paraId="472FD7AA">
            <w:pPr>
              <w:spacing w:line="360" w:lineRule="auto"/>
              <w:jc w:val="left"/>
              <w:rPr>
                <w:rFonts w:ascii="宋体" w:hAnsi="宋体"/>
                <w:sz w:val="18"/>
                <w:szCs w:val="18"/>
              </w:rPr>
            </w:pPr>
          </w:p>
        </w:tc>
      </w:tr>
      <w:tr w14:paraId="07616E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6" w:hRule="atLeast"/>
        </w:trPr>
        <w:tc>
          <w:tcPr>
            <w:tcW w:w="358" w:type="pct"/>
          </w:tcPr>
          <w:p w14:paraId="16695F37">
            <w:pPr>
              <w:spacing w:line="360" w:lineRule="auto"/>
              <w:jc w:val="left"/>
              <w:rPr>
                <w:rFonts w:ascii="宋体" w:hAnsi="宋体"/>
                <w:sz w:val="28"/>
                <w:szCs w:val="28"/>
              </w:rPr>
            </w:pPr>
            <w:r>
              <w:rPr>
                <w:rFonts w:hint="eastAsia" w:ascii="宋体" w:hAnsi="宋体"/>
                <w:sz w:val="22"/>
                <w:szCs w:val="22"/>
              </w:rPr>
              <w:t>乙方签字</w:t>
            </w:r>
          </w:p>
        </w:tc>
        <w:tc>
          <w:tcPr>
            <w:tcW w:w="4641" w:type="pct"/>
            <w:gridSpan w:val="6"/>
          </w:tcPr>
          <w:p w14:paraId="7D6D7D8E">
            <w:pPr>
              <w:spacing w:line="360" w:lineRule="auto"/>
              <w:jc w:val="left"/>
              <w:rPr>
                <w:rFonts w:ascii="宋体" w:hAnsi="宋体"/>
                <w:sz w:val="18"/>
                <w:szCs w:val="18"/>
              </w:rPr>
            </w:pPr>
          </w:p>
        </w:tc>
      </w:tr>
    </w:tbl>
    <w:p w14:paraId="14ABD97C">
      <w:pPr>
        <w:tabs>
          <w:tab w:val="left" w:pos="463"/>
        </w:tabs>
        <w:spacing w:line="360" w:lineRule="auto"/>
        <w:rPr>
          <w:rFonts w:asciiTheme="minorEastAsia" w:hAnsiTheme="minorEastAsia"/>
          <w:b/>
          <w:bCs/>
          <w:sz w:val="24"/>
        </w:rPr>
        <w:sectPr>
          <w:footerReference r:id="rId3" w:type="default"/>
          <w:pgSz w:w="16838" w:h="11906" w:orient="landscape"/>
          <w:pgMar w:top="720" w:right="720" w:bottom="720" w:left="720" w:header="851" w:footer="992" w:gutter="0"/>
          <w:cols w:space="0" w:num="1"/>
          <w:docGrid w:type="lines" w:linePitch="319" w:charSpace="0"/>
        </w:sectPr>
      </w:pPr>
    </w:p>
    <w:p w14:paraId="7B31D70A">
      <w:pPr>
        <w:numPr>
          <w:ilvl w:val="0"/>
          <w:numId w:val="0"/>
        </w:numPr>
        <w:rPr>
          <w:rFonts w:hint="default" w:ascii="宋体" w:hAnsi="宋体" w:eastAsia="宋体" w:cs="宋体"/>
          <w:b/>
          <w:bCs/>
          <w:sz w:val="24"/>
          <w:szCs w:val="24"/>
          <w:lang w:val="en-US" w:eastAsia="zh-CN"/>
        </w:rPr>
      </w:pPr>
    </w:p>
    <w:p w14:paraId="27A52E61">
      <w:pPr>
        <w:spacing w:line="360" w:lineRule="auto"/>
        <w:ind w:firstLine="241" w:firstLineChars="100"/>
        <w:rPr>
          <w:rFonts w:hint="default" w:ascii="宋体" w:hAnsi="宋体" w:cs="宋体"/>
          <w:b w:val="0"/>
          <w:bCs/>
          <w:kern w:val="0"/>
          <w:sz w:val="21"/>
          <w:szCs w:val="21"/>
          <w:lang w:val="en-US" w:eastAsia="zh-CN"/>
        </w:rPr>
      </w:pPr>
      <w:r>
        <w:rPr>
          <w:rFonts w:hint="eastAsia" w:asciiTheme="minorEastAsia" w:hAnsiTheme="minorEastAsia"/>
          <w:b/>
          <w:bCs/>
          <w:sz w:val="24"/>
          <w:szCs w:val="24"/>
          <w:lang w:val="en-US" w:eastAsia="zh-CN"/>
        </w:rPr>
        <w:t>三、表1 资格审查表</w:t>
      </w:r>
    </w:p>
    <w:tbl>
      <w:tblPr>
        <w:tblStyle w:val="13"/>
        <w:tblW w:w="845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57"/>
        <w:gridCol w:w="1970"/>
        <w:gridCol w:w="6030"/>
      </w:tblGrid>
      <w:tr w14:paraId="65DBA8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56" w:hRule="atLeast"/>
          <w:jc w:val="center"/>
        </w:trPr>
        <w:tc>
          <w:tcPr>
            <w:tcW w:w="457" w:type="dxa"/>
            <w:vMerge w:val="restart"/>
            <w:tcBorders>
              <w:left w:val="single" w:color="auto" w:sz="4" w:space="0"/>
              <w:right w:val="single" w:color="auto" w:sz="4" w:space="0"/>
            </w:tcBorders>
            <w:vAlign w:val="center"/>
          </w:tcPr>
          <w:p w14:paraId="7F5C2C2C">
            <w:pPr>
              <w:keepNext w:val="0"/>
              <w:keepLines w:val="0"/>
              <w:suppressLineNumbers w:val="0"/>
              <w:spacing w:before="0" w:beforeAutospacing="0" w:after="0" w:afterAutospacing="0" w:line="240" w:lineRule="auto"/>
              <w:ind w:left="0" w:right="0"/>
              <w:jc w:val="left"/>
              <w:rPr>
                <w:rFonts w:hint="eastAsia" w:ascii="宋体" w:hAnsi="宋体" w:eastAsia="宋体" w:cs="宋体"/>
                <w:sz w:val="21"/>
                <w:szCs w:val="21"/>
              </w:rPr>
            </w:pPr>
          </w:p>
          <w:p w14:paraId="311AF116">
            <w:pPr>
              <w:keepNext w:val="0"/>
              <w:keepLines w:val="0"/>
              <w:suppressLineNumbers w:val="0"/>
              <w:spacing w:before="0" w:beforeAutospacing="0" w:after="0" w:afterAutospacing="0" w:line="240" w:lineRule="auto"/>
              <w:ind w:left="0" w:right="0"/>
              <w:jc w:val="left"/>
              <w:rPr>
                <w:rFonts w:hint="eastAsia" w:ascii="宋体" w:hAnsi="宋体" w:eastAsia="宋体" w:cs="宋体"/>
                <w:sz w:val="21"/>
                <w:szCs w:val="21"/>
              </w:rPr>
            </w:pPr>
          </w:p>
          <w:p w14:paraId="28D7C0F8">
            <w:pPr>
              <w:keepNext w:val="0"/>
              <w:keepLines w:val="0"/>
              <w:suppressLineNumbers w:val="0"/>
              <w:spacing w:before="0" w:beforeAutospacing="0" w:after="0" w:afterAutospacing="0" w:line="240" w:lineRule="auto"/>
              <w:ind w:left="0" w:right="0"/>
              <w:jc w:val="left"/>
              <w:rPr>
                <w:rFonts w:hint="eastAsia" w:ascii="宋体" w:hAnsi="宋体" w:eastAsia="宋体" w:cs="宋体"/>
                <w:sz w:val="21"/>
                <w:szCs w:val="21"/>
              </w:rPr>
            </w:pPr>
          </w:p>
          <w:p w14:paraId="27AB0B79">
            <w:pPr>
              <w:keepNext w:val="0"/>
              <w:keepLines w:val="0"/>
              <w:suppressLineNumbers w:val="0"/>
              <w:spacing w:before="0" w:beforeAutospacing="0" w:after="0" w:afterAutospacing="0" w:line="240" w:lineRule="auto"/>
              <w:ind w:left="0" w:right="0"/>
              <w:jc w:val="left"/>
              <w:rPr>
                <w:rFonts w:hint="eastAsia" w:ascii="宋体" w:hAnsi="宋体" w:eastAsia="宋体" w:cs="宋体"/>
                <w:sz w:val="21"/>
                <w:szCs w:val="21"/>
              </w:rPr>
            </w:pPr>
          </w:p>
          <w:p w14:paraId="796469F2">
            <w:pPr>
              <w:keepNext w:val="0"/>
              <w:keepLines w:val="0"/>
              <w:suppressLineNumbers w:val="0"/>
              <w:spacing w:before="0" w:beforeAutospacing="0" w:after="0" w:afterAutospacing="0" w:line="240" w:lineRule="auto"/>
              <w:ind w:left="0" w:right="0"/>
              <w:jc w:val="left"/>
              <w:rPr>
                <w:rFonts w:hint="eastAsia" w:ascii="宋体" w:hAnsi="宋体" w:eastAsia="宋体" w:cs="宋体"/>
                <w:sz w:val="21"/>
                <w:szCs w:val="21"/>
              </w:rPr>
            </w:pPr>
            <w:r>
              <w:rPr>
                <w:rFonts w:hint="eastAsia" w:ascii="宋体" w:hAnsi="宋体" w:eastAsia="宋体" w:cs="宋体"/>
                <w:sz w:val="21"/>
                <w:szCs w:val="21"/>
              </w:rPr>
              <w:t>资格性审查</w:t>
            </w:r>
          </w:p>
          <w:p w14:paraId="0481967C">
            <w:pPr>
              <w:keepNext w:val="0"/>
              <w:keepLines w:val="0"/>
              <w:suppressLineNumbers w:val="0"/>
              <w:spacing w:before="0" w:beforeAutospacing="0" w:after="0" w:afterAutospacing="0" w:line="240" w:lineRule="auto"/>
              <w:ind w:left="0" w:right="0"/>
              <w:jc w:val="left"/>
              <w:rPr>
                <w:rFonts w:hint="eastAsia" w:ascii="宋体" w:hAnsi="宋体" w:eastAsia="宋体" w:cs="宋体"/>
                <w:sz w:val="21"/>
                <w:szCs w:val="21"/>
              </w:rPr>
            </w:pPr>
          </w:p>
        </w:tc>
        <w:tc>
          <w:tcPr>
            <w:tcW w:w="1970" w:type="dxa"/>
            <w:tcBorders>
              <w:top w:val="single" w:color="auto" w:sz="4" w:space="0"/>
              <w:left w:val="single" w:color="auto" w:sz="4" w:space="0"/>
              <w:bottom w:val="single" w:color="auto" w:sz="4" w:space="0"/>
              <w:right w:val="single" w:color="auto" w:sz="4" w:space="0"/>
            </w:tcBorders>
            <w:vAlign w:val="center"/>
          </w:tcPr>
          <w:p w14:paraId="552220B7">
            <w:pPr>
              <w:keepNext w:val="0"/>
              <w:keepLines w:val="0"/>
              <w:suppressLineNumbers w:val="0"/>
              <w:spacing w:before="0" w:beforeAutospacing="0" w:after="0" w:afterAutospacing="0" w:line="240" w:lineRule="auto"/>
              <w:ind w:left="0" w:right="0"/>
              <w:jc w:val="left"/>
              <w:rPr>
                <w:rFonts w:hint="eastAsia" w:ascii="宋体" w:hAnsi="宋体" w:eastAsia="宋体" w:cs="宋体"/>
                <w:sz w:val="21"/>
                <w:szCs w:val="21"/>
              </w:rPr>
            </w:pPr>
            <w:r>
              <w:rPr>
                <w:rFonts w:hint="eastAsia" w:ascii="宋体" w:hAnsi="宋体" w:eastAsia="宋体" w:cs="宋体"/>
                <w:sz w:val="21"/>
                <w:szCs w:val="21"/>
              </w:rPr>
              <w:t>具有独立承担民事责任的能力</w:t>
            </w:r>
          </w:p>
        </w:tc>
        <w:tc>
          <w:tcPr>
            <w:tcW w:w="6030" w:type="dxa"/>
            <w:tcBorders>
              <w:top w:val="single" w:color="auto" w:sz="4" w:space="0"/>
              <w:left w:val="single" w:color="auto" w:sz="4" w:space="0"/>
              <w:bottom w:val="single" w:color="auto" w:sz="4" w:space="0"/>
              <w:right w:val="single" w:color="auto" w:sz="4" w:space="0"/>
            </w:tcBorders>
            <w:vAlign w:val="center"/>
          </w:tcPr>
          <w:p w14:paraId="374745FD">
            <w:pPr>
              <w:keepNext w:val="0"/>
              <w:keepLines w:val="0"/>
              <w:suppressLineNumbers w:val="0"/>
              <w:spacing w:before="0" w:beforeAutospacing="0" w:after="0" w:afterAutospacing="0" w:line="240" w:lineRule="auto"/>
              <w:ind w:left="0" w:right="0"/>
              <w:jc w:val="left"/>
              <w:rPr>
                <w:rFonts w:hint="eastAsia" w:ascii="宋体" w:hAnsi="宋体" w:eastAsia="宋体" w:cs="宋体"/>
                <w:sz w:val="21"/>
                <w:szCs w:val="21"/>
              </w:rPr>
            </w:pPr>
            <w:r>
              <w:rPr>
                <w:rFonts w:hint="eastAsia" w:ascii="宋体" w:hAnsi="宋体" w:eastAsia="宋体" w:cs="宋体"/>
                <w:sz w:val="21"/>
                <w:szCs w:val="21"/>
              </w:rPr>
              <w:t>审查有效的营业执照或事业单位法人证书或执业许可证或自然人的身份证明。</w:t>
            </w:r>
          </w:p>
        </w:tc>
      </w:tr>
      <w:tr w14:paraId="32130C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32" w:hRule="atLeast"/>
          <w:jc w:val="center"/>
        </w:trPr>
        <w:tc>
          <w:tcPr>
            <w:tcW w:w="457" w:type="dxa"/>
            <w:vMerge w:val="continue"/>
            <w:tcBorders>
              <w:left w:val="single" w:color="auto" w:sz="4" w:space="0"/>
              <w:right w:val="single" w:color="auto" w:sz="4" w:space="0"/>
            </w:tcBorders>
            <w:vAlign w:val="center"/>
          </w:tcPr>
          <w:p w14:paraId="149302DC">
            <w:pPr>
              <w:keepNext w:val="0"/>
              <w:keepLines w:val="0"/>
              <w:suppressLineNumbers w:val="0"/>
              <w:spacing w:before="0" w:beforeAutospacing="0" w:after="0" w:afterAutospacing="0"/>
              <w:ind w:left="0" w:right="0"/>
              <w:rPr>
                <w:rFonts w:hint="default"/>
              </w:rPr>
            </w:pPr>
          </w:p>
        </w:tc>
        <w:tc>
          <w:tcPr>
            <w:tcW w:w="1970" w:type="dxa"/>
            <w:tcBorders>
              <w:top w:val="single" w:color="auto" w:sz="4" w:space="0"/>
              <w:left w:val="single" w:color="auto" w:sz="4" w:space="0"/>
              <w:bottom w:val="single" w:color="auto" w:sz="4" w:space="0"/>
              <w:right w:val="single" w:color="auto" w:sz="4" w:space="0"/>
            </w:tcBorders>
            <w:vAlign w:val="center"/>
          </w:tcPr>
          <w:p w14:paraId="545D6773">
            <w:pPr>
              <w:keepNext w:val="0"/>
              <w:keepLines w:val="0"/>
              <w:suppressLineNumbers w:val="0"/>
              <w:spacing w:before="0" w:beforeAutospacing="0" w:after="0" w:afterAutospacing="0" w:line="240" w:lineRule="auto"/>
              <w:ind w:left="0" w:right="0"/>
              <w:jc w:val="left"/>
              <w:rPr>
                <w:rFonts w:hint="eastAsia" w:ascii="宋体" w:hAnsi="宋体" w:eastAsia="宋体" w:cs="宋体"/>
                <w:sz w:val="21"/>
                <w:szCs w:val="21"/>
              </w:rPr>
            </w:pPr>
            <w:r>
              <w:rPr>
                <w:rFonts w:hint="eastAsia" w:ascii="宋体" w:hAnsi="宋体" w:eastAsia="宋体" w:cs="宋体"/>
                <w:sz w:val="21"/>
                <w:szCs w:val="21"/>
              </w:rPr>
              <w:t>具有良好的商业信誉和健全的财务会计制度</w:t>
            </w:r>
          </w:p>
        </w:tc>
        <w:tc>
          <w:tcPr>
            <w:tcW w:w="6030" w:type="dxa"/>
            <w:tcBorders>
              <w:top w:val="single" w:color="auto" w:sz="4" w:space="0"/>
              <w:left w:val="single" w:color="auto" w:sz="4" w:space="0"/>
              <w:bottom w:val="single" w:color="auto" w:sz="4" w:space="0"/>
              <w:right w:val="single" w:color="auto" w:sz="4" w:space="0"/>
            </w:tcBorders>
            <w:vAlign w:val="center"/>
          </w:tcPr>
          <w:p w14:paraId="0475C0A7">
            <w:pPr>
              <w:keepNext w:val="0"/>
              <w:keepLines w:val="0"/>
              <w:suppressLineNumbers w:val="0"/>
              <w:spacing w:before="0" w:beforeAutospacing="0" w:after="0" w:afterAutospacing="0" w:line="240" w:lineRule="auto"/>
              <w:ind w:left="0" w:right="0"/>
              <w:jc w:val="left"/>
              <w:rPr>
                <w:rFonts w:hint="eastAsia" w:ascii="宋体" w:hAnsi="宋体" w:eastAsia="宋体" w:cs="宋体"/>
                <w:sz w:val="21"/>
                <w:szCs w:val="21"/>
                <w:lang w:eastAsia="zh-CN"/>
              </w:rPr>
            </w:pPr>
            <w:r>
              <w:rPr>
                <w:rFonts w:hint="eastAsia" w:ascii="宋体" w:hAnsi="宋体" w:eastAsia="宋体" w:cs="宋体"/>
                <w:sz w:val="21"/>
                <w:szCs w:val="21"/>
                <w:lang w:val="en-US" w:eastAsia="zh-CN"/>
              </w:rPr>
              <w:t>审查投标人2022年或2023年度经会计事务所出具的财务审计报告或</w:t>
            </w:r>
            <w:r>
              <w:rPr>
                <w:rFonts w:hint="eastAsia" w:ascii="宋体" w:hAnsi="宋体" w:eastAsia="宋体" w:cs="宋体"/>
                <w:b/>
                <w:bCs/>
                <w:color w:val="FF0000"/>
                <w:sz w:val="21"/>
                <w:szCs w:val="21"/>
                <w:lang w:val="en-US" w:eastAsia="zh-CN"/>
              </w:rPr>
              <w:t>基本开户银行证明</w:t>
            </w:r>
            <w:r>
              <w:rPr>
                <w:rFonts w:hint="eastAsia" w:ascii="宋体" w:hAnsi="宋体" w:eastAsia="宋体" w:cs="宋体"/>
                <w:sz w:val="21"/>
                <w:szCs w:val="21"/>
                <w:lang w:val="en-US" w:eastAsia="zh-CN"/>
              </w:rPr>
              <w:t>及基本开户银行出具的近一年内的银行资信证明。</w:t>
            </w:r>
          </w:p>
        </w:tc>
      </w:tr>
      <w:tr w14:paraId="50CB48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133" w:hRule="atLeast"/>
          <w:jc w:val="center"/>
        </w:trPr>
        <w:tc>
          <w:tcPr>
            <w:tcW w:w="457" w:type="dxa"/>
            <w:vMerge w:val="continue"/>
            <w:tcBorders>
              <w:left w:val="single" w:color="auto" w:sz="4" w:space="0"/>
              <w:right w:val="single" w:color="auto" w:sz="4" w:space="0"/>
            </w:tcBorders>
            <w:vAlign w:val="center"/>
          </w:tcPr>
          <w:p w14:paraId="13EE02DF">
            <w:pPr>
              <w:keepNext w:val="0"/>
              <w:keepLines w:val="0"/>
              <w:suppressLineNumbers w:val="0"/>
              <w:spacing w:before="0" w:beforeAutospacing="0" w:after="0" w:afterAutospacing="0"/>
              <w:ind w:left="0" w:right="0"/>
              <w:rPr>
                <w:rFonts w:hint="default"/>
              </w:rPr>
            </w:pPr>
          </w:p>
        </w:tc>
        <w:tc>
          <w:tcPr>
            <w:tcW w:w="1970" w:type="dxa"/>
            <w:tcBorders>
              <w:top w:val="single" w:color="auto" w:sz="4" w:space="0"/>
              <w:left w:val="single" w:color="auto" w:sz="4" w:space="0"/>
              <w:bottom w:val="single" w:color="auto" w:sz="4" w:space="0"/>
              <w:right w:val="single" w:color="auto" w:sz="4" w:space="0"/>
            </w:tcBorders>
            <w:vAlign w:val="center"/>
          </w:tcPr>
          <w:p w14:paraId="41BDA185">
            <w:pPr>
              <w:keepNext w:val="0"/>
              <w:keepLines w:val="0"/>
              <w:suppressLineNumbers w:val="0"/>
              <w:spacing w:before="0" w:beforeAutospacing="0" w:after="0" w:afterAutospacing="0" w:line="240" w:lineRule="auto"/>
              <w:ind w:left="0" w:right="0"/>
              <w:jc w:val="left"/>
              <w:rPr>
                <w:rFonts w:hint="eastAsia" w:ascii="宋体" w:hAnsi="宋体" w:eastAsia="宋体" w:cs="宋体"/>
                <w:sz w:val="21"/>
                <w:szCs w:val="21"/>
              </w:rPr>
            </w:pPr>
            <w:r>
              <w:rPr>
                <w:rFonts w:hint="eastAsia" w:ascii="宋体" w:hAnsi="宋体" w:eastAsia="宋体" w:cs="宋体"/>
                <w:sz w:val="21"/>
                <w:szCs w:val="21"/>
              </w:rPr>
              <w:t>有依法缴纳税收和社会保障资金的良好记录</w:t>
            </w:r>
          </w:p>
        </w:tc>
        <w:tc>
          <w:tcPr>
            <w:tcW w:w="6030" w:type="dxa"/>
            <w:tcBorders>
              <w:top w:val="single" w:color="auto" w:sz="4" w:space="0"/>
              <w:left w:val="single" w:color="auto" w:sz="4" w:space="0"/>
              <w:bottom w:val="single" w:color="auto" w:sz="4" w:space="0"/>
              <w:right w:val="single" w:color="auto" w:sz="4" w:space="0"/>
            </w:tcBorders>
            <w:vAlign w:val="center"/>
          </w:tcPr>
          <w:p w14:paraId="384E444B">
            <w:pPr>
              <w:keepNext w:val="0"/>
              <w:keepLines w:val="0"/>
              <w:suppressLineNumbers w:val="0"/>
              <w:spacing w:before="0" w:beforeAutospacing="0" w:after="0" w:afterAutospacing="0" w:line="240" w:lineRule="auto"/>
              <w:ind w:left="0" w:right="0"/>
              <w:jc w:val="left"/>
              <w:rPr>
                <w:rFonts w:hint="eastAsia" w:ascii="宋体" w:hAnsi="宋体" w:eastAsia="宋体" w:cs="宋体"/>
                <w:sz w:val="21"/>
                <w:szCs w:val="21"/>
              </w:rPr>
            </w:pPr>
            <w:r>
              <w:rPr>
                <w:rFonts w:hint="eastAsia" w:ascii="宋体" w:hAnsi="宋体" w:eastAsia="宋体" w:cs="宋体"/>
                <w:sz w:val="21"/>
                <w:szCs w:val="21"/>
              </w:rPr>
              <w:t>1.提供递交投标文件截止之日前</w:t>
            </w:r>
            <w:r>
              <w:rPr>
                <w:rFonts w:hint="eastAsia" w:ascii="宋体" w:hAnsi="宋体" w:eastAsia="宋体" w:cs="宋体"/>
                <w:sz w:val="21"/>
                <w:szCs w:val="21"/>
                <w:lang w:val="en-US" w:eastAsia="zh-CN"/>
              </w:rPr>
              <w:t>一年</w:t>
            </w:r>
            <w:r>
              <w:rPr>
                <w:rFonts w:hint="eastAsia" w:ascii="宋体" w:hAnsi="宋体" w:eastAsia="宋体" w:cs="宋体"/>
                <w:sz w:val="21"/>
                <w:szCs w:val="21"/>
              </w:rPr>
              <w:t>内（至少一个月）的良好缴纳税收的相关凭据。（以税务机关提供的纳税凭据或银行入账单为准）</w:t>
            </w:r>
          </w:p>
          <w:p w14:paraId="01045F23">
            <w:pPr>
              <w:keepNext w:val="0"/>
              <w:keepLines w:val="0"/>
              <w:suppressLineNumbers w:val="0"/>
              <w:spacing w:before="0" w:beforeAutospacing="0" w:after="0" w:afterAutospacing="0" w:line="240" w:lineRule="auto"/>
              <w:ind w:left="0" w:right="0"/>
              <w:jc w:val="left"/>
              <w:rPr>
                <w:rFonts w:hint="eastAsia" w:ascii="宋体" w:hAnsi="宋体" w:eastAsia="宋体" w:cs="宋体"/>
                <w:sz w:val="21"/>
                <w:szCs w:val="21"/>
              </w:rPr>
            </w:pPr>
            <w:r>
              <w:rPr>
                <w:rFonts w:hint="eastAsia" w:ascii="宋体" w:hAnsi="宋体" w:eastAsia="宋体" w:cs="宋体"/>
                <w:sz w:val="21"/>
                <w:szCs w:val="21"/>
              </w:rPr>
              <w:t>2.提供递交投标文件截止之日前</w:t>
            </w:r>
            <w:r>
              <w:rPr>
                <w:rFonts w:hint="eastAsia" w:ascii="宋体" w:hAnsi="宋体" w:eastAsia="宋体" w:cs="宋体"/>
                <w:sz w:val="21"/>
                <w:szCs w:val="21"/>
                <w:lang w:val="en-US" w:eastAsia="zh-CN"/>
              </w:rPr>
              <w:t>一年</w:t>
            </w:r>
            <w:r>
              <w:rPr>
                <w:rFonts w:hint="eastAsia" w:ascii="宋体" w:hAnsi="宋体" w:eastAsia="宋体" w:cs="宋体"/>
                <w:sz w:val="21"/>
                <w:szCs w:val="21"/>
              </w:rPr>
              <w:t>内（至少一个月）缴纳社会保险的凭证。（以社保机构出具的专用收据或社会保险缴纳清单为准）</w:t>
            </w:r>
          </w:p>
          <w:p w14:paraId="571AE38A">
            <w:pPr>
              <w:keepNext w:val="0"/>
              <w:keepLines w:val="0"/>
              <w:suppressLineNumbers w:val="0"/>
              <w:spacing w:before="0" w:beforeAutospacing="0" w:after="0" w:afterAutospacing="0" w:line="240" w:lineRule="auto"/>
              <w:ind w:left="0" w:right="0"/>
              <w:jc w:val="left"/>
              <w:rPr>
                <w:rFonts w:hint="eastAsia" w:ascii="宋体" w:hAnsi="宋体" w:eastAsia="宋体" w:cs="宋体"/>
                <w:sz w:val="21"/>
                <w:szCs w:val="21"/>
              </w:rPr>
            </w:pPr>
            <w:r>
              <w:rPr>
                <w:rFonts w:hint="eastAsia" w:ascii="宋体" w:hAnsi="宋体" w:eastAsia="宋体" w:cs="宋体"/>
                <w:sz w:val="21"/>
                <w:szCs w:val="21"/>
              </w:rPr>
              <w:t>注：依法免税或不需要缴纳社会保障资金的供应商，应提供相应文件证明其依法免税或不需要缴纳社会保障资金。</w:t>
            </w:r>
          </w:p>
        </w:tc>
      </w:tr>
      <w:tr w14:paraId="437358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42" w:hRule="atLeast"/>
          <w:jc w:val="center"/>
        </w:trPr>
        <w:tc>
          <w:tcPr>
            <w:tcW w:w="457" w:type="dxa"/>
            <w:vMerge w:val="continue"/>
            <w:tcBorders>
              <w:left w:val="single" w:color="auto" w:sz="4" w:space="0"/>
              <w:right w:val="single" w:color="auto" w:sz="4" w:space="0"/>
            </w:tcBorders>
            <w:vAlign w:val="center"/>
          </w:tcPr>
          <w:p w14:paraId="29EB5BAC">
            <w:pPr>
              <w:keepNext w:val="0"/>
              <w:keepLines w:val="0"/>
              <w:suppressLineNumbers w:val="0"/>
              <w:spacing w:before="0" w:beforeAutospacing="0" w:after="0" w:afterAutospacing="0"/>
              <w:ind w:left="0" w:right="0"/>
              <w:rPr>
                <w:rFonts w:hint="default"/>
              </w:rPr>
            </w:pPr>
          </w:p>
        </w:tc>
        <w:tc>
          <w:tcPr>
            <w:tcW w:w="1970" w:type="dxa"/>
            <w:tcBorders>
              <w:top w:val="single" w:color="auto" w:sz="4" w:space="0"/>
              <w:left w:val="single" w:color="auto" w:sz="4" w:space="0"/>
              <w:bottom w:val="single" w:color="auto" w:sz="4" w:space="0"/>
              <w:right w:val="single" w:color="auto" w:sz="4" w:space="0"/>
            </w:tcBorders>
            <w:vAlign w:val="center"/>
          </w:tcPr>
          <w:p w14:paraId="4EF6A2F0">
            <w:pPr>
              <w:keepNext w:val="0"/>
              <w:keepLines w:val="0"/>
              <w:suppressLineNumbers w:val="0"/>
              <w:spacing w:before="0" w:beforeAutospacing="0" w:after="0" w:afterAutospacing="0" w:line="240" w:lineRule="auto"/>
              <w:ind w:left="0" w:right="0"/>
              <w:jc w:val="left"/>
              <w:rPr>
                <w:rFonts w:hint="eastAsia" w:ascii="宋体" w:hAnsi="宋体" w:eastAsia="宋体" w:cs="宋体"/>
                <w:sz w:val="21"/>
                <w:szCs w:val="21"/>
              </w:rPr>
            </w:pPr>
            <w:r>
              <w:rPr>
                <w:rFonts w:hint="eastAsia" w:ascii="宋体" w:hAnsi="宋体" w:eastAsia="宋体" w:cs="宋体"/>
                <w:sz w:val="21"/>
                <w:szCs w:val="21"/>
              </w:rPr>
              <w:t>参加采购活动前3年内，在经营活动中没有重大违法记录</w:t>
            </w:r>
          </w:p>
        </w:tc>
        <w:tc>
          <w:tcPr>
            <w:tcW w:w="6030" w:type="dxa"/>
            <w:tcBorders>
              <w:top w:val="single" w:color="auto" w:sz="4" w:space="0"/>
              <w:left w:val="single" w:color="auto" w:sz="4" w:space="0"/>
              <w:bottom w:val="single" w:color="auto" w:sz="4" w:space="0"/>
              <w:right w:val="single" w:color="auto" w:sz="4" w:space="0"/>
            </w:tcBorders>
            <w:vAlign w:val="center"/>
          </w:tcPr>
          <w:p w14:paraId="6FF5D8C0">
            <w:pPr>
              <w:keepNext w:val="0"/>
              <w:keepLines w:val="0"/>
              <w:suppressLineNumbers w:val="0"/>
              <w:spacing w:before="0" w:beforeAutospacing="0" w:after="0" w:afterAutospacing="0" w:line="240" w:lineRule="auto"/>
              <w:ind w:left="0" w:right="0"/>
              <w:jc w:val="left"/>
              <w:rPr>
                <w:rFonts w:hint="eastAsia" w:ascii="宋体" w:hAnsi="宋体" w:eastAsia="宋体" w:cs="宋体"/>
                <w:sz w:val="21"/>
                <w:szCs w:val="21"/>
              </w:rPr>
            </w:pPr>
            <w:r>
              <w:rPr>
                <w:rFonts w:hint="eastAsia" w:ascii="宋体" w:hAnsi="宋体" w:eastAsia="宋体" w:cs="宋体"/>
                <w:sz w:val="21"/>
                <w:szCs w:val="21"/>
              </w:rPr>
              <w:t>1.审查“参加本采购活动前3年内”投标人书面声明函；</w:t>
            </w:r>
          </w:p>
          <w:p w14:paraId="66B17D34">
            <w:pPr>
              <w:keepNext w:val="0"/>
              <w:keepLines w:val="0"/>
              <w:suppressLineNumbers w:val="0"/>
              <w:spacing w:before="0" w:beforeAutospacing="0" w:after="0" w:afterAutospacing="0" w:line="240" w:lineRule="auto"/>
              <w:ind w:left="0" w:right="0"/>
              <w:jc w:val="left"/>
              <w:rPr>
                <w:rFonts w:hint="eastAsia" w:ascii="宋体" w:hAnsi="宋体" w:eastAsia="宋体" w:cs="宋体"/>
                <w:sz w:val="21"/>
                <w:szCs w:val="21"/>
              </w:rPr>
            </w:pPr>
            <w:r>
              <w:rPr>
                <w:rFonts w:hint="eastAsia" w:ascii="宋体" w:hAnsi="宋体" w:eastAsia="宋体" w:cs="宋体"/>
                <w:sz w:val="21"/>
                <w:szCs w:val="21"/>
              </w:rPr>
              <w:t>2.到提交投标文件的截止时间，投标人未被列入失信被执行人、重大税收违法案件当事人名单、政府采购严重违法失信行为记录名单。（以投标人通过“信用中国”网站和“中国政府采购网”网站的</w:t>
            </w:r>
            <w:r>
              <w:rPr>
                <w:rFonts w:hint="eastAsia" w:ascii="宋体" w:hAnsi="宋体" w:eastAsia="宋体" w:cs="宋体"/>
                <w:b/>
                <w:bCs/>
                <w:color w:val="FF0000"/>
                <w:sz w:val="21"/>
                <w:szCs w:val="21"/>
                <w:lang w:val="en-US" w:eastAsia="zh-CN"/>
              </w:rPr>
              <w:t>以上三项</w:t>
            </w:r>
            <w:r>
              <w:rPr>
                <w:rFonts w:hint="eastAsia" w:ascii="宋体" w:hAnsi="宋体" w:eastAsia="宋体" w:cs="宋体"/>
                <w:sz w:val="21"/>
                <w:szCs w:val="21"/>
              </w:rPr>
              <w:t>信用记录截图</w:t>
            </w:r>
            <w:r>
              <w:rPr>
                <w:rFonts w:hint="eastAsia" w:ascii="宋体" w:hAnsi="宋体" w:eastAsia="宋体" w:cs="宋体"/>
                <w:sz w:val="21"/>
                <w:szCs w:val="21"/>
                <w:lang w:val="en-US" w:eastAsia="zh-CN"/>
              </w:rPr>
              <w:t>或</w:t>
            </w:r>
            <w:r>
              <w:rPr>
                <w:rFonts w:hint="eastAsia" w:ascii="宋体" w:hAnsi="宋体" w:eastAsia="宋体" w:cs="宋体"/>
                <w:sz w:val="21"/>
                <w:szCs w:val="21"/>
              </w:rPr>
              <w:t>评标现场核实情况为准）</w:t>
            </w:r>
          </w:p>
        </w:tc>
      </w:tr>
      <w:tr w14:paraId="08F222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76" w:hRule="atLeast"/>
          <w:jc w:val="center"/>
        </w:trPr>
        <w:tc>
          <w:tcPr>
            <w:tcW w:w="457" w:type="dxa"/>
            <w:vMerge w:val="continue"/>
            <w:tcBorders>
              <w:left w:val="single" w:color="auto" w:sz="4" w:space="0"/>
              <w:right w:val="single" w:color="auto" w:sz="4" w:space="0"/>
            </w:tcBorders>
            <w:vAlign w:val="center"/>
          </w:tcPr>
          <w:p w14:paraId="5EE6CCAC">
            <w:pPr>
              <w:keepNext w:val="0"/>
              <w:keepLines w:val="0"/>
              <w:suppressLineNumbers w:val="0"/>
              <w:spacing w:before="0" w:beforeAutospacing="0" w:after="0" w:afterAutospacing="0"/>
              <w:ind w:left="0" w:right="0"/>
              <w:rPr>
                <w:rFonts w:hint="default"/>
              </w:rPr>
            </w:pPr>
          </w:p>
        </w:tc>
        <w:tc>
          <w:tcPr>
            <w:tcW w:w="1970" w:type="dxa"/>
            <w:tcBorders>
              <w:top w:val="single" w:color="auto" w:sz="4" w:space="0"/>
              <w:left w:val="single" w:color="auto" w:sz="4" w:space="0"/>
              <w:bottom w:val="single" w:color="auto" w:sz="4" w:space="0"/>
              <w:right w:val="single" w:color="auto" w:sz="4" w:space="0"/>
            </w:tcBorders>
            <w:vAlign w:val="center"/>
          </w:tcPr>
          <w:p w14:paraId="06F2DEF4">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1"/>
                <w:szCs w:val="21"/>
              </w:rPr>
            </w:pPr>
            <w:r>
              <w:rPr>
                <w:rFonts w:hint="eastAsia" w:ascii="宋体" w:hAnsi="宋体" w:eastAsia="宋体" w:cs="宋体"/>
                <w:color w:val="auto"/>
                <w:sz w:val="21"/>
                <w:szCs w:val="21"/>
              </w:rPr>
              <w:t>其他资质要求</w:t>
            </w:r>
          </w:p>
        </w:tc>
        <w:tc>
          <w:tcPr>
            <w:tcW w:w="6030" w:type="dxa"/>
            <w:tcBorders>
              <w:top w:val="single" w:color="auto" w:sz="4" w:space="0"/>
              <w:left w:val="single" w:color="auto" w:sz="4" w:space="0"/>
              <w:bottom w:val="single" w:color="auto" w:sz="4" w:space="0"/>
              <w:right w:val="single" w:color="auto" w:sz="4" w:space="0"/>
            </w:tcBorders>
            <w:vAlign w:val="center"/>
          </w:tcPr>
          <w:p w14:paraId="69872C37">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1"/>
                <w:szCs w:val="21"/>
              </w:rPr>
            </w:pPr>
            <w:r>
              <w:rPr>
                <w:rFonts w:hint="eastAsia" w:ascii="宋体" w:hAnsi="宋体" w:eastAsia="宋体" w:cs="宋体"/>
                <w:color w:val="auto"/>
                <w:sz w:val="21"/>
                <w:szCs w:val="21"/>
              </w:rPr>
              <w:t>（如有）</w:t>
            </w:r>
          </w:p>
        </w:tc>
      </w:tr>
      <w:tr w14:paraId="2C3CD4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5" w:hRule="atLeast"/>
          <w:jc w:val="center"/>
        </w:trPr>
        <w:tc>
          <w:tcPr>
            <w:tcW w:w="457" w:type="dxa"/>
            <w:vMerge w:val="continue"/>
            <w:tcBorders>
              <w:left w:val="single" w:color="auto" w:sz="4" w:space="0"/>
              <w:right w:val="single" w:color="auto" w:sz="4" w:space="0"/>
            </w:tcBorders>
            <w:vAlign w:val="center"/>
          </w:tcPr>
          <w:p w14:paraId="1CAAD2FD">
            <w:pPr>
              <w:keepNext w:val="0"/>
              <w:keepLines w:val="0"/>
              <w:suppressLineNumbers w:val="0"/>
              <w:spacing w:before="0" w:beforeAutospacing="0" w:after="0" w:afterAutospacing="0"/>
              <w:ind w:left="0" w:right="0"/>
              <w:rPr>
                <w:rFonts w:hint="default"/>
              </w:rPr>
            </w:pPr>
          </w:p>
        </w:tc>
        <w:tc>
          <w:tcPr>
            <w:tcW w:w="1970" w:type="dxa"/>
            <w:tcBorders>
              <w:top w:val="single" w:color="auto" w:sz="4" w:space="0"/>
              <w:left w:val="single" w:color="auto" w:sz="4" w:space="0"/>
              <w:bottom w:val="single" w:color="auto" w:sz="4" w:space="0"/>
              <w:right w:val="single" w:color="auto" w:sz="4" w:space="0"/>
            </w:tcBorders>
            <w:vAlign w:val="center"/>
          </w:tcPr>
          <w:p w14:paraId="19EB6AC7">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1"/>
                <w:szCs w:val="21"/>
              </w:rPr>
            </w:pPr>
            <w:r>
              <w:rPr>
                <w:rFonts w:hint="eastAsia" w:ascii="宋体" w:hAnsi="宋体" w:eastAsia="宋体" w:cs="宋体"/>
                <w:color w:val="auto"/>
                <w:sz w:val="21"/>
                <w:szCs w:val="21"/>
              </w:rPr>
              <w:t>投标承诺书及法人授权委托书</w:t>
            </w:r>
          </w:p>
        </w:tc>
        <w:tc>
          <w:tcPr>
            <w:tcW w:w="6030" w:type="dxa"/>
            <w:tcBorders>
              <w:top w:val="single" w:color="auto" w:sz="4" w:space="0"/>
              <w:left w:val="single" w:color="auto" w:sz="4" w:space="0"/>
              <w:bottom w:val="single" w:color="auto" w:sz="4" w:space="0"/>
              <w:right w:val="single" w:color="auto" w:sz="4" w:space="0"/>
            </w:tcBorders>
            <w:vAlign w:val="center"/>
          </w:tcPr>
          <w:p w14:paraId="649AA2D0">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1"/>
                <w:szCs w:val="21"/>
              </w:rPr>
            </w:pPr>
            <w:r>
              <w:rPr>
                <w:rFonts w:hint="eastAsia" w:ascii="宋体" w:hAnsi="宋体" w:eastAsia="宋体" w:cs="宋体"/>
                <w:color w:val="auto"/>
                <w:sz w:val="21"/>
                <w:szCs w:val="21"/>
              </w:rPr>
              <w:t>符合招标文件要求。（格式、填写要求、签署、盖章、委托人身份等）</w:t>
            </w:r>
          </w:p>
        </w:tc>
      </w:tr>
      <w:tr w14:paraId="217A33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83" w:hRule="atLeast"/>
          <w:jc w:val="center"/>
        </w:trPr>
        <w:tc>
          <w:tcPr>
            <w:tcW w:w="457" w:type="dxa"/>
            <w:vMerge w:val="continue"/>
            <w:tcBorders>
              <w:left w:val="single" w:color="auto" w:sz="4" w:space="0"/>
              <w:right w:val="single" w:color="auto" w:sz="4" w:space="0"/>
            </w:tcBorders>
            <w:vAlign w:val="center"/>
          </w:tcPr>
          <w:p w14:paraId="0A4C5179">
            <w:pPr>
              <w:keepNext w:val="0"/>
              <w:keepLines w:val="0"/>
              <w:suppressLineNumbers w:val="0"/>
              <w:spacing w:before="0" w:beforeAutospacing="0" w:after="0" w:afterAutospacing="0"/>
              <w:ind w:left="0" w:right="0"/>
              <w:rPr>
                <w:rFonts w:hint="default"/>
              </w:rPr>
            </w:pPr>
          </w:p>
        </w:tc>
        <w:tc>
          <w:tcPr>
            <w:tcW w:w="1970" w:type="dxa"/>
            <w:tcBorders>
              <w:top w:val="single" w:color="auto" w:sz="4" w:space="0"/>
              <w:left w:val="single" w:color="auto" w:sz="4" w:space="0"/>
              <w:bottom w:val="single" w:color="auto" w:sz="4" w:space="0"/>
              <w:right w:val="single" w:color="auto" w:sz="4" w:space="0"/>
            </w:tcBorders>
            <w:vAlign w:val="center"/>
          </w:tcPr>
          <w:p w14:paraId="5EA29C1C">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1"/>
                <w:szCs w:val="21"/>
              </w:rPr>
            </w:pPr>
            <w:r>
              <w:rPr>
                <w:rFonts w:hint="eastAsia" w:ascii="宋体" w:hAnsi="宋体" w:eastAsia="宋体" w:cs="宋体"/>
                <w:color w:val="auto"/>
                <w:sz w:val="21"/>
                <w:szCs w:val="21"/>
              </w:rPr>
              <w:t>开标一览表</w:t>
            </w:r>
          </w:p>
        </w:tc>
        <w:tc>
          <w:tcPr>
            <w:tcW w:w="6030" w:type="dxa"/>
            <w:tcBorders>
              <w:top w:val="single" w:color="auto" w:sz="4" w:space="0"/>
              <w:left w:val="single" w:color="auto" w:sz="4" w:space="0"/>
              <w:bottom w:val="single" w:color="auto" w:sz="4" w:space="0"/>
              <w:right w:val="single" w:color="auto" w:sz="4" w:space="0"/>
            </w:tcBorders>
            <w:vAlign w:val="center"/>
          </w:tcPr>
          <w:p w14:paraId="191D69EE">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1"/>
                <w:szCs w:val="21"/>
              </w:rPr>
            </w:pPr>
            <w:r>
              <w:rPr>
                <w:rFonts w:hint="eastAsia" w:ascii="宋体" w:hAnsi="宋体" w:eastAsia="宋体" w:cs="宋体"/>
                <w:color w:val="auto"/>
                <w:sz w:val="21"/>
                <w:szCs w:val="21"/>
              </w:rPr>
              <w:t>符合招标文件要求。（格式、填写要求、签署、盖章等）</w:t>
            </w:r>
          </w:p>
        </w:tc>
      </w:tr>
      <w:tr w14:paraId="2C34F2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5" w:hRule="atLeast"/>
          <w:jc w:val="center"/>
        </w:trPr>
        <w:tc>
          <w:tcPr>
            <w:tcW w:w="457" w:type="dxa"/>
            <w:vMerge w:val="continue"/>
            <w:tcBorders>
              <w:left w:val="single" w:color="auto" w:sz="4" w:space="0"/>
              <w:right w:val="single" w:color="auto" w:sz="4" w:space="0"/>
            </w:tcBorders>
            <w:vAlign w:val="center"/>
          </w:tcPr>
          <w:p w14:paraId="124F12AE">
            <w:pPr>
              <w:keepNext w:val="0"/>
              <w:keepLines w:val="0"/>
              <w:suppressLineNumbers w:val="0"/>
              <w:spacing w:before="0" w:beforeAutospacing="0" w:after="0" w:afterAutospacing="0"/>
              <w:ind w:left="0" w:right="0"/>
              <w:rPr>
                <w:rFonts w:hint="default"/>
              </w:rPr>
            </w:pPr>
          </w:p>
        </w:tc>
        <w:tc>
          <w:tcPr>
            <w:tcW w:w="1970" w:type="dxa"/>
            <w:tcBorders>
              <w:top w:val="single" w:color="auto" w:sz="4" w:space="0"/>
              <w:left w:val="single" w:color="auto" w:sz="4" w:space="0"/>
              <w:bottom w:val="single" w:color="auto" w:sz="4" w:space="0"/>
              <w:right w:val="single" w:color="auto" w:sz="4" w:space="0"/>
            </w:tcBorders>
            <w:vAlign w:val="center"/>
          </w:tcPr>
          <w:p w14:paraId="49264470">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1"/>
                <w:szCs w:val="21"/>
              </w:rPr>
            </w:pPr>
            <w:r>
              <w:rPr>
                <w:rFonts w:hint="eastAsia" w:ascii="宋体" w:hAnsi="宋体" w:eastAsia="宋体" w:cs="宋体"/>
                <w:color w:val="auto"/>
                <w:sz w:val="21"/>
                <w:szCs w:val="21"/>
              </w:rPr>
              <w:t>投标文件规范性、符合性</w:t>
            </w:r>
          </w:p>
        </w:tc>
        <w:tc>
          <w:tcPr>
            <w:tcW w:w="6030" w:type="dxa"/>
            <w:tcBorders>
              <w:top w:val="single" w:color="auto" w:sz="4" w:space="0"/>
              <w:left w:val="single" w:color="auto" w:sz="4" w:space="0"/>
              <w:bottom w:val="single" w:color="auto" w:sz="4" w:space="0"/>
              <w:right w:val="single" w:color="auto" w:sz="4" w:space="0"/>
            </w:tcBorders>
            <w:vAlign w:val="center"/>
          </w:tcPr>
          <w:p w14:paraId="6C99188D">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1"/>
                <w:szCs w:val="21"/>
              </w:rPr>
            </w:pPr>
            <w:r>
              <w:rPr>
                <w:rFonts w:hint="eastAsia" w:ascii="宋体" w:hAnsi="宋体" w:eastAsia="宋体" w:cs="宋体"/>
                <w:color w:val="auto"/>
                <w:sz w:val="21"/>
                <w:szCs w:val="21"/>
              </w:rPr>
              <w:t>投标文件的编制、密封、装订、签署、盖章、涂改、删除、插字、公章使用等符合招标文件要求；投标文件的格式、文字、目录、页码等符合招标文件要求或对投标无实质性影响。</w:t>
            </w:r>
          </w:p>
        </w:tc>
      </w:tr>
      <w:tr w14:paraId="129815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29" w:hRule="atLeast"/>
          <w:jc w:val="center"/>
        </w:trPr>
        <w:tc>
          <w:tcPr>
            <w:tcW w:w="457" w:type="dxa"/>
            <w:vMerge w:val="continue"/>
            <w:tcBorders>
              <w:left w:val="single" w:color="auto" w:sz="4" w:space="0"/>
              <w:right w:val="single" w:color="auto" w:sz="4" w:space="0"/>
            </w:tcBorders>
            <w:vAlign w:val="center"/>
          </w:tcPr>
          <w:p w14:paraId="094D2466">
            <w:pPr>
              <w:keepNext w:val="0"/>
              <w:keepLines w:val="0"/>
              <w:suppressLineNumbers w:val="0"/>
              <w:spacing w:before="0" w:beforeAutospacing="0" w:after="0" w:afterAutospacing="0"/>
              <w:ind w:left="0" w:right="0"/>
              <w:rPr>
                <w:rFonts w:hint="default"/>
              </w:rPr>
            </w:pPr>
          </w:p>
        </w:tc>
        <w:tc>
          <w:tcPr>
            <w:tcW w:w="1970" w:type="dxa"/>
            <w:tcBorders>
              <w:top w:val="single" w:color="auto" w:sz="4" w:space="0"/>
              <w:left w:val="single" w:color="auto" w:sz="4" w:space="0"/>
              <w:bottom w:val="single" w:color="auto" w:sz="4" w:space="0"/>
              <w:right w:val="single" w:color="auto" w:sz="4" w:space="0"/>
            </w:tcBorders>
            <w:vAlign w:val="center"/>
          </w:tcPr>
          <w:p w14:paraId="580A8D98">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1"/>
                <w:szCs w:val="21"/>
              </w:rPr>
            </w:pPr>
            <w:r>
              <w:rPr>
                <w:rFonts w:hint="eastAsia" w:ascii="宋体" w:hAnsi="宋体" w:eastAsia="宋体" w:cs="宋体"/>
                <w:color w:val="auto"/>
                <w:sz w:val="21"/>
                <w:szCs w:val="21"/>
              </w:rPr>
              <w:t>主要商务条款</w:t>
            </w:r>
          </w:p>
        </w:tc>
        <w:tc>
          <w:tcPr>
            <w:tcW w:w="6030" w:type="dxa"/>
            <w:tcBorders>
              <w:top w:val="single" w:color="auto" w:sz="4" w:space="0"/>
              <w:left w:val="single" w:color="auto" w:sz="4" w:space="0"/>
              <w:bottom w:val="single" w:color="auto" w:sz="4" w:space="0"/>
              <w:right w:val="single" w:color="auto" w:sz="4" w:space="0"/>
            </w:tcBorders>
            <w:vAlign w:val="center"/>
          </w:tcPr>
          <w:p w14:paraId="0E452B0C">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1"/>
                <w:szCs w:val="21"/>
              </w:rPr>
            </w:pPr>
            <w:r>
              <w:rPr>
                <w:rFonts w:hint="eastAsia" w:ascii="宋体" w:hAnsi="宋体" w:eastAsia="宋体" w:cs="宋体"/>
                <w:color w:val="auto"/>
                <w:sz w:val="21"/>
                <w:szCs w:val="21"/>
              </w:rPr>
              <w:t>满足招标文件关于交付使用时间、质保期、付款方式要求。</w:t>
            </w:r>
          </w:p>
        </w:tc>
      </w:tr>
      <w:tr w14:paraId="584C79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03" w:hRule="atLeast"/>
          <w:jc w:val="center"/>
        </w:trPr>
        <w:tc>
          <w:tcPr>
            <w:tcW w:w="457" w:type="dxa"/>
            <w:vMerge w:val="continue"/>
            <w:tcBorders>
              <w:left w:val="single" w:color="auto" w:sz="4" w:space="0"/>
              <w:right w:val="single" w:color="auto" w:sz="4" w:space="0"/>
            </w:tcBorders>
            <w:vAlign w:val="center"/>
          </w:tcPr>
          <w:p w14:paraId="2AF1E59C">
            <w:pPr>
              <w:keepNext w:val="0"/>
              <w:keepLines w:val="0"/>
              <w:suppressLineNumbers w:val="0"/>
              <w:spacing w:before="0" w:beforeAutospacing="0" w:after="0" w:afterAutospacing="0"/>
              <w:ind w:left="0" w:right="0"/>
              <w:rPr>
                <w:rFonts w:hint="default"/>
              </w:rPr>
            </w:pPr>
          </w:p>
        </w:tc>
        <w:tc>
          <w:tcPr>
            <w:tcW w:w="1970" w:type="dxa"/>
            <w:tcBorders>
              <w:top w:val="single" w:color="auto" w:sz="4" w:space="0"/>
              <w:left w:val="single" w:color="auto" w:sz="4" w:space="0"/>
              <w:bottom w:val="single" w:color="auto" w:sz="4" w:space="0"/>
              <w:right w:val="single" w:color="auto" w:sz="4" w:space="0"/>
            </w:tcBorders>
            <w:vAlign w:val="center"/>
          </w:tcPr>
          <w:p w14:paraId="2D0A2F4C">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1"/>
                <w:szCs w:val="21"/>
              </w:rPr>
            </w:pPr>
            <w:r>
              <w:rPr>
                <w:rFonts w:hint="eastAsia" w:ascii="宋体" w:hAnsi="宋体" w:eastAsia="宋体" w:cs="宋体"/>
                <w:color w:val="auto"/>
                <w:sz w:val="21"/>
                <w:szCs w:val="21"/>
              </w:rPr>
              <w:t>附加条件</w:t>
            </w:r>
          </w:p>
        </w:tc>
        <w:tc>
          <w:tcPr>
            <w:tcW w:w="6030" w:type="dxa"/>
            <w:tcBorders>
              <w:top w:val="single" w:color="auto" w:sz="4" w:space="0"/>
              <w:left w:val="single" w:color="auto" w:sz="4" w:space="0"/>
              <w:bottom w:val="single" w:color="auto" w:sz="4" w:space="0"/>
              <w:right w:val="single" w:color="auto" w:sz="4" w:space="0"/>
            </w:tcBorders>
            <w:vAlign w:val="center"/>
          </w:tcPr>
          <w:p w14:paraId="5CABEBDF">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1"/>
                <w:szCs w:val="21"/>
              </w:rPr>
            </w:pPr>
            <w:r>
              <w:rPr>
                <w:rFonts w:hint="eastAsia" w:ascii="宋体" w:hAnsi="宋体" w:eastAsia="宋体" w:cs="宋体"/>
                <w:color w:val="auto"/>
                <w:sz w:val="21"/>
                <w:szCs w:val="21"/>
              </w:rPr>
              <w:t>投标文件中不含采购人不能接受的附加条件。</w:t>
            </w:r>
          </w:p>
        </w:tc>
      </w:tr>
      <w:tr w14:paraId="16C690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457" w:type="dxa"/>
            <w:vMerge w:val="continue"/>
            <w:tcBorders>
              <w:left w:val="single" w:color="auto" w:sz="4" w:space="0"/>
              <w:right w:val="single" w:color="auto" w:sz="4" w:space="0"/>
            </w:tcBorders>
            <w:vAlign w:val="center"/>
          </w:tcPr>
          <w:p w14:paraId="39AD5C76">
            <w:pPr>
              <w:keepNext w:val="0"/>
              <w:keepLines w:val="0"/>
              <w:suppressLineNumbers w:val="0"/>
              <w:spacing w:before="0" w:beforeAutospacing="0" w:after="0" w:afterAutospacing="0"/>
              <w:ind w:left="0" w:right="0"/>
              <w:rPr>
                <w:rFonts w:hint="default"/>
              </w:rPr>
            </w:pPr>
          </w:p>
        </w:tc>
        <w:tc>
          <w:tcPr>
            <w:tcW w:w="1970" w:type="dxa"/>
            <w:tcBorders>
              <w:top w:val="single" w:color="auto" w:sz="4" w:space="0"/>
              <w:left w:val="single" w:color="auto" w:sz="4" w:space="0"/>
              <w:bottom w:val="single" w:color="auto" w:sz="4" w:space="0"/>
              <w:right w:val="single" w:color="auto" w:sz="4" w:space="0"/>
            </w:tcBorders>
            <w:vAlign w:val="center"/>
          </w:tcPr>
          <w:p w14:paraId="373502EF">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1"/>
                <w:szCs w:val="21"/>
              </w:rPr>
            </w:pPr>
            <w:r>
              <w:rPr>
                <w:rFonts w:hint="eastAsia" w:ascii="宋体" w:hAnsi="宋体" w:eastAsia="宋体" w:cs="宋体"/>
                <w:color w:val="auto"/>
                <w:sz w:val="21"/>
                <w:szCs w:val="21"/>
              </w:rPr>
              <w:t>联合体投标</w:t>
            </w:r>
          </w:p>
        </w:tc>
        <w:tc>
          <w:tcPr>
            <w:tcW w:w="6030" w:type="dxa"/>
            <w:tcBorders>
              <w:top w:val="single" w:color="auto" w:sz="4" w:space="0"/>
              <w:left w:val="single" w:color="auto" w:sz="4" w:space="0"/>
              <w:bottom w:val="single" w:color="auto" w:sz="4" w:space="0"/>
              <w:right w:val="single" w:color="auto" w:sz="4" w:space="0"/>
            </w:tcBorders>
            <w:vAlign w:val="center"/>
          </w:tcPr>
          <w:p w14:paraId="2DEFB7CB">
            <w:pPr>
              <w:keepNext w:val="0"/>
              <w:keepLines w:val="0"/>
              <w:suppressLineNumbers w:val="0"/>
              <w:snapToGrid w:val="0"/>
              <w:spacing w:before="0" w:beforeAutospacing="0" w:after="0" w:afterAutospacing="0" w:line="240" w:lineRule="auto"/>
              <w:ind w:left="0" w:right="0"/>
              <w:jc w:val="left"/>
              <w:rPr>
                <w:rFonts w:hint="eastAsia" w:ascii="宋体" w:hAnsi="宋体" w:eastAsia="宋体" w:cs="宋体"/>
                <w:color w:val="auto"/>
                <w:sz w:val="21"/>
                <w:szCs w:val="21"/>
              </w:rPr>
            </w:pPr>
            <w:r>
              <w:rPr>
                <w:rFonts w:hint="eastAsia" w:ascii="宋体" w:hAnsi="宋体" w:eastAsia="宋体" w:cs="宋体"/>
                <w:color w:val="auto"/>
                <w:sz w:val="21"/>
                <w:szCs w:val="21"/>
              </w:rPr>
              <w:t>本项目不接受联合体投标。（如要求联合体投标，符合本招标文件对联合体投标的相关要求）</w:t>
            </w:r>
          </w:p>
        </w:tc>
      </w:tr>
      <w:tr w14:paraId="637538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72" w:hRule="atLeast"/>
          <w:jc w:val="center"/>
        </w:trPr>
        <w:tc>
          <w:tcPr>
            <w:tcW w:w="457" w:type="dxa"/>
            <w:vMerge w:val="continue"/>
            <w:tcBorders>
              <w:left w:val="single" w:color="auto" w:sz="4" w:space="0"/>
              <w:right w:val="single" w:color="auto" w:sz="4" w:space="0"/>
            </w:tcBorders>
            <w:vAlign w:val="center"/>
          </w:tcPr>
          <w:p w14:paraId="7F6D8B4B">
            <w:pPr>
              <w:keepNext w:val="0"/>
              <w:keepLines w:val="0"/>
              <w:suppressLineNumbers w:val="0"/>
              <w:spacing w:before="0" w:beforeAutospacing="0" w:after="0" w:afterAutospacing="0"/>
              <w:ind w:left="0" w:right="0"/>
              <w:rPr>
                <w:rFonts w:hint="default"/>
              </w:rPr>
            </w:pPr>
          </w:p>
        </w:tc>
        <w:tc>
          <w:tcPr>
            <w:tcW w:w="1970" w:type="dxa"/>
            <w:vMerge w:val="restart"/>
            <w:tcBorders>
              <w:top w:val="single" w:color="auto" w:sz="4" w:space="0"/>
              <w:left w:val="single" w:color="auto" w:sz="4" w:space="0"/>
              <w:right w:val="single" w:color="auto" w:sz="4" w:space="0"/>
            </w:tcBorders>
            <w:vAlign w:val="center"/>
          </w:tcPr>
          <w:p w14:paraId="79A709DB">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1"/>
                <w:szCs w:val="21"/>
              </w:rPr>
            </w:pPr>
            <w:r>
              <w:rPr>
                <w:rFonts w:hint="eastAsia" w:ascii="宋体" w:hAnsi="宋体" w:eastAsia="宋体" w:cs="宋体"/>
                <w:color w:val="auto"/>
                <w:sz w:val="21"/>
                <w:szCs w:val="21"/>
              </w:rPr>
              <w:t>技术部分实质性内容</w:t>
            </w:r>
          </w:p>
        </w:tc>
        <w:tc>
          <w:tcPr>
            <w:tcW w:w="6030" w:type="dxa"/>
            <w:tcBorders>
              <w:top w:val="single" w:color="auto" w:sz="4" w:space="0"/>
              <w:left w:val="single" w:color="auto" w:sz="4" w:space="0"/>
              <w:right w:val="single" w:color="auto" w:sz="4" w:space="0"/>
            </w:tcBorders>
            <w:vAlign w:val="center"/>
          </w:tcPr>
          <w:p w14:paraId="557B0566">
            <w:pPr>
              <w:keepNext w:val="0"/>
              <w:keepLines w:val="0"/>
              <w:suppressLineNumbers w:val="0"/>
              <w:snapToGrid w:val="0"/>
              <w:spacing w:before="0" w:beforeAutospacing="0" w:after="0" w:afterAutospacing="0" w:line="240" w:lineRule="auto"/>
              <w:ind w:left="0" w:right="0"/>
              <w:jc w:val="left"/>
              <w:rPr>
                <w:rFonts w:hint="eastAsia" w:ascii="宋体" w:hAnsi="宋体" w:eastAsia="宋体" w:cs="宋体"/>
                <w:color w:val="auto"/>
                <w:sz w:val="21"/>
                <w:szCs w:val="21"/>
                <w:lang w:eastAsia="zh-CN"/>
              </w:rPr>
            </w:pPr>
            <w:r>
              <w:rPr>
                <w:rFonts w:hint="eastAsia" w:ascii="宋体" w:hAnsi="宋体" w:eastAsia="宋体" w:cs="宋体"/>
                <w:color w:val="auto"/>
                <w:sz w:val="21"/>
                <w:szCs w:val="21"/>
              </w:rPr>
              <w:t>明确所投全部货物的产品品牌、型号</w:t>
            </w:r>
            <w:r>
              <w:rPr>
                <w:rFonts w:hint="eastAsia" w:ascii="宋体" w:hAnsi="宋体" w:eastAsia="宋体" w:cs="宋体"/>
                <w:color w:val="auto"/>
                <w:sz w:val="21"/>
                <w:szCs w:val="21"/>
                <w:lang w:eastAsia="zh-CN"/>
              </w:rPr>
              <w:t>。</w:t>
            </w:r>
          </w:p>
        </w:tc>
      </w:tr>
      <w:tr w14:paraId="51BA3D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4" w:hRule="atLeast"/>
          <w:jc w:val="center"/>
        </w:trPr>
        <w:tc>
          <w:tcPr>
            <w:tcW w:w="457" w:type="dxa"/>
            <w:vMerge w:val="continue"/>
            <w:tcBorders>
              <w:left w:val="single" w:color="auto" w:sz="4" w:space="0"/>
              <w:right w:val="single" w:color="auto" w:sz="4" w:space="0"/>
            </w:tcBorders>
            <w:vAlign w:val="center"/>
          </w:tcPr>
          <w:p w14:paraId="65D67739">
            <w:pPr>
              <w:keepNext w:val="0"/>
              <w:keepLines w:val="0"/>
              <w:suppressLineNumbers w:val="0"/>
              <w:spacing w:before="0" w:beforeAutospacing="0" w:after="0" w:afterAutospacing="0"/>
              <w:ind w:left="0" w:right="0"/>
              <w:rPr>
                <w:rFonts w:hint="default"/>
              </w:rPr>
            </w:pPr>
          </w:p>
        </w:tc>
        <w:tc>
          <w:tcPr>
            <w:tcW w:w="1970" w:type="dxa"/>
            <w:vMerge w:val="continue"/>
            <w:tcBorders>
              <w:top w:val="single" w:color="auto" w:sz="4" w:space="0"/>
              <w:left w:val="single" w:color="auto" w:sz="4" w:space="0"/>
              <w:right w:val="single" w:color="auto" w:sz="4" w:space="0"/>
            </w:tcBorders>
            <w:vAlign w:val="center"/>
          </w:tcPr>
          <w:p w14:paraId="73E8F111">
            <w:pPr>
              <w:keepNext w:val="0"/>
              <w:keepLines w:val="0"/>
              <w:suppressLineNumbers w:val="0"/>
              <w:spacing w:before="0" w:beforeAutospacing="0" w:after="0" w:afterAutospacing="0"/>
              <w:ind w:left="0" w:right="0"/>
              <w:rPr>
                <w:rFonts w:hint="default"/>
                <w:color w:val="auto"/>
              </w:rPr>
            </w:pPr>
          </w:p>
        </w:tc>
        <w:tc>
          <w:tcPr>
            <w:tcW w:w="6030" w:type="dxa"/>
            <w:tcBorders>
              <w:top w:val="single" w:color="auto" w:sz="4" w:space="0"/>
              <w:left w:val="single" w:color="auto" w:sz="4" w:space="0"/>
              <w:right w:val="single" w:color="auto" w:sz="4" w:space="0"/>
            </w:tcBorders>
            <w:vAlign w:val="center"/>
          </w:tcPr>
          <w:p w14:paraId="5BDECBEC">
            <w:pPr>
              <w:keepNext w:val="0"/>
              <w:keepLines w:val="0"/>
              <w:suppressLineNumbers w:val="0"/>
              <w:snapToGrid w:val="0"/>
              <w:spacing w:before="0" w:beforeAutospacing="0" w:after="0" w:afterAutospacing="0" w:line="240" w:lineRule="auto"/>
              <w:ind w:left="0" w:right="0"/>
              <w:jc w:val="left"/>
              <w:rPr>
                <w:rFonts w:hint="eastAsia" w:ascii="宋体" w:hAnsi="宋体" w:eastAsia="宋体" w:cs="宋体"/>
                <w:color w:val="auto"/>
                <w:sz w:val="21"/>
                <w:szCs w:val="21"/>
              </w:rPr>
            </w:pPr>
            <w:r>
              <w:rPr>
                <w:rFonts w:hint="eastAsia" w:ascii="宋体" w:hAnsi="宋体" w:eastAsia="宋体" w:cs="宋体"/>
                <w:color w:val="auto"/>
                <w:sz w:val="21"/>
                <w:szCs w:val="21"/>
              </w:rPr>
              <w:t>主要技术参数指标（加“</w:t>
            </w:r>
            <w:r>
              <w:rPr>
                <w:rFonts w:hint="eastAsia" w:ascii="宋体" w:hAnsi="宋体" w:eastAsia="宋体" w:cs="宋体"/>
                <w:color w:val="auto"/>
                <w:sz w:val="21"/>
                <w:szCs w:val="21"/>
                <w:lang w:bidi="lo-LA"/>
              </w:rPr>
              <w:t>*</w:t>
            </w:r>
            <w:r>
              <w:rPr>
                <w:rFonts w:hint="eastAsia" w:ascii="宋体" w:hAnsi="宋体" w:eastAsia="宋体" w:cs="宋体"/>
                <w:color w:val="auto"/>
                <w:sz w:val="21"/>
                <w:szCs w:val="21"/>
              </w:rPr>
              <w:t>”项）完全满足或优于招标文件要求。</w:t>
            </w:r>
          </w:p>
        </w:tc>
      </w:tr>
      <w:tr w14:paraId="638117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17" w:hRule="atLeast"/>
          <w:jc w:val="center"/>
        </w:trPr>
        <w:tc>
          <w:tcPr>
            <w:tcW w:w="457" w:type="dxa"/>
            <w:vMerge w:val="continue"/>
            <w:tcBorders>
              <w:left w:val="single" w:color="auto" w:sz="4" w:space="0"/>
              <w:right w:val="single" w:color="auto" w:sz="4" w:space="0"/>
            </w:tcBorders>
            <w:vAlign w:val="center"/>
          </w:tcPr>
          <w:p w14:paraId="60E67B91">
            <w:pPr>
              <w:keepNext w:val="0"/>
              <w:keepLines w:val="0"/>
              <w:suppressLineNumbers w:val="0"/>
              <w:spacing w:before="0" w:beforeAutospacing="0" w:after="0" w:afterAutospacing="0"/>
              <w:ind w:left="0" w:right="0"/>
              <w:rPr>
                <w:rFonts w:hint="default"/>
              </w:rPr>
            </w:pPr>
          </w:p>
        </w:tc>
        <w:tc>
          <w:tcPr>
            <w:tcW w:w="1970" w:type="dxa"/>
            <w:vMerge w:val="continue"/>
            <w:tcBorders>
              <w:top w:val="single" w:color="auto" w:sz="4" w:space="0"/>
              <w:left w:val="single" w:color="auto" w:sz="4" w:space="0"/>
              <w:right w:val="single" w:color="auto" w:sz="4" w:space="0"/>
            </w:tcBorders>
            <w:vAlign w:val="center"/>
          </w:tcPr>
          <w:p w14:paraId="185669A2">
            <w:pPr>
              <w:keepNext w:val="0"/>
              <w:keepLines w:val="0"/>
              <w:suppressLineNumbers w:val="0"/>
              <w:spacing w:before="0" w:beforeAutospacing="0" w:after="0" w:afterAutospacing="0"/>
              <w:ind w:left="0" w:right="0"/>
              <w:rPr>
                <w:rFonts w:hint="default"/>
              </w:rPr>
            </w:pPr>
          </w:p>
        </w:tc>
        <w:tc>
          <w:tcPr>
            <w:tcW w:w="6030" w:type="dxa"/>
            <w:tcBorders>
              <w:top w:val="single" w:color="auto" w:sz="4" w:space="0"/>
              <w:left w:val="single" w:color="auto" w:sz="4" w:space="0"/>
              <w:right w:val="single" w:color="auto" w:sz="4" w:space="0"/>
            </w:tcBorders>
            <w:vAlign w:val="center"/>
          </w:tcPr>
          <w:p w14:paraId="0B2724F3">
            <w:pPr>
              <w:keepNext w:val="0"/>
              <w:keepLines w:val="0"/>
              <w:suppressLineNumbers w:val="0"/>
              <w:snapToGrid w:val="0"/>
              <w:spacing w:before="0" w:beforeAutospacing="0" w:after="0" w:afterAutospacing="0" w:line="240" w:lineRule="auto"/>
              <w:ind w:left="0" w:right="0"/>
              <w:jc w:val="left"/>
              <w:rPr>
                <w:rFonts w:hint="eastAsia" w:ascii="宋体" w:hAnsi="宋体" w:eastAsia="宋体" w:cs="宋体"/>
                <w:sz w:val="21"/>
                <w:szCs w:val="21"/>
              </w:rPr>
            </w:pPr>
            <w:r>
              <w:rPr>
                <w:rFonts w:hint="eastAsia" w:ascii="宋体" w:hAnsi="宋体" w:eastAsia="宋体" w:cs="宋体"/>
                <w:sz w:val="21"/>
                <w:szCs w:val="21"/>
              </w:rPr>
              <w:t>技术参数明确响应程度，逐一对应并作出响应说明。</w:t>
            </w:r>
          </w:p>
        </w:tc>
      </w:tr>
      <w:tr w14:paraId="47ADA4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0" w:hRule="atLeast"/>
          <w:jc w:val="center"/>
        </w:trPr>
        <w:tc>
          <w:tcPr>
            <w:tcW w:w="457" w:type="dxa"/>
            <w:vMerge w:val="continue"/>
            <w:tcBorders>
              <w:left w:val="single" w:color="auto" w:sz="4" w:space="0"/>
              <w:right w:val="single" w:color="auto" w:sz="4" w:space="0"/>
            </w:tcBorders>
            <w:vAlign w:val="center"/>
          </w:tcPr>
          <w:p w14:paraId="5EA94A36">
            <w:pPr>
              <w:keepNext w:val="0"/>
              <w:keepLines w:val="0"/>
              <w:suppressLineNumbers w:val="0"/>
              <w:spacing w:before="0" w:beforeAutospacing="0" w:after="0" w:afterAutospacing="0"/>
              <w:ind w:left="0" w:right="0"/>
              <w:rPr>
                <w:rFonts w:hint="default"/>
              </w:rPr>
            </w:pPr>
          </w:p>
        </w:tc>
        <w:tc>
          <w:tcPr>
            <w:tcW w:w="1970" w:type="dxa"/>
            <w:tcBorders>
              <w:top w:val="single" w:color="auto" w:sz="4" w:space="0"/>
              <w:left w:val="single" w:color="auto" w:sz="4" w:space="0"/>
              <w:bottom w:val="single" w:color="auto" w:sz="4" w:space="0"/>
              <w:right w:val="single" w:color="auto" w:sz="4" w:space="0"/>
            </w:tcBorders>
            <w:vAlign w:val="center"/>
          </w:tcPr>
          <w:p w14:paraId="144E0924">
            <w:pPr>
              <w:keepNext w:val="0"/>
              <w:keepLines w:val="0"/>
              <w:suppressLineNumbers w:val="0"/>
              <w:spacing w:before="0" w:beforeAutospacing="0" w:after="0" w:afterAutospacing="0" w:line="240" w:lineRule="auto"/>
              <w:ind w:left="0" w:right="0"/>
              <w:jc w:val="left"/>
              <w:rPr>
                <w:rFonts w:hint="eastAsia" w:ascii="宋体" w:hAnsi="宋体" w:eastAsia="宋体" w:cs="宋体"/>
                <w:sz w:val="21"/>
                <w:szCs w:val="21"/>
              </w:rPr>
            </w:pPr>
            <w:r>
              <w:rPr>
                <w:rFonts w:hint="eastAsia" w:ascii="宋体" w:hAnsi="宋体" w:eastAsia="宋体" w:cs="宋体"/>
                <w:sz w:val="21"/>
                <w:szCs w:val="21"/>
              </w:rPr>
              <w:t>投标报价</w:t>
            </w:r>
          </w:p>
        </w:tc>
        <w:tc>
          <w:tcPr>
            <w:tcW w:w="6030" w:type="dxa"/>
            <w:tcBorders>
              <w:top w:val="single" w:color="auto" w:sz="4" w:space="0"/>
              <w:left w:val="single" w:color="auto" w:sz="4" w:space="0"/>
              <w:bottom w:val="single" w:color="auto" w:sz="4" w:space="0"/>
              <w:right w:val="single" w:color="auto" w:sz="4" w:space="0"/>
            </w:tcBorders>
            <w:vAlign w:val="center"/>
          </w:tcPr>
          <w:p w14:paraId="28B1E940">
            <w:pPr>
              <w:keepNext w:val="0"/>
              <w:keepLines w:val="0"/>
              <w:suppressLineNumbers w:val="0"/>
              <w:snapToGrid w:val="0"/>
              <w:spacing w:before="0" w:beforeAutospacing="0" w:after="0" w:afterAutospacing="0" w:line="240" w:lineRule="auto"/>
              <w:ind w:left="0" w:right="0"/>
              <w:jc w:val="left"/>
              <w:rPr>
                <w:rFonts w:hint="eastAsia" w:ascii="宋体" w:hAnsi="宋体" w:eastAsia="宋体" w:cs="宋体"/>
                <w:sz w:val="21"/>
                <w:szCs w:val="21"/>
              </w:rPr>
            </w:pPr>
            <w:r>
              <w:rPr>
                <w:rFonts w:hint="eastAsia" w:ascii="宋体" w:hAnsi="宋体" w:eastAsia="宋体" w:cs="宋体"/>
                <w:sz w:val="21"/>
                <w:szCs w:val="21"/>
              </w:rPr>
              <w:t>只能有一个有效报价且不超过采购预算。</w:t>
            </w:r>
          </w:p>
        </w:tc>
      </w:tr>
      <w:tr w14:paraId="164E89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61" w:hRule="atLeast"/>
          <w:jc w:val="center"/>
        </w:trPr>
        <w:tc>
          <w:tcPr>
            <w:tcW w:w="457" w:type="dxa"/>
            <w:vMerge w:val="continue"/>
            <w:tcBorders>
              <w:left w:val="single" w:color="auto" w:sz="4" w:space="0"/>
              <w:right w:val="single" w:color="auto" w:sz="4" w:space="0"/>
            </w:tcBorders>
            <w:vAlign w:val="center"/>
          </w:tcPr>
          <w:p w14:paraId="33D5812F">
            <w:pPr>
              <w:keepNext w:val="0"/>
              <w:keepLines w:val="0"/>
              <w:suppressLineNumbers w:val="0"/>
              <w:spacing w:before="0" w:beforeAutospacing="0" w:after="0" w:afterAutospacing="0"/>
              <w:ind w:left="0" w:right="0"/>
              <w:rPr>
                <w:rFonts w:hint="default"/>
              </w:rPr>
            </w:pPr>
          </w:p>
        </w:tc>
        <w:tc>
          <w:tcPr>
            <w:tcW w:w="1970" w:type="dxa"/>
            <w:tcBorders>
              <w:top w:val="single" w:color="auto" w:sz="4" w:space="0"/>
              <w:left w:val="single" w:color="auto" w:sz="4" w:space="0"/>
              <w:right w:val="single" w:color="auto" w:sz="4" w:space="0"/>
            </w:tcBorders>
            <w:vAlign w:val="center"/>
          </w:tcPr>
          <w:p w14:paraId="25117F3C">
            <w:pPr>
              <w:keepNext w:val="0"/>
              <w:keepLines w:val="0"/>
              <w:suppressLineNumbers w:val="0"/>
              <w:spacing w:before="0" w:beforeAutospacing="0" w:after="0" w:afterAutospacing="0" w:line="240" w:lineRule="auto"/>
              <w:ind w:left="0" w:right="0"/>
              <w:jc w:val="left"/>
              <w:rPr>
                <w:rFonts w:hint="eastAsia" w:ascii="宋体" w:hAnsi="宋体" w:eastAsia="宋体" w:cs="宋体"/>
                <w:sz w:val="21"/>
                <w:szCs w:val="21"/>
              </w:rPr>
            </w:pPr>
            <w:r>
              <w:rPr>
                <w:rFonts w:hint="eastAsia" w:ascii="宋体" w:hAnsi="宋体" w:eastAsia="宋体" w:cs="宋体"/>
                <w:sz w:val="21"/>
                <w:szCs w:val="21"/>
              </w:rPr>
              <w:t>其他要求</w:t>
            </w:r>
          </w:p>
        </w:tc>
        <w:tc>
          <w:tcPr>
            <w:tcW w:w="6030" w:type="dxa"/>
            <w:tcBorders>
              <w:top w:val="single" w:color="auto" w:sz="4" w:space="0"/>
              <w:left w:val="single" w:color="auto" w:sz="4" w:space="0"/>
              <w:right w:val="single" w:color="auto" w:sz="4" w:space="0"/>
            </w:tcBorders>
            <w:vAlign w:val="center"/>
          </w:tcPr>
          <w:p w14:paraId="4CE9B68A">
            <w:pPr>
              <w:keepNext w:val="0"/>
              <w:keepLines w:val="0"/>
              <w:suppressLineNumbers w:val="0"/>
              <w:spacing w:before="0" w:beforeAutospacing="0" w:after="0" w:afterAutospacing="0" w:line="240" w:lineRule="auto"/>
              <w:ind w:left="0" w:right="0"/>
              <w:jc w:val="left"/>
              <w:rPr>
                <w:rFonts w:hint="eastAsia" w:ascii="宋体" w:hAnsi="宋体" w:eastAsia="宋体" w:cs="宋体"/>
                <w:sz w:val="21"/>
                <w:szCs w:val="21"/>
              </w:rPr>
            </w:pPr>
            <w:r>
              <w:rPr>
                <w:rFonts w:hint="eastAsia" w:ascii="宋体" w:hAnsi="宋体" w:eastAsia="宋体" w:cs="宋体"/>
                <w:sz w:val="21"/>
                <w:szCs w:val="21"/>
              </w:rPr>
              <w:t>招标文件要求的其他无效投标情形；围标、串标和法律法规规定的其它无效投标条款。</w:t>
            </w:r>
          </w:p>
        </w:tc>
      </w:tr>
    </w:tbl>
    <w:p w14:paraId="1FB791F2">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b/>
          <w:bCs/>
          <w:sz w:val="28"/>
          <w:szCs w:val="28"/>
          <w:lang w:val="en-US" w:eastAsia="zh-CN"/>
        </w:rPr>
      </w:pPr>
    </w:p>
    <w:p w14:paraId="7E19F412">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b/>
          <w:bCs/>
          <w:sz w:val="28"/>
          <w:szCs w:val="28"/>
          <w:lang w:val="en-US" w:eastAsia="zh-CN"/>
        </w:rPr>
      </w:pPr>
    </w:p>
    <w:p w14:paraId="75881239">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b/>
          <w:bCs/>
          <w:sz w:val="28"/>
          <w:szCs w:val="28"/>
          <w:lang w:val="en-US" w:eastAsia="zh-CN"/>
        </w:rPr>
      </w:pPr>
    </w:p>
    <w:p w14:paraId="70E4B913">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表2：综合评审表</w:t>
      </w:r>
    </w:p>
    <w:tbl>
      <w:tblPr>
        <w:tblStyle w:val="13"/>
        <w:tblpPr w:vertAnchor="text" w:tblpX="-108" w:tblpY="1"/>
        <w:tblW w:w="8864" w:type="dxa"/>
        <w:tblInd w:w="0" w:type="dxa"/>
        <w:tblLayout w:type="fixed"/>
        <w:tblCellMar>
          <w:top w:w="0" w:type="dxa"/>
          <w:left w:w="0" w:type="dxa"/>
          <w:bottom w:w="0" w:type="dxa"/>
          <w:right w:w="0" w:type="dxa"/>
        </w:tblCellMar>
      </w:tblPr>
      <w:tblGrid>
        <w:gridCol w:w="528"/>
        <w:gridCol w:w="1701"/>
        <w:gridCol w:w="6635"/>
      </w:tblGrid>
      <w:tr w14:paraId="656DAEF7">
        <w:tblPrEx>
          <w:tblCellMar>
            <w:top w:w="0" w:type="dxa"/>
            <w:left w:w="0" w:type="dxa"/>
            <w:bottom w:w="0" w:type="dxa"/>
            <w:right w:w="0" w:type="dxa"/>
          </w:tblCellMar>
        </w:tblPrEx>
        <w:trPr>
          <w:trHeight w:val="401" w:hRule="atLeast"/>
        </w:trPr>
        <w:tc>
          <w:tcPr>
            <w:tcW w:w="2229" w:type="dxa"/>
            <w:gridSpan w:val="2"/>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2A9C6DF1">
            <w:pPr>
              <w:wordWrap w:val="0"/>
              <w:jc w:val="left"/>
              <w:rPr>
                <w:rFonts w:ascii="宋体" w:hAnsi="宋体" w:eastAsia="宋体"/>
                <w:szCs w:val="21"/>
              </w:rPr>
            </w:pPr>
            <w:r>
              <w:rPr>
                <w:rFonts w:ascii="宋体" w:hAnsi="宋体" w:eastAsia="宋体"/>
                <w:szCs w:val="21"/>
              </w:rPr>
              <w:t>评审因素</w:t>
            </w:r>
          </w:p>
        </w:tc>
        <w:tc>
          <w:tcPr>
            <w:tcW w:w="6635" w:type="dxa"/>
            <w:tcBorders>
              <w:top w:val="single" w:color="000000" w:sz="4" w:space="0"/>
              <w:bottom w:val="single" w:color="000000" w:sz="4" w:space="0"/>
              <w:right w:val="single" w:color="000000" w:sz="4" w:space="0"/>
            </w:tcBorders>
            <w:shd w:val="clear" w:color="auto" w:fill="auto"/>
            <w:tcMar>
              <w:left w:w="108" w:type="dxa"/>
              <w:right w:w="108" w:type="dxa"/>
            </w:tcMar>
            <w:vAlign w:val="center"/>
          </w:tcPr>
          <w:p w14:paraId="5A4ACE46">
            <w:pPr>
              <w:wordWrap w:val="0"/>
              <w:jc w:val="left"/>
              <w:rPr>
                <w:rFonts w:ascii="宋体" w:hAnsi="宋体" w:eastAsia="宋体"/>
                <w:szCs w:val="21"/>
              </w:rPr>
            </w:pPr>
            <w:r>
              <w:rPr>
                <w:rFonts w:ascii="宋体" w:hAnsi="宋体" w:eastAsia="宋体"/>
                <w:szCs w:val="21"/>
              </w:rPr>
              <w:t>评分标准</w:t>
            </w:r>
          </w:p>
        </w:tc>
      </w:tr>
      <w:tr w14:paraId="462D193F">
        <w:tblPrEx>
          <w:tblCellMar>
            <w:top w:w="0" w:type="dxa"/>
            <w:left w:w="0" w:type="dxa"/>
            <w:bottom w:w="0" w:type="dxa"/>
            <w:right w:w="0" w:type="dxa"/>
          </w:tblCellMar>
        </w:tblPrEx>
        <w:trPr>
          <w:trHeight w:val="840" w:hRule="atLeast"/>
        </w:trPr>
        <w:tc>
          <w:tcPr>
            <w:tcW w:w="2229" w:type="dxa"/>
            <w:gridSpan w:val="2"/>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242D2C62">
            <w:pPr>
              <w:wordWrap w:val="0"/>
              <w:jc w:val="left"/>
              <w:rPr>
                <w:rFonts w:ascii="宋体" w:hAnsi="宋体" w:eastAsia="宋体"/>
                <w:szCs w:val="21"/>
              </w:rPr>
            </w:pPr>
            <w:r>
              <w:rPr>
                <w:rFonts w:ascii="宋体" w:hAnsi="宋体" w:eastAsia="宋体"/>
                <w:szCs w:val="21"/>
              </w:rPr>
              <w:t>分值构成</w:t>
            </w:r>
          </w:p>
        </w:tc>
        <w:tc>
          <w:tcPr>
            <w:tcW w:w="6635" w:type="dxa"/>
            <w:tcBorders>
              <w:top w:val="single" w:color="000000" w:sz="4" w:space="0"/>
              <w:bottom w:val="single" w:color="000000" w:sz="4" w:space="0"/>
              <w:right w:val="single" w:color="000000" w:sz="4" w:space="0"/>
            </w:tcBorders>
            <w:shd w:val="clear" w:color="auto" w:fill="auto"/>
            <w:tcMar>
              <w:left w:w="108" w:type="dxa"/>
              <w:right w:w="108" w:type="dxa"/>
            </w:tcMar>
            <w:vAlign w:val="center"/>
          </w:tcPr>
          <w:p w14:paraId="2B798F85">
            <w:pPr>
              <w:wordWrap w:val="0"/>
              <w:jc w:val="left"/>
              <w:rPr>
                <w:rFonts w:ascii="宋体" w:hAnsi="宋体" w:eastAsia="宋体"/>
                <w:szCs w:val="21"/>
              </w:rPr>
            </w:pPr>
            <w:r>
              <w:rPr>
                <w:rFonts w:ascii="宋体" w:hAnsi="宋体" w:eastAsia="宋体"/>
                <w:szCs w:val="21"/>
              </w:rPr>
              <w:t xml:space="preserve">1、报价得分  </w:t>
            </w:r>
            <w:r>
              <w:rPr>
                <w:rFonts w:hint="eastAsia" w:ascii="宋体" w:hAnsi="宋体" w:eastAsia="宋体"/>
                <w:szCs w:val="21"/>
              </w:rPr>
              <w:t>20</w:t>
            </w:r>
            <w:r>
              <w:rPr>
                <w:rFonts w:ascii="宋体" w:hAnsi="宋体" w:eastAsia="宋体"/>
                <w:szCs w:val="21"/>
              </w:rPr>
              <w:t>分；</w:t>
            </w:r>
          </w:p>
          <w:p w14:paraId="2386E027">
            <w:pPr>
              <w:wordWrap w:val="0"/>
              <w:jc w:val="left"/>
              <w:rPr>
                <w:rFonts w:ascii="宋体" w:hAnsi="宋体" w:eastAsia="宋体"/>
                <w:szCs w:val="21"/>
              </w:rPr>
            </w:pPr>
            <w:r>
              <w:rPr>
                <w:rFonts w:ascii="宋体" w:hAnsi="宋体" w:eastAsia="宋体"/>
                <w:szCs w:val="21"/>
              </w:rPr>
              <w:t xml:space="preserve">2、商务部分  </w:t>
            </w:r>
            <w:r>
              <w:rPr>
                <w:rFonts w:hint="eastAsia" w:ascii="宋体" w:hAnsi="宋体" w:eastAsia="宋体"/>
                <w:szCs w:val="21"/>
                <w:lang w:val="en-US" w:eastAsia="zh-CN"/>
              </w:rPr>
              <w:t>3</w:t>
            </w:r>
            <w:r>
              <w:rPr>
                <w:rFonts w:hint="eastAsia" w:ascii="宋体" w:hAnsi="宋体" w:eastAsia="宋体"/>
                <w:szCs w:val="21"/>
              </w:rPr>
              <w:t>0</w:t>
            </w:r>
            <w:r>
              <w:rPr>
                <w:rFonts w:ascii="宋体" w:hAnsi="宋体" w:eastAsia="宋体"/>
                <w:szCs w:val="21"/>
              </w:rPr>
              <w:t>分；</w:t>
            </w:r>
          </w:p>
          <w:p w14:paraId="597AE674">
            <w:pPr>
              <w:wordWrap w:val="0"/>
              <w:jc w:val="left"/>
              <w:rPr>
                <w:rFonts w:ascii="宋体" w:hAnsi="宋体" w:eastAsia="宋体"/>
                <w:szCs w:val="21"/>
              </w:rPr>
            </w:pPr>
            <w:r>
              <w:rPr>
                <w:rFonts w:ascii="宋体" w:hAnsi="宋体" w:eastAsia="宋体"/>
                <w:szCs w:val="21"/>
              </w:rPr>
              <w:t>3、技术部分 </w:t>
            </w:r>
            <w:r>
              <w:rPr>
                <w:rFonts w:hint="eastAsia" w:ascii="宋体" w:hAnsi="宋体" w:eastAsia="宋体"/>
                <w:szCs w:val="21"/>
                <w:lang w:val="en-US" w:eastAsia="zh-CN"/>
              </w:rPr>
              <w:t>5</w:t>
            </w:r>
            <w:r>
              <w:rPr>
                <w:rFonts w:hint="eastAsia" w:ascii="宋体" w:hAnsi="宋体" w:eastAsia="宋体"/>
                <w:szCs w:val="21"/>
              </w:rPr>
              <w:t>0</w:t>
            </w:r>
            <w:r>
              <w:rPr>
                <w:rFonts w:ascii="宋体" w:hAnsi="宋体" w:eastAsia="宋体"/>
                <w:szCs w:val="21"/>
              </w:rPr>
              <w:t>分。</w:t>
            </w:r>
          </w:p>
        </w:tc>
      </w:tr>
      <w:tr w14:paraId="151BACFF">
        <w:tblPrEx>
          <w:tblCellMar>
            <w:top w:w="0" w:type="dxa"/>
            <w:left w:w="0" w:type="dxa"/>
            <w:bottom w:w="0" w:type="dxa"/>
            <w:right w:w="0" w:type="dxa"/>
          </w:tblCellMar>
        </w:tblPrEx>
        <w:trPr>
          <w:trHeight w:val="1503" w:hRule="atLeast"/>
        </w:trPr>
        <w:tc>
          <w:tcPr>
            <w:tcW w:w="528" w:type="dxa"/>
            <w:tcBorders>
              <w:left w:val="single" w:color="000000" w:sz="4" w:space="0"/>
              <w:bottom w:val="single" w:color="000000" w:sz="4" w:space="0"/>
              <w:right w:val="single" w:color="000000" w:sz="4" w:space="0"/>
            </w:tcBorders>
            <w:shd w:val="clear" w:color="auto" w:fill="auto"/>
            <w:tcMar>
              <w:left w:w="108" w:type="dxa"/>
              <w:right w:w="108" w:type="dxa"/>
            </w:tcMar>
            <w:vAlign w:val="center"/>
          </w:tcPr>
          <w:p w14:paraId="69901C8B">
            <w:pPr>
              <w:wordWrap w:val="0"/>
              <w:jc w:val="left"/>
              <w:rPr>
                <w:rFonts w:ascii="宋体" w:hAnsi="宋体" w:eastAsia="宋体"/>
                <w:szCs w:val="21"/>
              </w:rPr>
            </w:pPr>
            <w:r>
              <w:rPr>
                <w:rFonts w:ascii="宋体" w:hAnsi="宋体" w:eastAsia="宋体"/>
                <w:szCs w:val="21"/>
              </w:rPr>
              <w:t>投标报价</w:t>
            </w:r>
          </w:p>
        </w:tc>
        <w:tc>
          <w:tcPr>
            <w:tcW w:w="1701" w:type="dxa"/>
            <w:tcBorders>
              <w:top w:val="single" w:color="000000" w:sz="4" w:space="0"/>
              <w:right w:val="single" w:color="000000" w:sz="4" w:space="0"/>
            </w:tcBorders>
            <w:shd w:val="clear" w:color="auto" w:fill="auto"/>
            <w:tcMar>
              <w:left w:w="108" w:type="dxa"/>
              <w:right w:w="108" w:type="dxa"/>
            </w:tcMar>
            <w:vAlign w:val="center"/>
          </w:tcPr>
          <w:p w14:paraId="234216DA">
            <w:pPr>
              <w:wordWrap w:val="0"/>
              <w:jc w:val="left"/>
              <w:rPr>
                <w:rFonts w:ascii="宋体" w:hAnsi="宋体" w:eastAsia="宋体"/>
                <w:szCs w:val="21"/>
              </w:rPr>
            </w:pPr>
          </w:p>
          <w:p w14:paraId="487D8E00">
            <w:pPr>
              <w:wordWrap w:val="0"/>
              <w:jc w:val="center"/>
              <w:rPr>
                <w:rFonts w:ascii="宋体" w:hAnsi="宋体" w:eastAsia="宋体"/>
                <w:szCs w:val="21"/>
              </w:rPr>
            </w:pPr>
            <w:r>
              <w:rPr>
                <w:rFonts w:ascii="宋体" w:hAnsi="宋体" w:eastAsia="宋体"/>
                <w:szCs w:val="21"/>
              </w:rPr>
              <w:t>投标报价得分</w:t>
            </w:r>
          </w:p>
          <w:p w14:paraId="27358575">
            <w:pPr>
              <w:wordWrap w:val="0"/>
              <w:jc w:val="center"/>
              <w:rPr>
                <w:rFonts w:ascii="宋体" w:hAnsi="宋体" w:eastAsia="宋体"/>
                <w:szCs w:val="21"/>
              </w:rPr>
            </w:pPr>
            <w:r>
              <w:rPr>
                <w:rFonts w:ascii="宋体" w:hAnsi="宋体" w:eastAsia="宋体"/>
                <w:szCs w:val="21"/>
              </w:rPr>
              <w:t>（</w:t>
            </w:r>
            <w:r>
              <w:rPr>
                <w:rFonts w:hint="eastAsia" w:ascii="宋体" w:hAnsi="宋体" w:eastAsia="宋体"/>
                <w:szCs w:val="21"/>
              </w:rPr>
              <w:t>20</w:t>
            </w:r>
            <w:r>
              <w:rPr>
                <w:rFonts w:ascii="宋体" w:hAnsi="宋体" w:eastAsia="宋体"/>
                <w:szCs w:val="21"/>
              </w:rPr>
              <w:t>分）</w:t>
            </w:r>
          </w:p>
        </w:tc>
        <w:tc>
          <w:tcPr>
            <w:tcW w:w="6635" w:type="dxa"/>
            <w:tcBorders>
              <w:top w:val="single" w:color="000000" w:sz="4" w:space="0"/>
              <w:bottom w:val="single" w:color="000000" w:sz="4" w:space="0"/>
              <w:right w:val="single" w:color="000000" w:sz="4" w:space="0"/>
            </w:tcBorders>
            <w:shd w:val="clear" w:color="auto" w:fill="auto"/>
            <w:tcMar>
              <w:left w:w="108" w:type="dxa"/>
              <w:right w:w="108" w:type="dxa"/>
            </w:tcMar>
            <w:vAlign w:val="center"/>
          </w:tcPr>
          <w:p w14:paraId="78D177DE">
            <w:pPr>
              <w:wordWrap w:val="0"/>
              <w:jc w:val="left"/>
              <w:rPr>
                <w:rFonts w:ascii="宋体" w:hAnsi="宋体" w:eastAsia="宋体"/>
                <w:szCs w:val="21"/>
              </w:rPr>
            </w:pPr>
            <w:r>
              <w:rPr>
                <w:rFonts w:hint="eastAsia" w:ascii="宋体" w:hAnsi="宋体" w:eastAsia="宋体"/>
                <w:szCs w:val="21"/>
              </w:rPr>
              <w:t>投标报价得分＝（评标基准价/投标报价）×价格分值【注：满足招标文件要求且投标价格最低的投标报价为评标基准价。】最低报价不是中标的唯一依据。因落实政府采购政策进行价格调整的，以调整后的价格计算评标基准价和投标报价。</w:t>
            </w:r>
          </w:p>
          <w:p w14:paraId="43E6466F">
            <w:pPr>
              <w:wordWrap w:val="0"/>
              <w:jc w:val="left"/>
              <w:rPr>
                <w:rFonts w:ascii="宋体" w:hAnsi="宋体" w:eastAsia="宋体"/>
                <w:szCs w:val="21"/>
                <w:u w:val="single"/>
              </w:rPr>
            </w:pPr>
          </w:p>
        </w:tc>
      </w:tr>
      <w:tr w14:paraId="0EF7CBFA">
        <w:tblPrEx>
          <w:tblCellMar>
            <w:top w:w="0" w:type="dxa"/>
            <w:left w:w="0" w:type="dxa"/>
            <w:bottom w:w="0" w:type="dxa"/>
            <w:right w:w="0" w:type="dxa"/>
          </w:tblCellMar>
        </w:tblPrEx>
        <w:trPr>
          <w:trHeight w:val="567" w:hRule="atLeast"/>
        </w:trPr>
        <w:tc>
          <w:tcPr>
            <w:tcW w:w="528" w:type="dxa"/>
            <w:vMerge w:val="restart"/>
            <w:tcBorders>
              <w:left w:val="single" w:color="000000" w:sz="4" w:space="0"/>
              <w:right w:val="single" w:color="000000" w:sz="4" w:space="0"/>
            </w:tcBorders>
            <w:shd w:val="clear" w:color="auto" w:fill="auto"/>
            <w:tcMar>
              <w:left w:w="108" w:type="dxa"/>
              <w:right w:w="108" w:type="dxa"/>
            </w:tcMar>
            <w:vAlign w:val="center"/>
          </w:tcPr>
          <w:p w14:paraId="482E68DE">
            <w:pPr>
              <w:wordWrap w:val="0"/>
              <w:jc w:val="left"/>
              <w:rPr>
                <w:rFonts w:ascii="宋体" w:hAnsi="宋体" w:eastAsia="宋体"/>
                <w:szCs w:val="21"/>
              </w:rPr>
            </w:pPr>
            <w:r>
              <w:rPr>
                <w:rFonts w:ascii="宋体" w:hAnsi="宋体" w:eastAsia="宋体"/>
                <w:szCs w:val="21"/>
              </w:rPr>
              <w:t>商务部分</w:t>
            </w:r>
          </w:p>
        </w:tc>
        <w:tc>
          <w:tcPr>
            <w:tcW w:w="1701" w:type="dxa"/>
            <w:tcBorders>
              <w:top w:val="single" w:color="000000" w:sz="4" w:space="0"/>
              <w:bottom w:val="single" w:color="000000" w:sz="4" w:space="0"/>
              <w:right w:val="single" w:color="000000" w:sz="4" w:space="0"/>
            </w:tcBorders>
            <w:shd w:val="clear" w:color="auto" w:fill="auto"/>
            <w:tcMar>
              <w:left w:w="108" w:type="dxa"/>
              <w:right w:w="108" w:type="dxa"/>
            </w:tcMar>
            <w:vAlign w:val="center"/>
          </w:tcPr>
          <w:p w14:paraId="2DE31BC2">
            <w:pPr>
              <w:wordWrap w:val="0"/>
              <w:jc w:val="center"/>
              <w:rPr>
                <w:rFonts w:ascii="宋体" w:hAnsi="宋体" w:eastAsia="宋体"/>
                <w:szCs w:val="21"/>
              </w:rPr>
            </w:pPr>
            <w:r>
              <w:rPr>
                <w:rFonts w:ascii="宋体" w:hAnsi="宋体" w:eastAsia="宋体"/>
                <w:szCs w:val="21"/>
              </w:rPr>
              <w:t>业绩</w:t>
            </w:r>
          </w:p>
          <w:p w14:paraId="3AEE12ED">
            <w:pPr>
              <w:wordWrap w:val="0"/>
              <w:jc w:val="center"/>
              <w:rPr>
                <w:rFonts w:ascii="宋体" w:hAnsi="宋体" w:eastAsia="宋体"/>
                <w:szCs w:val="21"/>
              </w:rPr>
            </w:pPr>
            <w:r>
              <w:rPr>
                <w:rFonts w:ascii="宋体" w:hAnsi="宋体" w:eastAsia="宋体"/>
                <w:szCs w:val="21"/>
              </w:rPr>
              <w:t>（</w:t>
            </w:r>
            <w:r>
              <w:rPr>
                <w:rFonts w:hint="eastAsia" w:ascii="宋体" w:hAnsi="宋体" w:eastAsia="宋体"/>
                <w:szCs w:val="21"/>
              </w:rPr>
              <w:t>1</w:t>
            </w:r>
            <w:r>
              <w:rPr>
                <w:rFonts w:hint="eastAsia" w:ascii="宋体" w:hAnsi="宋体" w:eastAsia="宋体"/>
                <w:szCs w:val="21"/>
                <w:lang w:val="en-US" w:eastAsia="zh-CN"/>
              </w:rPr>
              <w:t>2</w:t>
            </w:r>
            <w:r>
              <w:rPr>
                <w:rFonts w:ascii="宋体" w:hAnsi="宋体" w:eastAsia="宋体"/>
                <w:szCs w:val="21"/>
              </w:rPr>
              <w:t>分）</w:t>
            </w:r>
          </w:p>
        </w:tc>
        <w:tc>
          <w:tcPr>
            <w:tcW w:w="6635" w:type="dxa"/>
            <w:tcBorders>
              <w:top w:val="single" w:color="000000" w:sz="4" w:space="0"/>
              <w:bottom w:val="single" w:color="000000" w:sz="4" w:space="0"/>
              <w:right w:val="single" w:color="000000" w:sz="4" w:space="0"/>
            </w:tcBorders>
            <w:shd w:val="clear" w:color="auto" w:fill="auto"/>
            <w:tcMar>
              <w:left w:w="108" w:type="dxa"/>
              <w:right w:w="108" w:type="dxa"/>
            </w:tcMar>
            <w:vAlign w:val="center"/>
          </w:tcPr>
          <w:p w14:paraId="370F259B">
            <w:pPr>
              <w:wordWrap w:val="0"/>
              <w:jc w:val="left"/>
              <w:rPr>
                <w:rFonts w:hint="eastAsia" w:ascii="宋体" w:hAnsi="宋体" w:eastAsia="宋体"/>
                <w:szCs w:val="21"/>
              </w:rPr>
            </w:pPr>
            <w:r>
              <w:rPr>
                <w:rFonts w:hint="eastAsia" w:ascii="宋体" w:hAnsi="宋体" w:eastAsia="宋体"/>
                <w:szCs w:val="21"/>
              </w:rPr>
              <w:t>投标人提供合同期为2021年</w:t>
            </w:r>
            <w:r>
              <w:rPr>
                <w:rFonts w:hint="eastAsia" w:ascii="宋体" w:hAnsi="宋体" w:eastAsia="宋体"/>
                <w:szCs w:val="21"/>
                <w:lang w:val="en-US" w:eastAsia="zh-CN"/>
              </w:rPr>
              <w:t>1月1日</w:t>
            </w:r>
            <w:r>
              <w:rPr>
                <w:rFonts w:hint="eastAsia" w:ascii="宋体" w:hAnsi="宋体" w:eastAsia="宋体"/>
                <w:szCs w:val="21"/>
              </w:rPr>
              <w:t>至今的维保业绩，合同金额不限，投标文件中附其业绩证明材料，业绩以投标人的服务合同为依据并提供对应合同的中标通知书，每提供一个</w:t>
            </w:r>
            <w:r>
              <w:rPr>
                <w:rFonts w:hint="eastAsia" w:ascii="宋体" w:hAnsi="宋体" w:eastAsia="宋体"/>
                <w:szCs w:val="21"/>
                <w:lang w:val="en-US" w:eastAsia="zh-CN"/>
              </w:rPr>
              <w:t>得4</w:t>
            </w:r>
            <w:r>
              <w:rPr>
                <w:rFonts w:hint="eastAsia" w:ascii="宋体" w:hAnsi="宋体" w:eastAsia="宋体"/>
                <w:szCs w:val="21"/>
              </w:rPr>
              <w:t>分，最高可得1</w:t>
            </w:r>
            <w:r>
              <w:rPr>
                <w:rFonts w:hint="eastAsia" w:ascii="宋体" w:hAnsi="宋体" w:eastAsia="宋体"/>
                <w:szCs w:val="21"/>
                <w:lang w:val="en-US" w:eastAsia="zh-CN"/>
              </w:rPr>
              <w:t>2</w:t>
            </w:r>
            <w:r>
              <w:rPr>
                <w:rFonts w:hint="eastAsia" w:ascii="宋体" w:hAnsi="宋体" w:eastAsia="宋体"/>
                <w:szCs w:val="21"/>
              </w:rPr>
              <w:t>分。</w:t>
            </w:r>
          </w:p>
          <w:p w14:paraId="5A5A5F7C">
            <w:pPr>
              <w:wordWrap w:val="0"/>
              <w:jc w:val="left"/>
              <w:rPr>
                <w:rFonts w:ascii="宋体" w:hAnsi="宋体" w:eastAsia="宋体"/>
                <w:szCs w:val="21"/>
                <w:highlight w:val="green"/>
              </w:rPr>
            </w:pPr>
            <w:r>
              <w:rPr>
                <w:rFonts w:hint="eastAsia" w:ascii="宋体" w:hAnsi="宋体" w:eastAsia="宋体"/>
                <w:szCs w:val="21"/>
              </w:rPr>
              <w:t>注：1.业绩（销售或服务合同）中甲乙双方签章、合同签订时间、合同金额和项目名称必须清晰，否则不予评分。</w:t>
            </w:r>
          </w:p>
        </w:tc>
      </w:tr>
      <w:tr w14:paraId="078F6652">
        <w:tblPrEx>
          <w:tblCellMar>
            <w:top w:w="0" w:type="dxa"/>
            <w:left w:w="0" w:type="dxa"/>
            <w:bottom w:w="0" w:type="dxa"/>
            <w:right w:w="0" w:type="dxa"/>
          </w:tblCellMar>
        </w:tblPrEx>
        <w:trPr>
          <w:trHeight w:val="940" w:hRule="atLeast"/>
        </w:trPr>
        <w:tc>
          <w:tcPr>
            <w:tcW w:w="528" w:type="dxa"/>
            <w:vMerge w:val="continue"/>
            <w:tcBorders>
              <w:left w:val="single" w:color="000000" w:sz="4" w:space="0"/>
              <w:right w:val="single" w:color="000000" w:sz="4" w:space="0"/>
            </w:tcBorders>
            <w:shd w:val="clear" w:color="auto" w:fill="auto"/>
            <w:vAlign w:val="center"/>
          </w:tcPr>
          <w:p w14:paraId="4AF79C49"/>
        </w:tc>
        <w:tc>
          <w:tcPr>
            <w:tcW w:w="1701"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26BE48E0">
            <w:pPr>
              <w:wordWrap w:val="0"/>
              <w:jc w:val="center"/>
              <w:rPr>
                <w:rFonts w:ascii="宋体" w:hAnsi="宋体" w:eastAsia="宋体"/>
                <w:szCs w:val="21"/>
              </w:rPr>
            </w:pPr>
            <w:r>
              <w:rPr>
                <w:rFonts w:ascii="宋体" w:hAnsi="宋体" w:eastAsia="宋体"/>
                <w:szCs w:val="21"/>
              </w:rPr>
              <w:t>服务承诺</w:t>
            </w:r>
          </w:p>
          <w:p w14:paraId="606C16A5">
            <w:pPr>
              <w:wordWrap w:val="0"/>
              <w:jc w:val="center"/>
              <w:rPr>
                <w:rFonts w:ascii="宋体" w:hAnsi="宋体" w:eastAsia="宋体"/>
                <w:szCs w:val="21"/>
              </w:rPr>
            </w:pPr>
            <w:r>
              <w:rPr>
                <w:rFonts w:ascii="宋体" w:hAnsi="宋体" w:eastAsia="宋体"/>
                <w:szCs w:val="21"/>
              </w:rPr>
              <w:t>（</w:t>
            </w:r>
            <w:r>
              <w:rPr>
                <w:rFonts w:hint="eastAsia" w:ascii="宋体" w:hAnsi="宋体" w:eastAsia="宋体"/>
                <w:szCs w:val="21"/>
                <w:lang w:val="en-US" w:eastAsia="zh-CN"/>
              </w:rPr>
              <w:t>8</w:t>
            </w:r>
            <w:r>
              <w:rPr>
                <w:rFonts w:ascii="宋体" w:hAnsi="宋体" w:eastAsia="宋体"/>
                <w:szCs w:val="21"/>
              </w:rPr>
              <w:t>分）</w:t>
            </w:r>
          </w:p>
        </w:tc>
        <w:tc>
          <w:tcPr>
            <w:tcW w:w="6635" w:type="dxa"/>
            <w:tcBorders>
              <w:top w:val="single" w:color="000000" w:sz="4" w:space="0"/>
              <w:bottom w:val="single" w:color="000000" w:sz="4" w:space="0"/>
              <w:right w:val="single" w:color="000000" w:sz="4" w:space="0"/>
            </w:tcBorders>
            <w:shd w:val="clear" w:color="auto" w:fill="auto"/>
          </w:tcPr>
          <w:p w14:paraId="3140AA2F">
            <w:pPr>
              <w:wordWrap w:val="0"/>
              <w:jc w:val="left"/>
              <w:rPr>
                <w:rFonts w:asciiTheme="minorEastAsia" w:hAnsiTheme="minorEastAsia"/>
                <w:szCs w:val="21"/>
              </w:rPr>
            </w:pPr>
            <w:r>
              <w:rPr>
                <w:rFonts w:asciiTheme="minorEastAsia" w:hAnsiTheme="minorEastAsia"/>
                <w:color w:val="000000"/>
                <w:szCs w:val="21"/>
              </w:rPr>
              <w:t>投标人对项目的实施进行承诺，涵盖是否有专业技术人员（两部人员配备分别详细列示，需要有人员证书等）、应急响应机制、维修项目、达到标准</w:t>
            </w:r>
            <w:r>
              <w:rPr>
                <w:rFonts w:hint="eastAsia" w:asciiTheme="minorEastAsia" w:hAnsiTheme="minorEastAsia"/>
                <w:color w:val="000000"/>
                <w:szCs w:val="21"/>
              </w:rPr>
              <w:t>、优惠政策、使用院区</w:t>
            </w:r>
            <w:r>
              <w:rPr>
                <w:rFonts w:hint="eastAsia" w:asciiTheme="minorEastAsia" w:hAnsiTheme="minorEastAsia"/>
                <w:color w:val="000000"/>
                <w:szCs w:val="21"/>
                <w:lang w:val="en-US" w:eastAsia="zh-CN"/>
              </w:rPr>
              <w:t>消防维保</w:t>
            </w:r>
            <w:r>
              <w:rPr>
                <w:rFonts w:hint="eastAsia" w:asciiTheme="minorEastAsia" w:hAnsiTheme="minorEastAsia"/>
                <w:color w:val="000000"/>
                <w:szCs w:val="21"/>
              </w:rPr>
              <w:t>小程序</w:t>
            </w:r>
            <w:r>
              <w:rPr>
                <w:rFonts w:asciiTheme="minorEastAsia" w:hAnsiTheme="minorEastAsia"/>
                <w:color w:val="000000"/>
                <w:szCs w:val="21"/>
              </w:rPr>
              <w:t>等各方面，并在投标文件中出具承诺函（承诺函格式自拟，要条理清晰，并加盖公章）：综合评价最优的，得</w:t>
            </w:r>
            <w:r>
              <w:rPr>
                <w:rFonts w:hint="eastAsia" w:asciiTheme="minorEastAsia" w:hAnsiTheme="minorEastAsia"/>
                <w:color w:val="000000"/>
                <w:szCs w:val="21"/>
                <w:lang w:val="en-US" w:eastAsia="zh-CN"/>
              </w:rPr>
              <w:t>7</w:t>
            </w:r>
            <w:r>
              <w:rPr>
                <w:rFonts w:asciiTheme="minorEastAsia" w:hAnsiTheme="minorEastAsia"/>
                <w:color w:val="000000"/>
                <w:szCs w:val="21"/>
              </w:rPr>
              <w:t>-</w:t>
            </w:r>
            <w:r>
              <w:rPr>
                <w:rFonts w:hint="eastAsia" w:asciiTheme="minorEastAsia" w:hAnsiTheme="minorEastAsia"/>
                <w:color w:val="000000"/>
                <w:szCs w:val="21"/>
                <w:lang w:val="en-US" w:eastAsia="zh-CN"/>
              </w:rPr>
              <w:t>8</w:t>
            </w:r>
            <w:r>
              <w:rPr>
                <w:rFonts w:asciiTheme="minorEastAsia" w:hAnsiTheme="minorEastAsia"/>
                <w:color w:val="000000"/>
                <w:szCs w:val="21"/>
              </w:rPr>
              <w:t>分；次之得</w:t>
            </w:r>
            <w:r>
              <w:rPr>
                <w:rFonts w:hint="eastAsia" w:asciiTheme="minorEastAsia" w:hAnsiTheme="minorEastAsia"/>
                <w:color w:val="000000"/>
                <w:szCs w:val="21"/>
                <w:lang w:val="en-US" w:eastAsia="zh-CN"/>
              </w:rPr>
              <w:t>5</w:t>
            </w:r>
            <w:r>
              <w:rPr>
                <w:rFonts w:asciiTheme="minorEastAsia" w:hAnsiTheme="minorEastAsia"/>
                <w:color w:val="000000"/>
                <w:szCs w:val="21"/>
              </w:rPr>
              <w:t>-</w:t>
            </w:r>
            <w:r>
              <w:rPr>
                <w:rFonts w:hint="eastAsia" w:asciiTheme="minorEastAsia" w:hAnsiTheme="minorEastAsia"/>
                <w:color w:val="000000"/>
                <w:szCs w:val="21"/>
                <w:lang w:val="en-US" w:eastAsia="zh-CN"/>
              </w:rPr>
              <w:t>6</w:t>
            </w:r>
            <w:r>
              <w:rPr>
                <w:rFonts w:asciiTheme="minorEastAsia" w:hAnsiTheme="minorEastAsia"/>
                <w:color w:val="000000"/>
                <w:szCs w:val="21"/>
              </w:rPr>
              <w:t>分；其余得</w:t>
            </w:r>
            <w:r>
              <w:rPr>
                <w:rFonts w:hint="eastAsia" w:asciiTheme="minorEastAsia" w:hAnsiTheme="minorEastAsia"/>
                <w:color w:val="000000"/>
                <w:szCs w:val="21"/>
              </w:rPr>
              <w:t>1</w:t>
            </w:r>
            <w:r>
              <w:rPr>
                <w:rFonts w:asciiTheme="minorEastAsia" w:hAnsiTheme="minorEastAsia"/>
                <w:color w:val="000000"/>
                <w:szCs w:val="21"/>
              </w:rPr>
              <w:t xml:space="preserve">分，未提供承诺函或未加盖公章不得分。  </w:t>
            </w:r>
          </w:p>
        </w:tc>
      </w:tr>
      <w:tr w14:paraId="222BCCE5">
        <w:tblPrEx>
          <w:tblCellMar>
            <w:top w:w="0" w:type="dxa"/>
            <w:left w:w="0" w:type="dxa"/>
            <w:bottom w:w="0" w:type="dxa"/>
            <w:right w:w="0" w:type="dxa"/>
          </w:tblCellMar>
        </w:tblPrEx>
        <w:trPr>
          <w:trHeight w:val="940" w:hRule="atLeast"/>
        </w:trPr>
        <w:tc>
          <w:tcPr>
            <w:tcW w:w="528" w:type="dxa"/>
            <w:vMerge w:val="continue"/>
            <w:tcBorders>
              <w:left w:val="single" w:color="000000" w:sz="4" w:space="0"/>
              <w:bottom w:val="single" w:color="auto" w:sz="4" w:space="0"/>
              <w:right w:val="single" w:color="000000" w:sz="4" w:space="0"/>
            </w:tcBorders>
            <w:shd w:val="clear" w:color="auto" w:fill="auto"/>
            <w:vAlign w:val="center"/>
          </w:tcPr>
          <w:p w14:paraId="5EA42E36"/>
        </w:tc>
        <w:tc>
          <w:tcPr>
            <w:tcW w:w="1701" w:type="dxa"/>
            <w:tcBorders>
              <w:top w:val="single" w:color="000000" w:sz="4" w:space="0"/>
              <w:left w:val="single" w:color="000000" w:sz="4" w:space="0"/>
              <w:bottom w:val="single" w:color="auto" w:sz="4" w:space="0"/>
              <w:right w:val="single" w:color="000000" w:sz="4" w:space="0"/>
            </w:tcBorders>
            <w:shd w:val="clear" w:color="auto" w:fill="auto"/>
            <w:tcMar>
              <w:left w:w="108" w:type="dxa"/>
              <w:right w:w="108" w:type="dxa"/>
            </w:tcMar>
          </w:tcPr>
          <w:p w14:paraId="7CBEB0FB">
            <w:pPr>
              <w:wordWrap w:val="0"/>
              <w:jc w:val="center"/>
              <w:rPr>
                <w:rFonts w:ascii="宋体" w:hAnsi="宋体" w:eastAsia="宋体"/>
                <w:szCs w:val="21"/>
              </w:rPr>
            </w:pPr>
            <w:r>
              <w:rPr>
                <w:rFonts w:hint="eastAsia" w:ascii="宋体" w:hAnsi="宋体" w:eastAsia="宋体"/>
                <w:szCs w:val="21"/>
              </w:rPr>
              <w:t>体系认证</w:t>
            </w:r>
          </w:p>
          <w:p w14:paraId="225A7ACC">
            <w:pPr>
              <w:wordWrap w:val="0"/>
              <w:jc w:val="center"/>
            </w:pPr>
            <w:r>
              <w:rPr>
                <w:rFonts w:hint="eastAsia" w:ascii="宋体" w:hAnsi="宋体" w:eastAsia="宋体"/>
                <w:szCs w:val="21"/>
              </w:rPr>
              <w:t xml:space="preserve"> (</w:t>
            </w:r>
            <w:r>
              <w:rPr>
                <w:rFonts w:hint="eastAsia" w:ascii="宋体" w:hAnsi="宋体" w:eastAsia="宋体"/>
                <w:szCs w:val="21"/>
                <w:lang w:val="en-US" w:eastAsia="zh-CN"/>
              </w:rPr>
              <w:t>10</w:t>
            </w:r>
            <w:r>
              <w:rPr>
                <w:rFonts w:hint="eastAsia" w:ascii="宋体" w:hAnsi="宋体" w:eastAsia="宋体"/>
                <w:szCs w:val="21"/>
              </w:rPr>
              <w:t>分</w:t>
            </w:r>
            <w:r>
              <w:rPr>
                <w:rFonts w:ascii="宋体" w:hAnsi="宋体" w:eastAsia="宋体"/>
                <w:szCs w:val="21"/>
              </w:rPr>
              <w:t>)</w:t>
            </w:r>
            <w:r>
              <w:rPr>
                <w:rFonts w:ascii="DejaVuSans" w:hAnsi="DejaVuSans" w:eastAsia="DejaVuSans" w:cs="DejaVuSans"/>
                <w:color w:val="666666"/>
                <w:kern w:val="0"/>
                <w:sz w:val="19"/>
                <w:szCs w:val="19"/>
                <w:lang w:bidi="ar"/>
              </w:rPr>
              <w:t xml:space="preserve"> </w:t>
            </w:r>
          </w:p>
          <w:p w14:paraId="115A4767">
            <w:pPr>
              <w:wordWrap w:val="0"/>
              <w:jc w:val="center"/>
            </w:pPr>
          </w:p>
        </w:tc>
        <w:tc>
          <w:tcPr>
            <w:tcW w:w="6635" w:type="dxa"/>
            <w:tcBorders>
              <w:top w:val="single" w:color="000000" w:sz="4" w:space="0"/>
              <w:bottom w:val="single" w:color="000000" w:sz="4" w:space="0"/>
              <w:right w:val="single" w:color="000000" w:sz="4" w:space="0"/>
            </w:tcBorders>
            <w:shd w:val="clear" w:color="auto" w:fill="auto"/>
          </w:tcPr>
          <w:p w14:paraId="09871827">
            <w:pPr>
              <w:wordWrap w:val="0"/>
              <w:jc w:val="left"/>
              <w:rPr>
                <w:spacing w:val="-14"/>
              </w:rPr>
            </w:pPr>
            <w:r>
              <w:rPr>
                <w:rFonts w:asciiTheme="minorEastAsia" w:hAnsiTheme="minorEastAsia"/>
                <w:color w:val="000000"/>
                <w:szCs w:val="21"/>
              </w:rPr>
              <w:t>根据投标</w:t>
            </w:r>
            <w:r>
              <w:rPr>
                <w:rFonts w:hint="eastAsia" w:asciiTheme="minorEastAsia" w:hAnsiTheme="minorEastAsia"/>
                <w:color w:val="000000"/>
                <w:szCs w:val="21"/>
              </w:rPr>
              <w:t>单位</w:t>
            </w:r>
            <w:r>
              <w:rPr>
                <w:rFonts w:asciiTheme="minorEastAsia" w:hAnsiTheme="minorEastAsia"/>
                <w:color w:val="000000"/>
                <w:szCs w:val="21"/>
              </w:rPr>
              <w:t>标书所体现的：</w:t>
            </w:r>
            <w:r>
              <w:rPr>
                <w:rFonts w:hint="eastAsia" w:asciiTheme="minorEastAsia" w:hAnsiTheme="minorEastAsia"/>
                <w:color w:val="000000"/>
                <w:szCs w:val="21"/>
              </w:rPr>
              <w:t>3A信用等级证书、</w:t>
            </w:r>
            <w:r>
              <w:rPr>
                <w:rFonts w:asciiTheme="minorEastAsia" w:hAnsiTheme="minorEastAsia"/>
                <w:color w:val="000000"/>
                <w:szCs w:val="21"/>
              </w:rPr>
              <w:t>质量管理体系</w:t>
            </w:r>
            <w:r>
              <w:rPr>
                <w:rFonts w:hint="eastAsia" w:asciiTheme="minorEastAsia" w:hAnsiTheme="minorEastAsia"/>
                <w:color w:val="000000"/>
                <w:szCs w:val="21"/>
              </w:rPr>
              <w:t>认证</w:t>
            </w:r>
            <w:r>
              <w:rPr>
                <w:rFonts w:asciiTheme="minorEastAsia" w:hAnsiTheme="minorEastAsia"/>
                <w:color w:val="000000"/>
                <w:szCs w:val="21"/>
              </w:rPr>
              <w:t>、</w:t>
            </w:r>
            <w:r>
              <w:rPr>
                <w:rFonts w:hint="eastAsia" w:asciiTheme="minorEastAsia" w:hAnsiTheme="minorEastAsia"/>
                <w:color w:val="000000"/>
                <w:szCs w:val="21"/>
              </w:rPr>
              <w:t>环境</w:t>
            </w:r>
            <w:r>
              <w:rPr>
                <w:rFonts w:asciiTheme="minorEastAsia" w:hAnsiTheme="minorEastAsia"/>
                <w:color w:val="000000"/>
                <w:szCs w:val="21"/>
              </w:rPr>
              <w:t>管理体系</w:t>
            </w:r>
            <w:r>
              <w:rPr>
                <w:rFonts w:hint="eastAsia" w:asciiTheme="minorEastAsia" w:hAnsiTheme="minorEastAsia"/>
                <w:color w:val="000000"/>
                <w:szCs w:val="21"/>
              </w:rPr>
              <w:t>认证</w:t>
            </w:r>
            <w:r>
              <w:rPr>
                <w:rFonts w:asciiTheme="minorEastAsia" w:hAnsiTheme="minorEastAsia"/>
                <w:color w:val="000000"/>
                <w:szCs w:val="21"/>
              </w:rPr>
              <w:t>、</w:t>
            </w:r>
            <w:r>
              <w:rPr>
                <w:rFonts w:hint="eastAsia" w:asciiTheme="minorEastAsia" w:hAnsiTheme="minorEastAsia"/>
                <w:color w:val="000000"/>
                <w:szCs w:val="21"/>
              </w:rPr>
              <w:t>职业健康安全管理体系认证，每项得</w:t>
            </w:r>
            <w:r>
              <w:rPr>
                <w:rFonts w:hint="eastAsia" w:asciiTheme="minorEastAsia" w:hAnsiTheme="minorEastAsia"/>
                <w:color w:val="000000"/>
                <w:szCs w:val="21"/>
                <w:lang w:val="en-US" w:eastAsia="zh-CN"/>
              </w:rPr>
              <w:t>2</w:t>
            </w:r>
            <w:r>
              <w:rPr>
                <w:rFonts w:hint="eastAsia" w:asciiTheme="minorEastAsia" w:hAnsiTheme="minorEastAsia"/>
                <w:color w:val="000000"/>
                <w:szCs w:val="21"/>
              </w:rPr>
              <w:t>.5分，没有不得分。</w:t>
            </w:r>
          </w:p>
        </w:tc>
      </w:tr>
      <w:tr w14:paraId="4BAD4E92">
        <w:tblPrEx>
          <w:tblCellMar>
            <w:top w:w="0" w:type="dxa"/>
            <w:left w:w="0" w:type="dxa"/>
            <w:bottom w:w="0" w:type="dxa"/>
            <w:right w:w="0" w:type="dxa"/>
          </w:tblCellMar>
        </w:tblPrEx>
        <w:trPr>
          <w:trHeight w:val="782" w:hRule="atLeast"/>
        </w:trPr>
        <w:tc>
          <w:tcPr>
            <w:tcW w:w="528" w:type="dxa"/>
            <w:vMerge w:val="restart"/>
            <w:tcBorders>
              <w:top w:val="single" w:color="auto" w:sz="4" w:space="0"/>
              <w:left w:val="single" w:color="auto" w:sz="4" w:space="0"/>
              <w:right w:val="single" w:color="000000" w:sz="4" w:space="0"/>
            </w:tcBorders>
            <w:shd w:val="clear" w:color="auto" w:fill="auto"/>
            <w:tcMar>
              <w:left w:w="108" w:type="dxa"/>
              <w:right w:w="108" w:type="dxa"/>
            </w:tcMar>
            <w:vAlign w:val="center"/>
          </w:tcPr>
          <w:p w14:paraId="76452653">
            <w:pPr>
              <w:wordWrap w:val="0"/>
              <w:jc w:val="left"/>
              <w:rPr>
                <w:rFonts w:ascii="宋体" w:hAnsi="宋体" w:eastAsia="宋体"/>
                <w:szCs w:val="21"/>
              </w:rPr>
            </w:pPr>
            <w:r>
              <w:rPr>
                <w:rFonts w:ascii="宋体" w:hAnsi="宋体" w:eastAsia="宋体"/>
                <w:szCs w:val="21"/>
              </w:rPr>
              <w:t xml:space="preserve"> 技术部分</w:t>
            </w:r>
          </w:p>
        </w:tc>
        <w:tc>
          <w:tcPr>
            <w:tcW w:w="1701" w:type="dxa"/>
            <w:tcBorders>
              <w:top w:val="single" w:color="auto" w:sz="4" w:space="0"/>
              <w:left w:val="single" w:color="000000" w:sz="4" w:space="0"/>
              <w:bottom w:val="single" w:color="000000" w:sz="4" w:space="0"/>
              <w:right w:val="single" w:color="auto" w:sz="4" w:space="0"/>
            </w:tcBorders>
            <w:shd w:val="clear" w:color="auto" w:fill="auto"/>
            <w:tcMar>
              <w:left w:w="108" w:type="dxa"/>
              <w:right w:w="108" w:type="dxa"/>
            </w:tcMar>
            <w:vAlign w:val="center"/>
          </w:tcPr>
          <w:p w14:paraId="105806ED">
            <w:pPr>
              <w:widowControl/>
              <w:jc w:val="left"/>
              <w:rPr>
                <w:rFonts w:ascii="宋体" w:hAnsi="宋体" w:eastAsia="宋体" w:cs="宋体"/>
                <w:spacing w:val="-11"/>
                <w:lang w:bidi="zh-CN"/>
              </w:rPr>
            </w:pPr>
            <w:r>
              <w:rPr>
                <w:rFonts w:hint="eastAsia" w:ascii="宋体" w:hAnsi="宋体" w:eastAsia="宋体" w:cs="宋体"/>
                <w:spacing w:val="-11"/>
                <w:lang w:bidi="zh-CN"/>
              </w:rPr>
              <w:t>消防设施维护保养服务方案 (</w:t>
            </w:r>
            <w:r>
              <w:rPr>
                <w:rFonts w:hint="eastAsia" w:ascii="宋体" w:hAnsi="宋体" w:eastAsia="宋体" w:cs="宋体"/>
                <w:spacing w:val="-11"/>
                <w:lang w:val="en-US" w:bidi="zh-CN"/>
              </w:rPr>
              <w:t>25</w:t>
            </w:r>
            <w:r>
              <w:rPr>
                <w:rFonts w:hint="eastAsia" w:ascii="宋体" w:hAnsi="宋体" w:eastAsia="宋体" w:cs="宋体"/>
                <w:spacing w:val="-11"/>
                <w:lang w:bidi="zh-CN"/>
              </w:rPr>
              <w:t>分</w:t>
            </w:r>
            <w:r>
              <w:rPr>
                <w:rFonts w:ascii="宋体" w:hAnsi="宋体" w:eastAsia="宋体" w:cs="宋体"/>
                <w:spacing w:val="-11"/>
                <w:lang w:bidi="zh-CN"/>
              </w:rPr>
              <w:t xml:space="preserve">) </w:t>
            </w:r>
          </w:p>
          <w:p w14:paraId="4C5C99DC">
            <w:pPr>
              <w:wordWrap w:val="0"/>
              <w:jc w:val="center"/>
              <w:rPr>
                <w:rFonts w:ascii="宋体" w:hAnsi="宋体" w:eastAsia="宋体"/>
                <w:color w:val="C00000"/>
                <w:szCs w:val="21"/>
                <w:highlight w:val="green"/>
              </w:rPr>
            </w:pPr>
          </w:p>
        </w:tc>
        <w:tc>
          <w:tcPr>
            <w:tcW w:w="6635" w:type="dxa"/>
            <w:tcBorders>
              <w:top w:val="single" w:color="000000" w:sz="4" w:space="0"/>
              <w:left w:val="single" w:color="auto" w:sz="4" w:space="0"/>
              <w:bottom w:val="single" w:color="000000" w:sz="4" w:space="0"/>
              <w:right w:val="single" w:color="000000" w:sz="4" w:space="0"/>
            </w:tcBorders>
            <w:shd w:val="clear" w:color="auto" w:fill="auto"/>
            <w:tcMar>
              <w:left w:w="108" w:type="dxa"/>
              <w:right w:w="108" w:type="dxa"/>
            </w:tcMar>
            <w:vAlign w:val="center"/>
          </w:tcPr>
          <w:p w14:paraId="368C3806">
            <w:pPr>
              <w:widowControl/>
              <w:jc w:val="left"/>
              <w:rPr>
                <w:rFonts w:ascii="宋体" w:hAnsi="宋体" w:eastAsia="宋体" w:cs="宋体"/>
                <w:spacing w:val="-11"/>
                <w:lang w:bidi="zh-CN"/>
              </w:rPr>
            </w:pPr>
            <w:r>
              <w:rPr>
                <w:rFonts w:hint="eastAsia" w:ascii="宋体" w:hAnsi="宋体" w:eastAsia="宋体" w:cs="宋体"/>
                <w:spacing w:val="-11"/>
                <w:lang w:bidi="zh-CN"/>
              </w:rPr>
              <w:t>消防设施维护保养服务方案应结合实际编制。</w:t>
            </w:r>
          </w:p>
          <w:p w14:paraId="26287B4A">
            <w:pPr>
              <w:widowControl/>
              <w:jc w:val="left"/>
              <w:rPr>
                <w:rFonts w:ascii="宋体" w:hAnsi="宋体" w:eastAsia="宋体" w:cs="宋体"/>
                <w:color w:val="C00000"/>
                <w:spacing w:val="-11"/>
                <w:highlight w:val="green"/>
                <w:lang w:bidi="zh-CN"/>
              </w:rPr>
            </w:pPr>
            <w:r>
              <w:rPr>
                <w:rFonts w:hint="eastAsia" w:ascii="宋体" w:hAnsi="宋体" w:eastAsia="宋体" w:cs="宋体"/>
                <w:spacing w:val="-11"/>
                <w:lang w:bidi="zh-CN"/>
              </w:rPr>
              <w:t>消防设施维护保养服务方案完善、详细、合理、可行，从实际出发，消防设施维护保养服务方案完善得2</w:t>
            </w:r>
            <w:r>
              <w:rPr>
                <w:rFonts w:hint="eastAsia" w:ascii="宋体" w:hAnsi="宋体" w:eastAsia="宋体" w:cs="宋体"/>
                <w:spacing w:val="-11"/>
                <w:lang w:val="en-US" w:bidi="zh-CN"/>
              </w:rPr>
              <w:t>0</w:t>
            </w:r>
            <w:r>
              <w:rPr>
                <w:rFonts w:hint="eastAsia" w:ascii="宋体" w:hAnsi="宋体" w:eastAsia="宋体" w:cs="宋体"/>
                <w:spacing w:val="-11"/>
                <w:lang w:bidi="zh-CN"/>
              </w:rPr>
              <w:t>-</w:t>
            </w:r>
            <w:r>
              <w:rPr>
                <w:rFonts w:hint="eastAsia" w:ascii="宋体" w:hAnsi="宋体" w:eastAsia="宋体" w:cs="宋体"/>
                <w:spacing w:val="-11"/>
                <w:lang w:val="en-US" w:bidi="zh-CN"/>
              </w:rPr>
              <w:t>25</w:t>
            </w:r>
            <w:r>
              <w:rPr>
                <w:rFonts w:hint="eastAsia" w:ascii="宋体" w:hAnsi="宋体" w:eastAsia="宋体" w:cs="宋体"/>
                <w:spacing w:val="-11"/>
                <w:lang w:bidi="zh-CN"/>
              </w:rPr>
              <w:t>分； 消防设施维护保养服务方案较好得11-</w:t>
            </w:r>
            <w:r>
              <w:rPr>
                <w:rFonts w:hint="eastAsia" w:ascii="宋体" w:hAnsi="宋体" w:eastAsia="宋体" w:cs="宋体"/>
                <w:spacing w:val="-11"/>
                <w:lang w:val="en-US" w:bidi="zh-CN"/>
              </w:rPr>
              <w:t>19</w:t>
            </w:r>
            <w:r>
              <w:rPr>
                <w:rFonts w:hint="eastAsia" w:ascii="宋体" w:hAnsi="宋体" w:eastAsia="宋体" w:cs="宋体"/>
                <w:spacing w:val="-11"/>
                <w:lang w:bidi="zh-CN"/>
              </w:rPr>
              <w:t xml:space="preserve">分； 消防设施维护保养服务方案描述简略、有欠缺，仅能满足本项目基础要求的0-10分； 仅对此项进行描述或未编制方案的本项不得分。 </w:t>
            </w:r>
          </w:p>
        </w:tc>
      </w:tr>
      <w:tr w14:paraId="0FECFF2C">
        <w:tblPrEx>
          <w:tblCellMar>
            <w:top w:w="0" w:type="dxa"/>
            <w:left w:w="0" w:type="dxa"/>
            <w:bottom w:w="0" w:type="dxa"/>
            <w:right w:w="0" w:type="dxa"/>
          </w:tblCellMar>
        </w:tblPrEx>
        <w:trPr>
          <w:trHeight w:val="980" w:hRule="atLeast"/>
        </w:trPr>
        <w:tc>
          <w:tcPr>
            <w:tcW w:w="528" w:type="dxa"/>
            <w:vMerge w:val="continue"/>
            <w:tcBorders>
              <w:left w:val="single" w:color="auto" w:sz="4" w:space="0"/>
              <w:right w:val="single" w:color="000000" w:sz="4" w:space="0"/>
            </w:tcBorders>
            <w:shd w:val="clear" w:color="auto" w:fill="auto"/>
            <w:vAlign w:val="center"/>
          </w:tcPr>
          <w:p w14:paraId="7BF51175"/>
        </w:tc>
        <w:tc>
          <w:tcPr>
            <w:tcW w:w="1701" w:type="dxa"/>
            <w:tcBorders>
              <w:top w:val="single" w:color="000000" w:sz="4" w:space="0"/>
              <w:left w:val="single" w:color="000000" w:sz="4" w:space="0"/>
              <w:bottom w:val="single" w:color="000000" w:sz="4" w:space="0"/>
              <w:right w:val="single" w:color="auto" w:sz="4" w:space="0"/>
            </w:tcBorders>
            <w:shd w:val="clear" w:color="auto" w:fill="auto"/>
            <w:tcMar>
              <w:left w:w="108" w:type="dxa"/>
              <w:right w:w="108" w:type="dxa"/>
            </w:tcMar>
            <w:vAlign w:val="center"/>
          </w:tcPr>
          <w:p w14:paraId="410E0D8D">
            <w:pPr>
              <w:widowControl/>
              <w:jc w:val="left"/>
              <w:rPr>
                <w:rFonts w:ascii="宋体" w:hAnsi="宋体" w:eastAsia="宋体" w:cs="宋体"/>
                <w:spacing w:val="-11"/>
                <w:lang w:bidi="zh-CN"/>
              </w:rPr>
            </w:pPr>
            <w:r>
              <w:rPr>
                <w:rFonts w:hint="eastAsia" w:ascii="宋体" w:hAnsi="宋体" w:eastAsia="宋体" w:cs="宋体"/>
                <w:spacing w:val="-11"/>
                <w:lang w:bidi="zh-CN"/>
              </w:rPr>
              <w:t>应急维护处置方案 (1</w:t>
            </w:r>
            <w:r>
              <w:rPr>
                <w:rFonts w:hint="eastAsia" w:ascii="宋体" w:hAnsi="宋体" w:eastAsia="宋体" w:cs="宋体"/>
                <w:spacing w:val="-11"/>
                <w:lang w:val="en-US" w:bidi="zh-CN"/>
              </w:rPr>
              <w:t>3</w:t>
            </w:r>
            <w:r>
              <w:rPr>
                <w:rFonts w:hint="eastAsia" w:ascii="宋体" w:hAnsi="宋体" w:eastAsia="宋体" w:cs="宋体"/>
                <w:spacing w:val="-11"/>
                <w:lang w:bidi="zh-CN"/>
              </w:rPr>
              <w:t>分</w:t>
            </w:r>
            <w:r>
              <w:rPr>
                <w:rFonts w:ascii="宋体" w:hAnsi="宋体" w:eastAsia="宋体" w:cs="宋体"/>
                <w:spacing w:val="-11"/>
                <w:lang w:bidi="zh-CN"/>
              </w:rPr>
              <w:t xml:space="preserve">) </w:t>
            </w:r>
          </w:p>
          <w:p w14:paraId="7BB7CDB9">
            <w:pPr>
              <w:wordWrap w:val="0"/>
              <w:jc w:val="center"/>
              <w:rPr>
                <w:rFonts w:ascii="宋体" w:hAnsi="宋体" w:eastAsia="宋体"/>
                <w:szCs w:val="21"/>
                <w:highlight w:val="green"/>
              </w:rPr>
            </w:pPr>
          </w:p>
        </w:tc>
        <w:tc>
          <w:tcPr>
            <w:tcW w:w="6635" w:type="dxa"/>
            <w:tcBorders>
              <w:top w:val="single" w:color="000000" w:sz="4" w:space="0"/>
              <w:left w:val="single" w:color="auto" w:sz="4" w:space="0"/>
              <w:bottom w:val="single" w:color="000000" w:sz="4" w:space="0"/>
              <w:right w:val="single" w:color="000000" w:sz="4" w:space="0"/>
            </w:tcBorders>
            <w:shd w:val="clear" w:color="auto" w:fill="auto"/>
            <w:tcMar>
              <w:left w:w="108" w:type="dxa"/>
              <w:right w:w="108" w:type="dxa"/>
            </w:tcMar>
            <w:vAlign w:val="center"/>
          </w:tcPr>
          <w:p w14:paraId="7C73B528">
            <w:pPr>
              <w:widowControl/>
              <w:jc w:val="left"/>
              <w:rPr>
                <w:rFonts w:ascii="宋体" w:hAnsi="宋体" w:eastAsia="宋体" w:cs="宋体"/>
                <w:spacing w:val="-11"/>
                <w:highlight w:val="green"/>
                <w:lang w:bidi="zh-CN"/>
              </w:rPr>
            </w:pPr>
            <w:r>
              <w:rPr>
                <w:rFonts w:hint="eastAsia" w:ascii="宋体" w:hAnsi="宋体" w:eastAsia="宋体" w:cs="宋体"/>
                <w:spacing w:val="-11"/>
                <w:lang w:bidi="zh-CN"/>
              </w:rPr>
              <w:t>根据临时突击性工作及突发事件应急保障措施进行评审。 突发事件的处理措施和应急预案详细完整的得</w:t>
            </w:r>
            <w:r>
              <w:rPr>
                <w:rFonts w:hint="eastAsia" w:ascii="宋体" w:hAnsi="宋体" w:eastAsia="宋体" w:cs="宋体"/>
                <w:spacing w:val="-11"/>
                <w:lang w:val="en-US" w:bidi="zh-CN"/>
              </w:rPr>
              <w:t>9</w:t>
            </w:r>
            <w:r>
              <w:rPr>
                <w:rFonts w:hint="eastAsia" w:ascii="宋体" w:hAnsi="宋体" w:eastAsia="宋体" w:cs="宋体"/>
                <w:spacing w:val="-11"/>
                <w:lang w:bidi="zh-CN"/>
              </w:rPr>
              <w:t>-1</w:t>
            </w:r>
            <w:r>
              <w:rPr>
                <w:rFonts w:hint="eastAsia" w:ascii="宋体" w:hAnsi="宋体" w:eastAsia="宋体" w:cs="宋体"/>
                <w:spacing w:val="-11"/>
                <w:lang w:val="en-US" w:bidi="zh-CN"/>
              </w:rPr>
              <w:t>3</w:t>
            </w:r>
            <w:r>
              <w:rPr>
                <w:rFonts w:hint="eastAsia" w:ascii="宋体" w:hAnsi="宋体" w:eastAsia="宋体" w:cs="宋体"/>
                <w:spacing w:val="-11"/>
                <w:lang w:bidi="zh-CN"/>
              </w:rPr>
              <w:t>分； 突发事件的处理措施和应急预案较详细完整的得</w:t>
            </w:r>
            <w:r>
              <w:rPr>
                <w:rFonts w:hint="eastAsia" w:ascii="宋体" w:hAnsi="宋体" w:eastAsia="宋体" w:cs="宋体"/>
                <w:spacing w:val="-11"/>
                <w:lang w:val="en-US" w:bidi="zh-CN"/>
              </w:rPr>
              <w:t>4</w:t>
            </w:r>
            <w:r>
              <w:rPr>
                <w:rFonts w:hint="eastAsia" w:ascii="宋体" w:hAnsi="宋体" w:eastAsia="宋体" w:cs="宋体"/>
                <w:spacing w:val="-11"/>
                <w:lang w:bidi="zh-CN"/>
              </w:rPr>
              <w:t>-</w:t>
            </w:r>
            <w:r>
              <w:rPr>
                <w:rFonts w:hint="eastAsia" w:ascii="宋体" w:hAnsi="宋体" w:eastAsia="宋体" w:cs="宋体"/>
                <w:spacing w:val="-11"/>
                <w:lang w:val="en-US" w:bidi="zh-CN"/>
              </w:rPr>
              <w:t>8</w:t>
            </w:r>
            <w:r>
              <w:rPr>
                <w:rFonts w:hint="eastAsia" w:ascii="宋体" w:hAnsi="宋体" w:eastAsia="宋体" w:cs="宋体"/>
                <w:spacing w:val="-11"/>
                <w:lang w:bidi="zh-CN"/>
              </w:rPr>
              <w:t>分； 突发事件的处理措施和应急预案不太详细完整的得</w:t>
            </w:r>
            <w:r>
              <w:rPr>
                <w:rFonts w:ascii="宋体" w:hAnsi="宋体" w:eastAsia="宋体" w:cs="宋体"/>
                <w:spacing w:val="-11"/>
                <w:lang w:bidi="zh-CN"/>
              </w:rPr>
              <w:t>1-</w:t>
            </w:r>
            <w:r>
              <w:rPr>
                <w:rFonts w:hint="eastAsia" w:ascii="宋体" w:hAnsi="宋体" w:eastAsia="宋体" w:cs="宋体"/>
                <w:spacing w:val="-11"/>
                <w:lang w:val="en-US" w:bidi="zh-CN"/>
              </w:rPr>
              <w:t>3</w:t>
            </w:r>
            <w:r>
              <w:rPr>
                <w:rFonts w:hint="eastAsia" w:ascii="宋体" w:hAnsi="宋体" w:eastAsia="宋体" w:cs="宋体"/>
                <w:spacing w:val="-11"/>
                <w:lang w:bidi="zh-CN"/>
              </w:rPr>
              <w:t>分；未提供的不得分。</w:t>
            </w:r>
          </w:p>
        </w:tc>
      </w:tr>
      <w:tr w14:paraId="7D0720E5">
        <w:tblPrEx>
          <w:tblCellMar>
            <w:top w:w="0" w:type="dxa"/>
            <w:left w:w="0" w:type="dxa"/>
            <w:bottom w:w="0" w:type="dxa"/>
            <w:right w:w="0" w:type="dxa"/>
          </w:tblCellMar>
        </w:tblPrEx>
        <w:trPr>
          <w:trHeight w:val="980" w:hRule="atLeast"/>
        </w:trPr>
        <w:tc>
          <w:tcPr>
            <w:tcW w:w="528" w:type="dxa"/>
            <w:vMerge w:val="continue"/>
            <w:tcBorders>
              <w:left w:val="single" w:color="auto" w:sz="4" w:space="0"/>
              <w:bottom w:val="single" w:color="auto" w:sz="4" w:space="0"/>
              <w:right w:val="single" w:color="000000" w:sz="4" w:space="0"/>
            </w:tcBorders>
            <w:shd w:val="clear" w:color="auto" w:fill="auto"/>
            <w:vAlign w:val="center"/>
          </w:tcPr>
          <w:p w14:paraId="0F60A419"/>
        </w:tc>
        <w:tc>
          <w:tcPr>
            <w:tcW w:w="1701" w:type="dxa"/>
            <w:tcBorders>
              <w:top w:val="single" w:color="000000" w:sz="4" w:space="0"/>
              <w:left w:val="single" w:color="000000" w:sz="4" w:space="0"/>
              <w:bottom w:val="single" w:color="auto" w:sz="4" w:space="0"/>
              <w:right w:val="single" w:color="auto" w:sz="4" w:space="0"/>
            </w:tcBorders>
            <w:shd w:val="clear" w:color="auto" w:fill="auto"/>
            <w:tcMar>
              <w:left w:w="108" w:type="dxa"/>
              <w:right w:w="108" w:type="dxa"/>
            </w:tcMar>
            <w:vAlign w:val="center"/>
          </w:tcPr>
          <w:p w14:paraId="7FA42433">
            <w:pPr>
              <w:wordWrap w:val="0"/>
              <w:jc w:val="center"/>
              <w:rPr>
                <w:rFonts w:ascii="宋体" w:hAnsi="宋体" w:eastAsia="宋体"/>
                <w:szCs w:val="21"/>
              </w:rPr>
            </w:pPr>
            <w:r>
              <w:rPr>
                <w:rFonts w:ascii="宋体" w:hAnsi="宋体" w:eastAsia="宋体"/>
                <w:szCs w:val="21"/>
              </w:rPr>
              <w:t>综合评价（</w:t>
            </w:r>
            <w:r>
              <w:rPr>
                <w:rFonts w:hint="eastAsia" w:ascii="宋体" w:hAnsi="宋体" w:eastAsia="宋体"/>
                <w:szCs w:val="21"/>
              </w:rPr>
              <w:t>1</w:t>
            </w:r>
            <w:r>
              <w:rPr>
                <w:rFonts w:hint="eastAsia" w:ascii="宋体" w:hAnsi="宋体" w:eastAsia="宋体"/>
                <w:szCs w:val="21"/>
                <w:lang w:val="en-US" w:eastAsia="zh-CN"/>
              </w:rPr>
              <w:t>2</w:t>
            </w:r>
            <w:r>
              <w:rPr>
                <w:rFonts w:ascii="宋体" w:hAnsi="宋体" w:eastAsia="宋体"/>
                <w:szCs w:val="21"/>
              </w:rPr>
              <w:t>分）</w:t>
            </w:r>
          </w:p>
        </w:tc>
        <w:tc>
          <w:tcPr>
            <w:tcW w:w="6635" w:type="dxa"/>
            <w:tcBorders>
              <w:top w:val="single" w:color="000000" w:sz="4" w:space="0"/>
              <w:left w:val="single" w:color="auto" w:sz="4" w:space="0"/>
              <w:bottom w:val="single" w:color="000000" w:sz="4" w:space="0"/>
              <w:right w:val="single" w:color="000000" w:sz="4" w:space="0"/>
            </w:tcBorders>
            <w:shd w:val="clear" w:color="auto" w:fill="auto"/>
            <w:tcMar>
              <w:left w:w="108" w:type="dxa"/>
              <w:right w:w="108" w:type="dxa"/>
            </w:tcMar>
            <w:vAlign w:val="center"/>
          </w:tcPr>
          <w:p w14:paraId="38AB18B2">
            <w:pPr>
              <w:wordWrap w:val="0"/>
              <w:jc w:val="left"/>
              <w:rPr>
                <w:rFonts w:ascii="宋体" w:hAnsi="宋体" w:eastAsia="宋体"/>
                <w:szCs w:val="21"/>
              </w:rPr>
            </w:pPr>
            <w:r>
              <w:rPr>
                <w:rFonts w:hint="eastAsia" w:ascii="宋体" w:hAnsi="宋体" w:eastAsia="宋体" w:cs="宋体"/>
                <w:spacing w:val="-11"/>
                <w:lang w:bidi="zh-CN"/>
              </w:rPr>
              <w:t>拟派4名值班人员，持有有效的中级建（构）筑物消防员证书或消防设施操作员国家职业资格证书，满足条件得基础分4分；每增加1名有效的中级持证人员且持有特种作业操作证（电工作业）或特种作业操作证（高处作业）加2分，最多加</w:t>
            </w:r>
            <w:r>
              <w:rPr>
                <w:rFonts w:hint="eastAsia" w:ascii="宋体" w:hAnsi="宋体" w:eastAsia="宋体" w:cs="宋体"/>
                <w:spacing w:val="-11"/>
                <w:lang w:val="en-US" w:bidi="zh-CN"/>
              </w:rPr>
              <w:t>8</w:t>
            </w:r>
            <w:r>
              <w:rPr>
                <w:rFonts w:hint="eastAsia" w:ascii="宋体" w:hAnsi="宋体" w:eastAsia="宋体" w:cs="宋体"/>
                <w:spacing w:val="-11"/>
                <w:lang w:bidi="zh-CN"/>
              </w:rPr>
              <w:t>分。需提供以上人员身份证扫描件、资格证书扫描件和官网查询截图，并提供2021年1月以来</w:t>
            </w:r>
            <w:r>
              <w:rPr>
                <w:rFonts w:hint="eastAsia" w:ascii="宋体" w:hAnsi="宋体" w:eastAsia="宋体" w:cs="宋体"/>
                <w:spacing w:val="-11"/>
                <w:lang w:val="en-US" w:bidi="zh-CN"/>
              </w:rPr>
              <w:t>投标公司</w:t>
            </w:r>
            <w:r>
              <w:rPr>
                <w:rFonts w:hint="eastAsia" w:ascii="宋体" w:hAnsi="宋体" w:eastAsia="宋体" w:cs="宋体"/>
                <w:spacing w:val="-11"/>
                <w:lang w:bidi="zh-CN"/>
              </w:rPr>
              <w:t>为其缴纳的不少于3个月的连续社保缴纳证明，（社保证明是指社保局等社保经办机构出具的社保证明），评审以官网查询为准：消防设施操作员或建（构）筑物消防员资格证书查询网址：http://zscx.osta.org.cn/；特种作业操作证查询网址：http://cx.mem.gov.cn/。</w:t>
            </w:r>
          </w:p>
        </w:tc>
      </w:tr>
    </w:tbl>
    <w:p w14:paraId="25830520">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bCs/>
          <w:sz w:val="28"/>
          <w:szCs w:val="28"/>
          <w:lang w:val="en-US" w:eastAsia="zh-CN"/>
        </w:rPr>
      </w:pPr>
    </w:p>
    <w:p w14:paraId="03A6CF68">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宋体" w:hAnsi="宋体" w:eastAsia="宋体" w:cs="宋体"/>
          <w:b/>
          <w:bCs/>
          <w:sz w:val="28"/>
          <w:szCs w:val="28"/>
          <w:lang w:val="en-US" w:eastAsia="zh-CN"/>
        </w:rPr>
      </w:pPr>
      <w:r>
        <w:rPr>
          <w:rFonts w:hint="eastAsia" w:ascii="宋体" w:hAnsi="宋体" w:eastAsia="宋体" w:cs="宋体"/>
          <w:b/>
          <w:bCs/>
          <w:sz w:val="28"/>
          <w:szCs w:val="28"/>
          <w:lang w:val="en-US" w:eastAsia="zh-CN"/>
        </w:rPr>
        <w:t>第二章 投标人须知</w:t>
      </w:r>
    </w:p>
    <w:p w14:paraId="10A0E2C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一、报名须知</w:t>
      </w:r>
    </w:p>
    <w:p w14:paraId="72FE0BE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（一）报名方式</w:t>
      </w:r>
    </w:p>
    <w:p w14:paraId="0531DCD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bCs/>
          <w:sz w:val="24"/>
          <w:szCs w:val="24"/>
          <w:lang w:val="en-US" w:eastAsia="zh-CN"/>
        </w:rPr>
      </w:pPr>
      <w:r>
        <w:rPr>
          <w:rFonts w:hint="eastAsia" w:ascii="宋体" w:hAnsi="宋体" w:eastAsia="宋体" w:cs="宋体"/>
          <w:sz w:val="24"/>
          <w:szCs w:val="24"/>
          <w:lang w:val="en-US" w:eastAsia="zh-CN"/>
        </w:rPr>
        <w:t>1.报名方式采用</w:t>
      </w:r>
      <w:r>
        <w:rPr>
          <w:rFonts w:hint="eastAsia" w:ascii="宋体" w:hAnsi="宋体" w:eastAsia="宋体" w:cs="宋体"/>
          <w:b/>
          <w:bCs/>
          <w:sz w:val="24"/>
          <w:szCs w:val="24"/>
          <w:lang w:val="en-US" w:eastAsia="zh-CN"/>
        </w:rPr>
        <w:t>现场报名</w:t>
      </w:r>
    </w:p>
    <w:p w14:paraId="3F9F640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市中心医院北门西侧人行道路北，好加汇胡同内向北走50米，路东院内办公楼（原工商所办公楼）三楼307室 </w:t>
      </w:r>
    </w:p>
    <w:p w14:paraId="305585A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资料携带齐全，填写报名登记表后视为本次投标报名成功</w:t>
      </w:r>
    </w:p>
    <w:p w14:paraId="4C7D18D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2.开标地点：</w:t>
      </w:r>
    </w:p>
    <w:p w14:paraId="02E05D2E">
      <w:pPr>
        <w:keepNext w:val="0"/>
        <w:keepLines w:val="0"/>
        <w:pageBreakBefore w:val="0"/>
        <w:widowControl/>
        <w:numPr>
          <w:ilvl w:val="0"/>
          <w:numId w:val="0"/>
        </w:numPr>
        <w:tabs>
          <w:tab w:val="left" w:pos="1236"/>
        </w:tabs>
        <w:kinsoku/>
        <w:wordWrap w:val="0"/>
        <w:overflowPunct/>
        <w:topLinePunct w:val="0"/>
        <w:autoSpaceDE/>
        <w:autoSpaceDN/>
        <w:bidi w:val="0"/>
        <w:adjustRightInd/>
        <w:snapToGrid/>
        <w:spacing w:beforeAutospacing="0" w:afterAutospacing="0" w:line="360" w:lineRule="auto"/>
        <w:ind w:right="0"/>
        <w:jc w:val="left"/>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市中心医院北门西侧人行道路北，好加汇胡同内向北走50米，路东院内办公楼（原工商所办公楼）三楼会议室</w:t>
      </w:r>
    </w:p>
    <w:p w14:paraId="0CCE993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二、响应文件</w:t>
      </w:r>
    </w:p>
    <w:p w14:paraId="7C2C8E0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（一）响应文件的构成及编制要求</w:t>
      </w:r>
    </w:p>
    <w:p w14:paraId="2D2D5D4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响应文件应按照“响应文件格式”进行编写（可以增加附页），作为响应文件的组成部分。</w:t>
      </w:r>
    </w:p>
    <w:p w14:paraId="2F32C65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（二）编制要求</w:t>
      </w:r>
    </w:p>
    <w:p w14:paraId="19F5BA6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投标文件统一使用A4规格书写、打印，提供封面，并编写目录，页码必须连续（不能打印的材料可手写页码）。投标文件装订应采用胶订方式牢固装订成册，不可插页抽页，不可采用活页纸装订。正本和副本的封面上应清楚地标记“正本”或“副本”的字样。当正本和副本不一致时，以正本为准。开标时供应商需将投标所需资料胶印3份（一正两副），并密封携带。</w:t>
      </w:r>
    </w:p>
    <w:p w14:paraId="087A6C0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（三）投标报价</w:t>
      </w:r>
    </w:p>
    <w:p w14:paraId="5B5E59E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1.供应商进行报价时，按“开标一览表”规定的格式报出总价。</w:t>
      </w:r>
    </w:p>
    <w:p w14:paraId="54373B3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2.投标报价不得有选择性报价和附有条件的报价，不得缺项、漏项、不得高于预算价，否则按无效投标处理。</w:t>
      </w:r>
    </w:p>
    <w:p w14:paraId="3268BB0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3.对报价的计算错误按以下原则修正：</w:t>
      </w:r>
    </w:p>
    <w:p w14:paraId="68E217E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3.1响应文件中开标一览表（报价表）内容与响应文件中响应内容不一致的，以开标一览表（报价表）为准；</w:t>
      </w:r>
    </w:p>
    <w:p w14:paraId="4EB1677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3.2大写金额和小写金额不一致的，以大写金额为准；</w:t>
      </w:r>
    </w:p>
    <w:p w14:paraId="56E50BF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3.3单价金额之和与总价不符的，应以总价为准。</w:t>
      </w:r>
    </w:p>
    <w:p w14:paraId="40EFF1A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三、开标</w:t>
      </w:r>
    </w:p>
    <w:p w14:paraId="669B50E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1.开标异议</w:t>
      </w:r>
    </w:p>
    <w:p w14:paraId="0090667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textAlignment w:val="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供应商对开标有异议的，应当在开标现场提出，开标结束后，不再受理对开标过程的异议。</w:t>
      </w:r>
    </w:p>
    <w:p w14:paraId="67997E0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textAlignment w:val="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2.投标无效情形</w:t>
      </w:r>
    </w:p>
    <w:p w14:paraId="491FD29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textAlignment w:val="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评委将对各位投标人的资质、参数及响应程度、标书制作规范等进行审核，凡其中有一项不合格的，按无效投标处理。</w:t>
      </w:r>
    </w:p>
    <w:p w14:paraId="5FCF5F7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textAlignment w:val="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3.有下列情形之一的，视为供应商串通投标：</w:t>
      </w:r>
    </w:p>
    <w:p w14:paraId="0FB6F22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（1）不同供应商的响应文件由同一单位或者个人编制，表现为制作格式等相同；</w:t>
      </w:r>
    </w:p>
    <w:p w14:paraId="4784F19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（2）不同供应商的响应文件由同一单位或者个人办理投标事宜；</w:t>
      </w:r>
    </w:p>
    <w:p w14:paraId="7475467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（3）不同供应商的响应文件载明的项目管理或联系人为同一人；</w:t>
      </w:r>
    </w:p>
    <w:p w14:paraId="493BB3B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（4）不同供应商的响应文件异常一致或者投标报价呈规律性差异；</w:t>
      </w:r>
    </w:p>
    <w:p w14:paraId="347DED0E">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bCs/>
          <w:sz w:val="24"/>
          <w:szCs w:val="24"/>
          <w:lang w:val="en-US" w:eastAsia="zh-CN"/>
        </w:rPr>
      </w:pPr>
      <w:r>
        <w:rPr>
          <w:rFonts w:hint="eastAsia" w:ascii="宋体" w:hAnsi="宋体" w:eastAsia="宋体" w:cs="宋体"/>
          <w:b w:val="0"/>
          <w:bCs w:val="0"/>
          <w:sz w:val="24"/>
          <w:szCs w:val="24"/>
          <w:lang w:val="en-US" w:eastAsia="zh-CN"/>
        </w:rPr>
        <w:t xml:space="preserve">    </w:t>
      </w:r>
      <w:r>
        <w:rPr>
          <w:rFonts w:hint="eastAsia" w:ascii="宋体" w:hAnsi="宋体" w:eastAsia="宋体" w:cs="宋体"/>
          <w:b/>
          <w:bCs/>
          <w:sz w:val="24"/>
          <w:szCs w:val="24"/>
          <w:lang w:val="en-US" w:eastAsia="zh-CN"/>
        </w:rPr>
        <w:t>说明：在项目评审时被认定为串通投标的投标人不得参加该项目下的投标活动。</w:t>
      </w:r>
    </w:p>
    <w:p w14:paraId="2FFDA81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4.中标通知书发放</w:t>
      </w:r>
    </w:p>
    <w:p w14:paraId="174D8CC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我院招标办以书面形式向成交供应商发出中标书，中标通知书是合同的重要组成部分，对采购人和成交供应商具有同等法律效力。</w:t>
      </w:r>
    </w:p>
    <w:p w14:paraId="4AE235D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成交供应商需在规定时间内到指定地点领取中标通知书，须持中标通知书签订成交合同。</w:t>
      </w:r>
    </w:p>
    <w:p w14:paraId="63A78864">
      <w:pPr>
        <w:pageBreakBefore w:val="0"/>
        <w:numPr>
          <w:ilvl w:val="0"/>
          <w:numId w:val="0"/>
        </w:numPr>
        <w:wordWrap w:val="0"/>
        <w:autoSpaceDE/>
        <w:autoSpaceDN/>
        <w:bidi w:val="0"/>
        <w:snapToGrid/>
        <w:spacing w:line="360" w:lineRule="auto"/>
        <w:ind w:left="0" w:right="0" w:firstLine="200"/>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四、质疑</w:t>
      </w:r>
    </w:p>
    <w:p w14:paraId="50E95955">
      <w:pPr>
        <w:pageBreakBefore w:val="0"/>
        <w:numPr>
          <w:ilvl w:val="0"/>
          <w:numId w:val="0"/>
        </w:numPr>
        <w:wordWrap w:val="0"/>
        <w:autoSpaceDE/>
        <w:autoSpaceDN/>
        <w:bidi w:val="0"/>
        <w:snapToGrid/>
        <w:spacing w:line="360" w:lineRule="auto"/>
        <w:ind w:left="0" w:right="0" w:firstLine="200"/>
        <w:rPr>
          <w:rFonts w:hint="eastAsia" w:ascii="宋体" w:hAnsi="宋体" w:eastAsia="宋体" w:cs="宋体"/>
          <w:b w:val="0"/>
          <w:sz w:val="24"/>
          <w:szCs w:val="24"/>
          <w:lang w:val="en-US" w:eastAsia="zh-CN"/>
        </w:rPr>
      </w:pPr>
      <w:r>
        <w:rPr>
          <w:rFonts w:hint="eastAsia" w:ascii="宋体" w:hAnsi="宋体" w:eastAsia="宋体" w:cs="宋体"/>
          <w:b w:val="0"/>
          <w:sz w:val="24"/>
          <w:szCs w:val="24"/>
          <w:lang w:val="en-US" w:eastAsia="zh-CN"/>
        </w:rPr>
        <w:t>（一）供应商认为采购过程和中标、成交结果使自己权益受到损害的，可以在中标结果告知后2日内，以书面形式一次性向我单位提出质疑，质疑采用实名制。我单位将在7个工作日内以书面形式针对质疑内容作出答复。</w:t>
      </w:r>
    </w:p>
    <w:p w14:paraId="5F9D6165">
      <w:pPr>
        <w:pageBreakBefore w:val="0"/>
        <w:numPr>
          <w:ilvl w:val="0"/>
          <w:numId w:val="0"/>
        </w:numPr>
        <w:wordWrap w:val="0"/>
        <w:autoSpaceDE/>
        <w:autoSpaceDN/>
        <w:bidi w:val="0"/>
        <w:snapToGrid/>
        <w:spacing w:line="360" w:lineRule="auto"/>
        <w:ind w:left="0" w:right="0" w:firstLine="200"/>
        <w:rPr>
          <w:rFonts w:hint="eastAsia" w:ascii="宋体" w:hAnsi="宋体" w:eastAsia="宋体" w:cs="宋体"/>
          <w:b w:val="0"/>
          <w:sz w:val="24"/>
          <w:szCs w:val="24"/>
          <w:lang w:val="en-US" w:eastAsia="zh-CN"/>
        </w:rPr>
      </w:pPr>
      <w:r>
        <w:rPr>
          <w:rFonts w:hint="eastAsia" w:ascii="宋体" w:hAnsi="宋体" w:eastAsia="宋体" w:cs="宋体"/>
          <w:b w:val="0"/>
          <w:sz w:val="24"/>
          <w:szCs w:val="24"/>
          <w:lang w:val="en-US" w:eastAsia="zh-CN"/>
        </w:rPr>
        <w:t>（二）供应商提出质疑应当提交质疑函和必要的证明材料。质疑函应当包括下列内容：</w:t>
      </w:r>
    </w:p>
    <w:p w14:paraId="428F97C7">
      <w:pPr>
        <w:pageBreakBefore w:val="0"/>
        <w:numPr>
          <w:ilvl w:val="0"/>
          <w:numId w:val="0"/>
        </w:numPr>
        <w:wordWrap w:val="0"/>
        <w:autoSpaceDE/>
        <w:autoSpaceDN/>
        <w:bidi w:val="0"/>
        <w:snapToGrid/>
        <w:spacing w:line="360" w:lineRule="auto"/>
        <w:ind w:left="882" w:leftChars="420" w:right="0" w:firstLine="100"/>
        <w:rPr>
          <w:rFonts w:hint="eastAsia" w:ascii="宋体" w:hAnsi="宋体" w:eastAsia="宋体" w:cs="宋体"/>
          <w:b w:val="0"/>
          <w:sz w:val="24"/>
          <w:szCs w:val="24"/>
          <w:lang w:val="en-US" w:eastAsia="zh-CN"/>
        </w:rPr>
      </w:pPr>
      <w:r>
        <w:rPr>
          <w:rFonts w:hint="eastAsia" w:ascii="宋体" w:hAnsi="宋体" w:eastAsia="宋体" w:cs="宋体"/>
          <w:b w:val="0"/>
          <w:sz w:val="24"/>
          <w:szCs w:val="24"/>
          <w:lang w:val="en-US" w:eastAsia="zh-CN"/>
        </w:rPr>
        <w:t>1.供应商的姓名或者名称、地址、邮编、联系人及联系电话；</w:t>
      </w:r>
    </w:p>
    <w:p w14:paraId="147BB328">
      <w:pPr>
        <w:pageBreakBefore w:val="0"/>
        <w:numPr>
          <w:ilvl w:val="0"/>
          <w:numId w:val="0"/>
        </w:numPr>
        <w:wordWrap w:val="0"/>
        <w:autoSpaceDE/>
        <w:autoSpaceDN/>
        <w:bidi w:val="0"/>
        <w:snapToGrid/>
        <w:spacing w:line="360" w:lineRule="auto"/>
        <w:ind w:left="882" w:leftChars="420" w:right="0" w:firstLine="100"/>
        <w:rPr>
          <w:rFonts w:hint="eastAsia" w:ascii="宋体" w:hAnsi="宋体" w:eastAsia="宋体" w:cs="宋体"/>
          <w:b w:val="0"/>
          <w:sz w:val="24"/>
          <w:szCs w:val="24"/>
          <w:lang w:val="en-US" w:eastAsia="zh-CN"/>
        </w:rPr>
      </w:pPr>
      <w:r>
        <w:rPr>
          <w:rFonts w:hint="eastAsia" w:ascii="宋体" w:hAnsi="宋体" w:eastAsia="宋体" w:cs="宋体"/>
          <w:b w:val="0"/>
          <w:sz w:val="24"/>
          <w:szCs w:val="24"/>
          <w:lang w:val="en-US" w:eastAsia="zh-CN"/>
        </w:rPr>
        <w:t>2.质疑项目名称；</w:t>
      </w:r>
    </w:p>
    <w:p w14:paraId="3AB58F26">
      <w:pPr>
        <w:pageBreakBefore w:val="0"/>
        <w:numPr>
          <w:ilvl w:val="0"/>
          <w:numId w:val="0"/>
        </w:numPr>
        <w:wordWrap w:val="0"/>
        <w:autoSpaceDE/>
        <w:autoSpaceDN/>
        <w:bidi w:val="0"/>
        <w:snapToGrid/>
        <w:spacing w:line="360" w:lineRule="auto"/>
        <w:ind w:left="882" w:leftChars="420" w:right="0" w:firstLine="100"/>
        <w:rPr>
          <w:rFonts w:hint="eastAsia" w:ascii="宋体" w:hAnsi="宋体" w:eastAsia="宋体" w:cs="宋体"/>
          <w:b w:val="0"/>
          <w:sz w:val="24"/>
          <w:szCs w:val="24"/>
          <w:lang w:val="en-US" w:eastAsia="zh-CN"/>
        </w:rPr>
      </w:pPr>
      <w:r>
        <w:rPr>
          <w:rFonts w:hint="eastAsia" w:ascii="宋体" w:hAnsi="宋体" w:eastAsia="宋体" w:cs="宋体"/>
          <w:b w:val="0"/>
          <w:sz w:val="24"/>
          <w:szCs w:val="24"/>
          <w:lang w:val="en-US" w:eastAsia="zh-CN"/>
        </w:rPr>
        <w:t>3.具体、明确的质疑事项和与质疑事项相关的请求；</w:t>
      </w:r>
    </w:p>
    <w:p w14:paraId="6F6A8556">
      <w:pPr>
        <w:pageBreakBefore w:val="0"/>
        <w:numPr>
          <w:ilvl w:val="0"/>
          <w:numId w:val="0"/>
        </w:numPr>
        <w:wordWrap w:val="0"/>
        <w:autoSpaceDE/>
        <w:autoSpaceDN/>
        <w:bidi w:val="0"/>
        <w:snapToGrid/>
        <w:spacing w:line="360" w:lineRule="auto"/>
        <w:ind w:left="882" w:leftChars="420" w:right="0" w:firstLine="100"/>
        <w:rPr>
          <w:rFonts w:hint="eastAsia" w:ascii="宋体" w:hAnsi="宋体" w:eastAsia="宋体" w:cs="宋体"/>
          <w:b w:val="0"/>
          <w:sz w:val="24"/>
          <w:szCs w:val="24"/>
          <w:lang w:val="en-US" w:eastAsia="zh-CN"/>
        </w:rPr>
      </w:pPr>
      <w:r>
        <w:rPr>
          <w:rFonts w:hint="eastAsia" w:ascii="宋体" w:hAnsi="宋体" w:eastAsia="宋体" w:cs="宋体"/>
          <w:b w:val="0"/>
          <w:sz w:val="24"/>
          <w:szCs w:val="24"/>
          <w:lang w:val="en-US" w:eastAsia="zh-CN"/>
        </w:rPr>
        <w:t>4.事实依据及必要的法律依据；</w:t>
      </w:r>
    </w:p>
    <w:p w14:paraId="5E6069EF">
      <w:pPr>
        <w:pageBreakBefore w:val="0"/>
        <w:numPr>
          <w:ilvl w:val="0"/>
          <w:numId w:val="0"/>
        </w:numPr>
        <w:wordWrap w:val="0"/>
        <w:autoSpaceDE/>
        <w:autoSpaceDN/>
        <w:bidi w:val="0"/>
        <w:snapToGrid/>
        <w:spacing w:line="360" w:lineRule="auto"/>
        <w:ind w:left="882" w:leftChars="420" w:right="0" w:firstLine="100"/>
        <w:rPr>
          <w:rFonts w:hint="eastAsia" w:ascii="宋体" w:hAnsi="宋体" w:eastAsia="宋体" w:cs="宋体"/>
          <w:b w:val="0"/>
          <w:sz w:val="24"/>
          <w:szCs w:val="24"/>
          <w:lang w:val="en-US" w:eastAsia="zh-CN"/>
        </w:rPr>
      </w:pPr>
      <w:r>
        <w:rPr>
          <w:rFonts w:hint="eastAsia" w:ascii="宋体" w:hAnsi="宋体" w:eastAsia="宋体" w:cs="宋体"/>
          <w:b w:val="0"/>
          <w:sz w:val="24"/>
          <w:szCs w:val="24"/>
          <w:lang w:val="en-US" w:eastAsia="zh-CN"/>
        </w:rPr>
        <w:t>5.质疑日期</w:t>
      </w:r>
    </w:p>
    <w:p w14:paraId="6617C5DB">
      <w:pPr>
        <w:pageBreakBefore w:val="0"/>
        <w:numPr>
          <w:ilvl w:val="0"/>
          <w:numId w:val="0"/>
        </w:numPr>
        <w:wordWrap w:val="0"/>
        <w:autoSpaceDE/>
        <w:autoSpaceDN/>
        <w:bidi w:val="0"/>
        <w:snapToGrid/>
        <w:spacing w:line="360" w:lineRule="auto"/>
        <w:ind w:left="0" w:right="0" w:firstLine="200"/>
        <w:rPr>
          <w:rFonts w:hint="eastAsia" w:ascii="宋体" w:hAnsi="宋体" w:eastAsia="宋体" w:cs="宋体"/>
          <w:b w:val="0"/>
          <w:sz w:val="24"/>
          <w:szCs w:val="24"/>
          <w:lang w:val="en-US" w:eastAsia="zh-CN"/>
        </w:rPr>
      </w:pPr>
      <w:r>
        <w:rPr>
          <w:rFonts w:hint="eastAsia" w:ascii="宋体" w:hAnsi="宋体" w:eastAsia="宋体" w:cs="宋体"/>
          <w:b w:val="0"/>
          <w:sz w:val="24"/>
          <w:szCs w:val="24"/>
          <w:lang w:val="en-US" w:eastAsia="zh-CN"/>
        </w:rPr>
        <w:t>（三）供应商在提出质疑时，请严格按照相关法律法规及质疑函范本要求提出和制作，否则，自行承担相关不利后果。</w:t>
      </w:r>
    </w:p>
    <w:p w14:paraId="5A27EB5B">
      <w:pPr>
        <w:pageBreakBefore w:val="0"/>
        <w:numPr>
          <w:ilvl w:val="0"/>
          <w:numId w:val="0"/>
        </w:numPr>
        <w:wordWrap w:val="0"/>
        <w:autoSpaceDE/>
        <w:autoSpaceDN/>
        <w:bidi w:val="0"/>
        <w:snapToGrid/>
        <w:spacing w:line="360" w:lineRule="auto"/>
        <w:ind w:left="0" w:right="0" w:firstLine="200"/>
        <w:rPr>
          <w:rFonts w:hint="eastAsia" w:ascii="宋体" w:hAnsi="宋体" w:eastAsia="宋体" w:cs="宋体"/>
          <w:b w:val="0"/>
          <w:sz w:val="24"/>
          <w:szCs w:val="24"/>
          <w:lang w:val="en-US" w:eastAsia="zh-CN"/>
        </w:rPr>
      </w:pPr>
      <w:r>
        <w:rPr>
          <w:rFonts w:hint="eastAsia" w:ascii="宋体" w:hAnsi="宋体" w:eastAsia="宋体" w:cs="宋体"/>
          <w:b w:val="0"/>
          <w:sz w:val="24"/>
          <w:szCs w:val="24"/>
          <w:lang w:val="en-US" w:eastAsia="zh-CN"/>
        </w:rPr>
        <w:t>对捏造事实，提供虚假材料或者以非法手段取得证明材料进行恶意质疑的，一经查实，将上报监督部门，并不得再参与我院的任何采购项目。</w:t>
      </w:r>
    </w:p>
    <w:p w14:paraId="325F31A0">
      <w:pPr>
        <w:pageBreakBefore w:val="0"/>
        <w:numPr>
          <w:ilvl w:val="0"/>
          <w:numId w:val="0"/>
        </w:numPr>
        <w:wordWrap w:val="0"/>
        <w:autoSpaceDE/>
        <w:autoSpaceDN/>
        <w:bidi w:val="0"/>
        <w:snapToGrid/>
        <w:spacing w:line="360" w:lineRule="auto"/>
        <w:ind w:left="0" w:right="0" w:firstLine="100"/>
        <w:rPr>
          <w:rFonts w:hint="eastAsia" w:ascii="宋体" w:hAnsi="宋体" w:eastAsia="宋体" w:cs="宋体"/>
          <w:b/>
          <w:sz w:val="24"/>
          <w:szCs w:val="24"/>
          <w:lang w:val="en-US" w:eastAsia="zh-CN"/>
        </w:rPr>
      </w:pPr>
    </w:p>
    <w:p w14:paraId="705DAA2C">
      <w:pPr>
        <w:pageBreakBefore w:val="0"/>
        <w:numPr>
          <w:ilvl w:val="0"/>
          <w:numId w:val="0"/>
        </w:numPr>
        <w:wordWrap w:val="0"/>
        <w:autoSpaceDE/>
        <w:autoSpaceDN/>
        <w:bidi w:val="0"/>
        <w:snapToGrid/>
        <w:spacing w:line="360" w:lineRule="auto"/>
        <w:ind w:left="0" w:right="0" w:firstLine="100"/>
        <w:rPr>
          <w:rFonts w:hint="eastAsia" w:ascii="宋体" w:hAnsi="宋体" w:eastAsia="宋体" w:cs="宋体"/>
          <w:b/>
          <w:sz w:val="24"/>
          <w:szCs w:val="24"/>
          <w:lang w:val="en-US" w:eastAsia="zh-CN"/>
        </w:rPr>
      </w:pPr>
    </w:p>
    <w:p w14:paraId="4C42FC7E">
      <w:pPr>
        <w:pageBreakBefore w:val="0"/>
        <w:numPr>
          <w:ilvl w:val="0"/>
          <w:numId w:val="0"/>
        </w:numPr>
        <w:wordWrap w:val="0"/>
        <w:autoSpaceDE/>
        <w:autoSpaceDN/>
        <w:bidi w:val="0"/>
        <w:snapToGrid/>
        <w:spacing w:line="360" w:lineRule="auto"/>
        <w:ind w:left="0" w:right="0" w:firstLine="100"/>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 五、投标失信行为黑名单制度</w:t>
      </w:r>
    </w:p>
    <w:p w14:paraId="460F4E9C">
      <w:pPr>
        <w:pageBreakBefore w:val="0"/>
        <w:numPr>
          <w:ilvl w:val="0"/>
          <w:numId w:val="0"/>
        </w:numPr>
        <w:wordWrap w:val="0"/>
        <w:autoSpaceDE/>
        <w:autoSpaceDN/>
        <w:bidi w:val="0"/>
        <w:snapToGrid/>
        <w:spacing w:line="360" w:lineRule="auto"/>
        <w:ind w:left="0" w:leftChars="0" w:right="0" w:firstLine="100"/>
        <w:rPr>
          <w:rFonts w:hint="eastAsia" w:ascii="宋体" w:hAnsi="宋体" w:eastAsia="宋体" w:cs="宋体"/>
          <w:b w:val="0"/>
          <w:sz w:val="24"/>
          <w:szCs w:val="24"/>
          <w:lang w:val="en-US" w:eastAsia="zh-CN"/>
        </w:rPr>
      </w:pPr>
      <w:r>
        <w:rPr>
          <w:rFonts w:hint="eastAsia" w:ascii="宋体" w:hAnsi="宋体" w:eastAsia="宋体" w:cs="宋体"/>
          <w:b w:val="0"/>
          <w:sz w:val="24"/>
          <w:szCs w:val="24"/>
          <w:lang w:val="en-US" w:eastAsia="zh-CN"/>
        </w:rPr>
        <w:t>见下页</w:t>
      </w:r>
    </w:p>
    <w:p w14:paraId="43AC1A15">
      <w:pPr>
        <w:pageBreakBefore w:val="0"/>
        <w:numPr>
          <w:ilvl w:val="0"/>
          <w:numId w:val="0"/>
        </w:numPr>
        <w:wordWrap w:val="0"/>
        <w:autoSpaceDE/>
        <w:autoSpaceDN/>
        <w:bidi w:val="0"/>
        <w:snapToGrid/>
        <w:spacing w:line="360" w:lineRule="auto"/>
        <w:ind w:left="0" w:right="0" w:firstLine="0"/>
        <w:rPr>
          <w:rFonts w:hint="eastAsia" w:ascii="宋体" w:hAnsi="宋体" w:eastAsia="宋体" w:cs="宋体"/>
          <w:sz w:val="24"/>
          <w:szCs w:val="24"/>
          <w:lang w:val="en-US" w:eastAsia="zh-CN"/>
        </w:rPr>
      </w:pPr>
    </w:p>
    <w:p w14:paraId="1A4018F5">
      <w:pPr>
        <w:pageBreakBefore w:val="0"/>
        <w:numPr>
          <w:ilvl w:val="0"/>
          <w:numId w:val="0"/>
        </w:numPr>
        <w:wordWrap w:val="0"/>
        <w:autoSpaceDE/>
        <w:autoSpaceDN/>
        <w:bidi w:val="0"/>
        <w:snapToGrid/>
        <w:spacing w:line="360" w:lineRule="auto"/>
        <w:ind w:left="0" w:right="0" w:firstLine="0"/>
        <w:jc w:val="both"/>
        <w:rPr>
          <w:rFonts w:hint="eastAsia" w:ascii="宋体" w:hAnsi="宋体" w:eastAsia="宋体" w:cs="宋体"/>
          <w:b/>
          <w:sz w:val="24"/>
          <w:szCs w:val="24"/>
          <w:lang w:val="en-US" w:eastAsia="zh-CN"/>
        </w:rPr>
      </w:pPr>
    </w:p>
    <w:p w14:paraId="3A3A1934">
      <w:pPr>
        <w:pageBreakBefore w:val="0"/>
        <w:numPr>
          <w:ilvl w:val="0"/>
          <w:numId w:val="0"/>
        </w:numPr>
        <w:wordWrap w:val="0"/>
        <w:autoSpaceDE/>
        <w:autoSpaceDN/>
        <w:bidi w:val="0"/>
        <w:snapToGrid/>
        <w:spacing w:line="360" w:lineRule="auto"/>
        <w:ind w:left="0" w:right="0" w:firstLine="0"/>
        <w:jc w:val="center"/>
        <w:rPr>
          <w:rFonts w:hint="eastAsia" w:ascii="宋体" w:hAnsi="宋体" w:eastAsia="宋体" w:cs="宋体"/>
          <w:b/>
          <w:sz w:val="24"/>
          <w:szCs w:val="24"/>
          <w:lang w:val="en-US" w:eastAsia="zh-CN"/>
        </w:rPr>
      </w:pPr>
    </w:p>
    <w:p w14:paraId="7C4B4EE7">
      <w:pPr>
        <w:pageBreakBefore w:val="0"/>
        <w:numPr>
          <w:ilvl w:val="0"/>
          <w:numId w:val="0"/>
        </w:numPr>
        <w:wordWrap w:val="0"/>
        <w:autoSpaceDE/>
        <w:autoSpaceDN/>
        <w:bidi w:val="0"/>
        <w:snapToGrid/>
        <w:spacing w:line="360" w:lineRule="auto"/>
        <w:ind w:left="0" w:right="0" w:firstLine="0"/>
        <w:jc w:val="both"/>
        <w:rPr>
          <w:rFonts w:hint="eastAsia" w:ascii="宋体" w:hAnsi="宋体" w:eastAsia="宋体" w:cs="宋体"/>
          <w:b/>
          <w:sz w:val="24"/>
          <w:szCs w:val="24"/>
          <w:lang w:val="en-US" w:eastAsia="zh-CN"/>
        </w:rPr>
      </w:pPr>
    </w:p>
    <w:p w14:paraId="6A7129FD">
      <w:pPr>
        <w:pageBreakBefore w:val="0"/>
        <w:numPr>
          <w:ilvl w:val="0"/>
          <w:numId w:val="0"/>
        </w:numPr>
        <w:wordWrap w:val="0"/>
        <w:autoSpaceDE/>
        <w:autoSpaceDN/>
        <w:bidi w:val="0"/>
        <w:snapToGrid/>
        <w:spacing w:line="360" w:lineRule="auto"/>
        <w:ind w:left="0" w:right="0" w:firstLine="0"/>
        <w:jc w:val="both"/>
        <w:rPr>
          <w:rFonts w:hint="eastAsia" w:ascii="宋体" w:hAnsi="宋体" w:eastAsia="宋体" w:cs="宋体"/>
          <w:b/>
          <w:sz w:val="24"/>
          <w:szCs w:val="24"/>
          <w:lang w:val="en-US" w:eastAsia="zh-CN"/>
        </w:rPr>
      </w:pPr>
    </w:p>
    <w:p w14:paraId="67D445C5">
      <w:pPr>
        <w:pageBreakBefore w:val="0"/>
        <w:numPr>
          <w:ilvl w:val="0"/>
          <w:numId w:val="0"/>
        </w:numPr>
        <w:wordWrap w:val="0"/>
        <w:autoSpaceDE/>
        <w:autoSpaceDN/>
        <w:bidi w:val="0"/>
        <w:snapToGrid/>
        <w:spacing w:line="360" w:lineRule="auto"/>
        <w:ind w:left="0" w:right="0" w:firstLine="0"/>
        <w:jc w:val="center"/>
        <w:rPr>
          <w:rFonts w:hint="eastAsia" w:ascii="宋体" w:hAnsi="宋体" w:eastAsia="宋体" w:cs="宋体"/>
          <w:b/>
          <w:sz w:val="24"/>
          <w:szCs w:val="24"/>
          <w:lang w:val="en-US" w:eastAsia="zh-CN"/>
        </w:rPr>
      </w:pPr>
    </w:p>
    <w:p w14:paraId="72DC82C1">
      <w:pPr>
        <w:pageBreakBefore w:val="0"/>
        <w:numPr>
          <w:ilvl w:val="0"/>
          <w:numId w:val="0"/>
        </w:numPr>
        <w:wordWrap w:val="0"/>
        <w:autoSpaceDE/>
        <w:autoSpaceDN/>
        <w:bidi w:val="0"/>
        <w:snapToGrid/>
        <w:spacing w:line="360" w:lineRule="auto"/>
        <w:ind w:left="0" w:right="0" w:firstLine="0"/>
        <w:jc w:val="center"/>
        <w:rPr>
          <w:rFonts w:hint="eastAsia" w:ascii="宋体" w:hAnsi="宋体" w:eastAsia="宋体" w:cs="宋体"/>
          <w:b/>
          <w:sz w:val="24"/>
          <w:szCs w:val="24"/>
          <w:lang w:val="en-US" w:eastAsia="zh-CN"/>
        </w:rPr>
      </w:pPr>
    </w:p>
    <w:p w14:paraId="534EC47C">
      <w:pPr>
        <w:pageBreakBefore w:val="0"/>
        <w:numPr>
          <w:ilvl w:val="0"/>
          <w:numId w:val="0"/>
        </w:numPr>
        <w:wordWrap w:val="0"/>
        <w:autoSpaceDE/>
        <w:autoSpaceDN/>
        <w:bidi w:val="0"/>
        <w:snapToGrid/>
        <w:spacing w:line="360" w:lineRule="auto"/>
        <w:ind w:left="0" w:right="0" w:firstLine="0"/>
        <w:jc w:val="center"/>
        <w:rPr>
          <w:rFonts w:hint="eastAsia" w:ascii="宋体" w:hAnsi="宋体" w:eastAsia="宋体" w:cs="宋体"/>
          <w:b/>
          <w:sz w:val="24"/>
          <w:szCs w:val="24"/>
          <w:lang w:val="en-US" w:eastAsia="zh-CN"/>
        </w:rPr>
      </w:pPr>
    </w:p>
    <w:p w14:paraId="67F3F09E">
      <w:pPr>
        <w:pageBreakBefore w:val="0"/>
        <w:numPr>
          <w:ilvl w:val="0"/>
          <w:numId w:val="0"/>
        </w:numPr>
        <w:wordWrap w:val="0"/>
        <w:autoSpaceDE/>
        <w:autoSpaceDN/>
        <w:bidi w:val="0"/>
        <w:snapToGrid/>
        <w:spacing w:line="360" w:lineRule="auto"/>
        <w:ind w:left="0" w:right="0" w:firstLine="0"/>
        <w:jc w:val="center"/>
        <w:rPr>
          <w:rFonts w:hint="eastAsia" w:ascii="宋体" w:hAnsi="宋体" w:eastAsia="宋体" w:cs="宋体"/>
          <w:b/>
          <w:sz w:val="24"/>
          <w:szCs w:val="24"/>
          <w:lang w:val="en-US" w:eastAsia="zh-CN"/>
        </w:rPr>
      </w:pPr>
    </w:p>
    <w:p w14:paraId="4607953C">
      <w:pPr>
        <w:pageBreakBefore w:val="0"/>
        <w:numPr>
          <w:ilvl w:val="0"/>
          <w:numId w:val="0"/>
        </w:numPr>
        <w:wordWrap w:val="0"/>
        <w:autoSpaceDE/>
        <w:autoSpaceDN/>
        <w:bidi w:val="0"/>
        <w:snapToGrid/>
        <w:spacing w:line="360" w:lineRule="auto"/>
        <w:ind w:left="0" w:right="0" w:firstLine="0"/>
        <w:jc w:val="center"/>
        <w:rPr>
          <w:rFonts w:hint="eastAsia" w:ascii="宋体" w:hAnsi="宋体" w:eastAsia="宋体" w:cs="宋体"/>
          <w:b/>
          <w:sz w:val="24"/>
          <w:szCs w:val="24"/>
          <w:lang w:val="en-US" w:eastAsia="zh-CN"/>
        </w:rPr>
      </w:pPr>
    </w:p>
    <w:p w14:paraId="12C6B868">
      <w:pPr>
        <w:pageBreakBefore w:val="0"/>
        <w:numPr>
          <w:ilvl w:val="0"/>
          <w:numId w:val="0"/>
        </w:numPr>
        <w:wordWrap w:val="0"/>
        <w:autoSpaceDE/>
        <w:autoSpaceDN/>
        <w:bidi w:val="0"/>
        <w:snapToGrid/>
        <w:spacing w:line="360" w:lineRule="auto"/>
        <w:ind w:left="0" w:right="0" w:firstLine="0"/>
        <w:jc w:val="center"/>
        <w:rPr>
          <w:rFonts w:hint="eastAsia" w:ascii="宋体" w:hAnsi="宋体" w:eastAsia="宋体" w:cs="宋体"/>
          <w:b/>
          <w:sz w:val="24"/>
          <w:szCs w:val="24"/>
          <w:lang w:val="en-US" w:eastAsia="zh-CN"/>
        </w:rPr>
      </w:pPr>
    </w:p>
    <w:p w14:paraId="484FCAFD">
      <w:pPr>
        <w:pageBreakBefore w:val="0"/>
        <w:numPr>
          <w:ilvl w:val="0"/>
          <w:numId w:val="0"/>
        </w:numPr>
        <w:wordWrap w:val="0"/>
        <w:autoSpaceDE/>
        <w:autoSpaceDN/>
        <w:bidi w:val="0"/>
        <w:snapToGrid/>
        <w:spacing w:line="360" w:lineRule="auto"/>
        <w:ind w:left="0" w:right="0" w:firstLine="0"/>
        <w:jc w:val="center"/>
        <w:rPr>
          <w:rFonts w:hint="eastAsia" w:ascii="宋体" w:hAnsi="宋体" w:eastAsia="宋体" w:cs="宋体"/>
          <w:b/>
          <w:sz w:val="24"/>
          <w:szCs w:val="24"/>
          <w:lang w:val="en-US" w:eastAsia="zh-CN"/>
        </w:rPr>
      </w:pPr>
    </w:p>
    <w:p w14:paraId="3786A317">
      <w:pPr>
        <w:pageBreakBefore w:val="0"/>
        <w:numPr>
          <w:ilvl w:val="0"/>
          <w:numId w:val="0"/>
        </w:numPr>
        <w:wordWrap w:val="0"/>
        <w:autoSpaceDE/>
        <w:autoSpaceDN/>
        <w:bidi w:val="0"/>
        <w:snapToGrid/>
        <w:spacing w:line="360" w:lineRule="auto"/>
        <w:ind w:left="0" w:right="0" w:firstLine="0"/>
        <w:jc w:val="center"/>
        <w:rPr>
          <w:rFonts w:hint="eastAsia" w:ascii="宋体" w:hAnsi="宋体" w:eastAsia="宋体" w:cs="宋体"/>
          <w:b/>
          <w:sz w:val="24"/>
          <w:szCs w:val="24"/>
          <w:lang w:val="en-US" w:eastAsia="zh-CN"/>
        </w:rPr>
      </w:pPr>
    </w:p>
    <w:p w14:paraId="46460230">
      <w:pPr>
        <w:pageBreakBefore w:val="0"/>
        <w:numPr>
          <w:ilvl w:val="0"/>
          <w:numId w:val="0"/>
        </w:numPr>
        <w:wordWrap w:val="0"/>
        <w:autoSpaceDE/>
        <w:autoSpaceDN/>
        <w:bidi w:val="0"/>
        <w:snapToGrid/>
        <w:spacing w:line="360" w:lineRule="auto"/>
        <w:ind w:left="0" w:right="0" w:firstLine="0"/>
        <w:jc w:val="center"/>
        <w:rPr>
          <w:rFonts w:hint="eastAsia" w:ascii="宋体" w:hAnsi="宋体" w:eastAsia="宋体" w:cs="宋体"/>
          <w:b/>
          <w:sz w:val="24"/>
          <w:szCs w:val="24"/>
          <w:lang w:val="en-US" w:eastAsia="zh-CN"/>
        </w:rPr>
      </w:pPr>
    </w:p>
    <w:p w14:paraId="0CD89F6A">
      <w:pPr>
        <w:pageBreakBefore w:val="0"/>
        <w:numPr>
          <w:ilvl w:val="0"/>
          <w:numId w:val="0"/>
        </w:numPr>
        <w:wordWrap w:val="0"/>
        <w:autoSpaceDE/>
        <w:autoSpaceDN/>
        <w:bidi w:val="0"/>
        <w:snapToGrid/>
        <w:spacing w:line="360" w:lineRule="auto"/>
        <w:ind w:left="0" w:right="0" w:firstLine="0"/>
        <w:jc w:val="center"/>
        <w:rPr>
          <w:rFonts w:hint="eastAsia" w:ascii="宋体" w:hAnsi="宋体" w:eastAsia="宋体" w:cs="宋体"/>
          <w:b/>
          <w:sz w:val="24"/>
          <w:szCs w:val="24"/>
          <w:lang w:val="en-US" w:eastAsia="zh-CN"/>
        </w:rPr>
      </w:pPr>
    </w:p>
    <w:p w14:paraId="65961723">
      <w:pPr>
        <w:pageBreakBefore w:val="0"/>
        <w:numPr>
          <w:ilvl w:val="0"/>
          <w:numId w:val="0"/>
        </w:numPr>
        <w:wordWrap w:val="0"/>
        <w:autoSpaceDE/>
        <w:autoSpaceDN/>
        <w:bidi w:val="0"/>
        <w:snapToGrid/>
        <w:spacing w:line="360" w:lineRule="auto"/>
        <w:ind w:left="0" w:right="0" w:firstLine="0"/>
        <w:jc w:val="center"/>
        <w:rPr>
          <w:rFonts w:hint="eastAsia" w:ascii="宋体" w:hAnsi="宋体" w:eastAsia="宋体" w:cs="宋体"/>
          <w:b/>
          <w:sz w:val="24"/>
          <w:szCs w:val="24"/>
          <w:lang w:val="en-US" w:eastAsia="zh-CN"/>
        </w:rPr>
      </w:pPr>
    </w:p>
    <w:p w14:paraId="523823DD">
      <w:pPr>
        <w:pageBreakBefore w:val="0"/>
        <w:numPr>
          <w:ilvl w:val="0"/>
          <w:numId w:val="0"/>
        </w:numPr>
        <w:wordWrap w:val="0"/>
        <w:autoSpaceDE/>
        <w:autoSpaceDN/>
        <w:bidi w:val="0"/>
        <w:snapToGrid/>
        <w:spacing w:line="360" w:lineRule="auto"/>
        <w:ind w:left="0" w:right="0" w:firstLine="0"/>
        <w:jc w:val="center"/>
        <w:rPr>
          <w:rFonts w:hint="eastAsia" w:ascii="宋体" w:hAnsi="宋体" w:eastAsia="宋体" w:cs="宋体"/>
          <w:b/>
          <w:sz w:val="24"/>
          <w:szCs w:val="24"/>
          <w:lang w:val="en-US" w:eastAsia="zh-CN"/>
        </w:rPr>
      </w:pPr>
    </w:p>
    <w:p w14:paraId="787F1568">
      <w:pPr>
        <w:pageBreakBefore w:val="0"/>
        <w:numPr>
          <w:ilvl w:val="0"/>
          <w:numId w:val="0"/>
        </w:numPr>
        <w:wordWrap w:val="0"/>
        <w:autoSpaceDE/>
        <w:autoSpaceDN/>
        <w:bidi w:val="0"/>
        <w:snapToGrid/>
        <w:spacing w:line="360" w:lineRule="auto"/>
        <w:ind w:left="0" w:right="0" w:firstLine="0"/>
        <w:jc w:val="center"/>
        <w:rPr>
          <w:rFonts w:hint="eastAsia" w:ascii="宋体" w:hAnsi="宋体" w:eastAsia="宋体" w:cs="宋体"/>
          <w:b/>
          <w:sz w:val="24"/>
          <w:szCs w:val="24"/>
          <w:lang w:val="en-US" w:eastAsia="zh-CN"/>
        </w:rPr>
      </w:pPr>
    </w:p>
    <w:p w14:paraId="2ACB13D5">
      <w:pPr>
        <w:pageBreakBefore w:val="0"/>
        <w:numPr>
          <w:ilvl w:val="0"/>
          <w:numId w:val="0"/>
        </w:numPr>
        <w:wordWrap w:val="0"/>
        <w:autoSpaceDE/>
        <w:autoSpaceDN/>
        <w:bidi w:val="0"/>
        <w:snapToGrid/>
        <w:spacing w:line="360" w:lineRule="auto"/>
        <w:ind w:left="0" w:right="0" w:firstLine="0"/>
        <w:jc w:val="center"/>
        <w:rPr>
          <w:rFonts w:hint="eastAsia" w:ascii="宋体" w:hAnsi="宋体" w:eastAsia="宋体" w:cs="宋体"/>
          <w:b/>
          <w:sz w:val="24"/>
          <w:szCs w:val="24"/>
          <w:lang w:val="en-US" w:eastAsia="zh-CN"/>
        </w:rPr>
      </w:pPr>
    </w:p>
    <w:p w14:paraId="59BECB82">
      <w:pPr>
        <w:pageBreakBefore w:val="0"/>
        <w:numPr>
          <w:ilvl w:val="0"/>
          <w:numId w:val="0"/>
        </w:numPr>
        <w:wordWrap w:val="0"/>
        <w:autoSpaceDE/>
        <w:autoSpaceDN/>
        <w:bidi w:val="0"/>
        <w:snapToGrid/>
        <w:spacing w:line="360" w:lineRule="auto"/>
        <w:ind w:left="0" w:right="0" w:firstLine="0"/>
        <w:jc w:val="center"/>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投标失信行为黑名单制度</w:t>
      </w:r>
    </w:p>
    <w:p w14:paraId="77D6282F">
      <w:pPr>
        <w:pageBreakBefore w:val="0"/>
        <w:numPr>
          <w:ilvl w:val="0"/>
          <w:numId w:val="0"/>
        </w:numPr>
        <w:wordWrap w:val="0"/>
        <w:autoSpaceDE/>
        <w:autoSpaceDN/>
        <w:bidi w:val="0"/>
        <w:snapToGrid/>
        <w:spacing w:line="360" w:lineRule="auto"/>
        <w:ind w:left="0" w:right="0" w:firstLine="200"/>
        <w:jc w:val="lef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为规范院内招标采购活动，约束投标供应商行为，保障医院的合法权益，现制定院内招标采购黑名单制度。</w:t>
      </w:r>
    </w:p>
    <w:p w14:paraId="14A649C0">
      <w:pPr>
        <w:pageBreakBefore w:val="0"/>
        <w:numPr>
          <w:ilvl w:val="0"/>
          <w:numId w:val="0"/>
        </w:numPr>
        <w:wordWrap w:val="0"/>
        <w:autoSpaceDE/>
        <w:autoSpaceDN/>
        <w:bidi w:val="0"/>
        <w:snapToGrid/>
        <w:spacing w:line="360" w:lineRule="auto"/>
        <w:ind w:left="0" w:right="0" w:firstLine="200"/>
        <w:jc w:val="lef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一、投标供应商有如下行为的之一的，纳入黑名单目录。</w:t>
      </w:r>
    </w:p>
    <w:p w14:paraId="0E552541">
      <w:pPr>
        <w:pageBreakBefore w:val="0"/>
        <w:numPr>
          <w:ilvl w:val="0"/>
          <w:numId w:val="0"/>
        </w:numPr>
        <w:wordWrap w:val="0"/>
        <w:autoSpaceDE/>
        <w:autoSpaceDN/>
        <w:bidi w:val="0"/>
        <w:snapToGrid/>
        <w:spacing w:line="360" w:lineRule="auto"/>
        <w:ind w:left="0" w:right="0" w:firstLine="200"/>
        <w:jc w:val="lef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黑名单记录内容：投标厂家名称、法人名称（身份证号）、项目经办人（身份证号）、联系电话等。</w:t>
      </w:r>
    </w:p>
    <w:p w14:paraId="56439C33">
      <w:pPr>
        <w:pageBreakBefore w:val="0"/>
        <w:numPr>
          <w:ilvl w:val="0"/>
          <w:numId w:val="0"/>
        </w:numPr>
        <w:wordWrap w:val="0"/>
        <w:autoSpaceDE/>
        <w:autoSpaceDN/>
        <w:bidi w:val="0"/>
        <w:snapToGrid/>
        <w:spacing w:line="360" w:lineRule="auto"/>
        <w:ind w:left="0" w:right="0" w:firstLine="200"/>
        <w:jc w:val="lef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（一）提供、采用虚假材料进行报名、投标、开标的；</w:t>
      </w:r>
    </w:p>
    <w:p w14:paraId="4A173538">
      <w:pPr>
        <w:pageBreakBefore w:val="0"/>
        <w:numPr>
          <w:ilvl w:val="0"/>
          <w:numId w:val="0"/>
        </w:numPr>
        <w:wordWrap w:val="0"/>
        <w:autoSpaceDE/>
        <w:autoSpaceDN/>
        <w:bidi w:val="0"/>
        <w:snapToGrid/>
        <w:spacing w:line="360" w:lineRule="auto"/>
        <w:ind w:left="0" w:right="0" w:firstLine="200"/>
        <w:jc w:val="lef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（二）报名成功后无故不参加开标或开标迟到；</w:t>
      </w:r>
    </w:p>
    <w:p w14:paraId="67C0BE95">
      <w:pPr>
        <w:pageBreakBefore w:val="0"/>
        <w:numPr>
          <w:ilvl w:val="0"/>
          <w:numId w:val="0"/>
        </w:numPr>
        <w:wordWrap w:val="0"/>
        <w:autoSpaceDE/>
        <w:autoSpaceDN/>
        <w:bidi w:val="0"/>
        <w:snapToGrid/>
        <w:spacing w:line="360" w:lineRule="auto"/>
        <w:ind w:left="0" w:right="0" w:firstLine="200"/>
        <w:jc w:val="lef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（三）在投标过程中存在陪标、串标、扰乱秩序等不良行为；</w:t>
      </w:r>
    </w:p>
    <w:p w14:paraId="7C1F5627">
      <w:pPr>
        <w:pageBreakBefore w:val="0"/>
        <w:numPr>
          <w:ilvl w:val="0"/>
          <w:numId w:val="0"/>
        </w:numPr>
        <w:wordWrap w:val="0"/>
        <w:autoSpaceDE/>
        <w:autoSpaceDN/>
        <w:bidi w:val="0"/>
        <w:snapToGrid/>
        <w:spacing w:line="360" w:lineRule="auto"/>
        <w:ind w:left="0" w:right="0" w:firstLine="200"/>
        <w:jc w:val="lef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（四）中标后10个工作日内无正当理由未签订采购合同或拒绝签订采购合同；如有正当理由的，需提供经管理科室负责人签字的情况说明交招标办备案后解除。</w:t>
      </w:r>
    </w:p>
    <w:p w14:paraId="04638920">
      <w:pPr>
        <w:pageBreakBefore w:val="0"/>
        <w:numPr>
          <w:ilvl w:val="0"/>
          <w:numId w:val="0"/>
        </w:numPr>
        <w:wordWrap w:val="0"/>
        <w:autoSpaceDE/>
        <w:autoSpaceDN/>
        <w:bidi w:val="0"/>
        <w:snapToGrid/>
        <w:spacing w:line="360" w:lineRule="auto"/>
        <w:ind w:left="0" w:right="0" w:firstLine="200"/>
        <w:jc w:val="lef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（五）开标后经采购小组审查招标文件，有虚假应标、串标、陪标或者围标行为的（例如呈现规律性报价、等差或者等比排列；报价绑定、建立攻守联盟等）；投标资料格式、内容等雷同的。</w:t>
      </w:r>
    </w:p>
    <w:p w14:paraId="4AE6D66E">
      <w:pPr>
        <w:pageBreakBefore w:val="0"/>
        <w:numPr>
          <w:ilvl w:val="0"/>
          <w:numId w:val="0"/>
        </w:numPr>
        <w:wordWrap w:val="0"/>
        <w:autoSpaceDE/>
        <w:autoSpaceDN/>
        <w:bidi w:val="0"/>
        <w:snapToGrid/>
        <w:spacing w:line="360" w:lineRule="auto"/>
        <w:ind w:left="0" w:right="0" w:firstLine="200"/>
        <w:jc w:val="lef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（六）中标后不履行招标公告要求，例如不按时完工或交货、不履行质保条款、将项目私自转包等；</w:t>
      </w:r>
    </w:p>
    <w:p w14:paraId="7007D957">
      <w:pPr>
        <w:pageBreakBefore w:val="0"/>
        <w:numPr>
          <w:ilvl w:val="0"/>
          <w:numId w:val="0"/>
        </w:numPr>
        <w:wordWrap w:val="0"/>
        <w:autoSpaceDE/>
        <w:autoSpaceDN/>
        <w:bidi w:val="0"/>
        <w:snapToGrid/>
        <w:spacing w:line="360" w:lineRule="auto"/>
        <w:ind w:left="0" w:right="0" w:firstLine="200"/>
        <w:jc w:val="lef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（七）所供货物低于参数要求、工程项目未按要求施工，未能通过验收，存在欺诈行为等；</w:t>
      </w:r>
    </w:p>
    <w:p w14:paraId="3C5AC043">
      <w:pPr>
        <w:pageBreakBefore w:val="0"/>
        <w:numPr>
          <w:ilvl w:val="0"/>
          <w:numId w:val="0"/>
        </w:numPr>
        <w:wordWrap w:val="0"/>
        <w:autoSpaceDE/>
        <w:autoSpaceDN/>
        <w:bidi w:val="0"/>
        <w:snapToGrid/>
        <w:spacing w:line="360" w:lineRule="auto"/>
        <w:ind w:left="0" w:right="0" w:firstLine="200"/>
        <w:jc w:val="lef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（八）无故弃标，无故弃标的厂家不予退还投标保证金或者履约保证金（对在规定时间内不供货、不弃标的厂家在合同条款中要设置院方强制解除合同条款）。</w:t>
      </w:r>
    </w:p>
    <w:p w14:paraId="15AD440D">
      <w:pPr>
        <w:pageBreakBefore w:val="0"/>
        <w:numPr>
          <w:ilvl w:val="0"/>
          <w:numId w:val="0"/>
        </w:numPr>
        <w:wordWrap w:val="0"/>
        <w:autoSpaceDE/>
        <w:autoSpaceDN/>
        <w:bidi w:val="0"/>
        <w:snapToGrid/>
        <w:spacing w:line="360" w:lineRule="auto"/>
        <w:ind w:left="0" w:right="0" w:firstLine="200"/>
        <w:jc w:val="lef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（九）经我院认定的其他投标不良行为。</w:t>
      </w:r>
    </w:p>
    <w:p w14:paraId="0964FCA9">
      <w:pPr>
        <w:pageBreakBefore w:val="0"/>
        <w:numPr>
          <w:ilvl w:val="0"/>
          <w:numId w:val="0"/>
        </w:numPr>
        <w:wordWrap w:val="0"/>
        <w:autoSpaceDE/>
        <w:autoSpaceDN/>
        <w:bidi w:val="0"/>
        <w:snapToGrid/>
        <w:spacing w:line="360" w:lineRule="auto"/>
        <w:ind w:left="0" w:right="0" w:firstLine="200"/>
        <w:jc w:val="lef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二、处罚措施</w:t>
      </w:r>
    </w:p>
    <w:p w14:paraId="2C4CFD28">
      <w:pPr>
        <w:pageBreakBefore w:val="0"/>
        <w:numPr>
          <w:ilvl w:val="0"/>
          <w:numId w:val="0"/>
        </w:numPr>
        <w:wordWrap w:val="0"/>
        <w:autoSpaceDE/>
        <w:autoSpaceDN/>
        <w:bidi w:val="0"/>
        <w:snapToGrid/>
        <w:spacing w:line="360" w:lineRule="auto"/>
        <w:ind w:left="0" w:right="0" w:firstLine="200"/>
        <w:jc w:val="lef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1.违反第1项、第2项、第3项、第4项条款的，自确定之日起，一年内不允许再次参加医院的招标采购活动。</w:t>
      </w:r>
    </w:p>
    <w:p w14:paraId="57E1097C">
      <w:pPr>
        <w:pageBreakBefore w:val="0"/>
        <w:numPr>
          <w:ilvl w:val="0"/>
          <w:numId w:val="0"/>
        </w:numPr>
        <w:wordWrap w:val="0"/>
        <w:autoSpaceDE/>
        <w:autoSpaceDN/>
        <w:bidi w:val="0"/>
        <w:snapToGrid/>
        <w:spacing w:line="360" w:lineRule="auto"/>
        <w:ind w:left="0" w:right="0" w:firstLine="200"/>
        <w:jc w:val="lef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2.违反第5项、第6项、第7项条款的，自确定之日起，三年内不允许再次参加医院的招标采购活动。</w:t>
      </w:r>
    </w:p>
    <w:p w14:paraId="74262B05">
      <w:pPr>
        <w:pageBreakBefore w:val="0"/>
        <w:numPr>
          <w:ilvl w:val="0"/>
          <w:numId w:val="0"/>
        </w:numPr>
        <w:wordWrap w:val="0"/>
        <w:autoSpaceDE/>
        <w:autoSpaceDN/>
        <w:bidi w:val="0"/>
        <w:snapToGrid/>
        <w:spacing w:line="360" w:lineRule="auto"/>
        <w:ind w:left="0" w:right="0" w:firstLine="200"/>
        <w:jc w:val="lef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3.违反第8项及其他行为造成不良影响的，自确定之日起，永久不允许参加医院的招标采购活动。</w:t>
      </w:r>
    </w:p>
    <w:p w14:paraId="2C21DCFE">
      <w:pPr>
        <w:pageBreakBefore w:val="0"/>
        <w:numPr>
          <w:ilvl w:val="0"/>
          <w:numId w:val="0"/>
        </w:numPr>
        <w:wordWrap w:val="0"/>
        <w:autoSpaceDE/>
        <w:autoSpaceDN/>
        <w:bidi w:val="0"/>
        <w:snapToGrid/>
        <w:spacing w:line="360" w:lineRule="auto"/>
        <w:ind w:left="0" w:right="0" w:firstLine="200"/>
        <w:jc w:val="lef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以上条款需要管理科室及使用科室共同加强监管，发现问题由管理科室及时报送招标办备案。</w:t>
      </w:r>
    </w:p>
    <w:p w14:paraId="7DE4EFE5">
      <w:pPr>
        <w:pageBreakBefore w:val="0"/>
        <w:numPr>
          <w:ilvl w:val="0"/>
          <w:numId w:val="0"/>
        </w:numPr>
        <w:wordWrap w:val="0"/>
        <w:autoSpaceDE/>
        <w:autoSpaceDN/>
        <w:bidi w:val="0"/>
        <w:snapToGrid/>
        <w:spacing w:line="360" w:lineRule="auto"/>
        <w:ind w:left="0" w:right="0" w:firstLine="200"/>
        <w:jc w:val="left"/>
        <w:rPr>
          <w:rFonts w:hint="eastAsia" w:ascii="宋体" w:hAnsi="宋体" w:eastAsia="宋体" w:cs="宋体"/>
          <w:b/>
          <w:sz w:val="24"/>
          <w:szCs w:val="24"/>
          <w:lang w:val="en-US" w:eastAsia="zh-CN"/>
        </w:rPr>
      </w:pPr>
      <w:r>
        <w:rPr>
          <w:rFonts w:hint="eastAsia" w:ascii="宋体" w:hAnsi="宋体" w:eastAsia="宋体" w:cs="宋体"/>
          <w:b w:val="0"/>
          <w:bCs/>
          <w:sz w:val="24"/>
          <w:szCs w:val="24"/>
          <w:lang w:val="en-US" w:eastAsia="zh-CN"/>
        </w:rPr>
        <w:t>三、本制度自下发之日起实施</w:t>
      </w:r>
      <w:r>
        <w:rPr>
          <w:rFonts w:hint="eastAsia" w:ascii="宋体" w:hAnsi="宋体" w:eastAsia="宋体" w:cs="宋体"/>
          <w:b/>
          <w:sz w:val="24"/>
          <w:szCs w:val="24"/>
          <w:lang w:val="en-US" w:eastAsia="zh-CN"/>
        </w:rPr>
        <w:t>。</w:t>
      </w:r>
    </w:p>
    <w:p w14:paraId="76035195">
      <w:pPr>
        <w:pageBreakBefore w:val="0"/>
        <w:numPr>
          <w:ilvl w:val="0"/>
          <w:numId w:val="0"/>
        </w:numPr>
        <w:wordWrap w:val="0"/>
        <w:autoSpaceDE/>
        <w:autoSpaceDN/>
        <w:bidi w:val="0"/>
        <w:snapToGrid/>
        <w:spacing w:line="360" w:lineRule="auto"/>
        <w:ind w:left="0" w:right="0" w:firstLine="200"/>
        <w:jc w:val="left"/>
        <w:rPr>
          <w:rFonts w:hint="eastAsia" w:ascii="宋体" w:hAnsi="宋体" w:eastAsia="宋体" w:cs="宋体"/>
          <w:b w:val="0"/>
          <w:sz w:val="24"/>
          <w:szCs w:val="24"/>
          <w:lang w:val="en-US" w:eastAsia="zh-CN"/>
        </w:rPr>
      </w:pPr>
      <w:r>
        <w:rPr>
          <w:rFonts w:hint="eastAsia" w:ascii="宋体" w:hAnsi="宋体" w:eastAsia="宋体" w:cs="宋体"/>
          <w:b/>
          <w:sz w:val="24"/>
          <w:szCs w:val="24"/>
          <w:lang w:val="en-US" w:eastAsia="zh-CN"/>
        </w:rPr>
        <w:t>七、合同签订</w:t>
      </w:r>
    </w:p>
    <w:p w14:paraId="37174124">
      <w:pPr>
        <w:pageBreakBefore w:val="0"/>
        <w:numPr>
          <w:ilvl w:val="0"/>
          <w:numId w:val="0"/>
        </w:numPr>
        <w:wordWrap w:val="0"/>
        <w:autoSpaceDE/>
        <w:autoSpaceDN/>
        <w:bidi w:val="0"/>
        <w:snapToGrid/>
        <w:spacing w:line="360" w:lineRule="auto"/>
        <w:ind w:left="0" w:right="0" w:firstLine="200"/>
        <w:jc w:val="left"/>
        <w:rPr>
          <w:rFonts w:hint="eastAsia" w:ascii="宋体" w:hAnsi="宋体" w:eastAsia="宋体" w:cs="宋体"/>
          <w:b w:val="0"/>
          <w:sz w:val="24"/>
          <w:szCs w:val="24"/>
          <w:lang w:val="en-US" w:eastAsia="zh-CN"/>
        </w:rPr>
      </w:pPr>
      <w:r>
        <w:rPr>
          <w:rFonts w:hint="eastAsia" w:ascii="宋体" w:hAnsi="宋体" w:eastAsia="宋体" w:cs="宋体"/>
          <w:b w:val="0"/>
          <w:sz w:val="24"/>
          <w:szCs w:val="24"/>
          <w:lang w:val="en-US" w:eastAsia="zh-CN"/>
        </w:rPr>
        <w:t>中标单位持中标通知书及合同模板（一式六份，其中管理科室1份、审计科1份、财务科1份、招标办1份、中标供应商2份）同管理科室及分管院领导签订采购合同；合同签订后由招标办审核盖章。</w:t>
      </w:r>
    </w:p>
    <w:p w14:paraId="0C58C05C">
      <w:pPr>
        <w:numPr>
          <w:ilvl w:val="0"/>
          <w:numId w:val="0"/>
        </w:numPr>
        <w:spacing w:line="360" w:lineRule="auto"/>
        <w:jc w:val="center"/>
        <w:rPr>
          <w:rFonts w:hint="eastAsia" w:asciiTheme="minorEastAsia" w:hAnsiTheme="minorEastAsia"/>
          <w:b/>
          <w:bCs/>
          <w:sz w:val="32"/>
          <w:szCs w:val="32"/>
          <w:lang w:val="en-US" w:eastAsia="zh-CN"/>
        </w:rPr>
      </w:pPr>
    </w:p>
    <w:p w14:paraId="7EDD62C8">
      <w:pPr>
        <w:numPr>
          <w:ilvl w:val="0"/>
          <w:numId w:val="0"/>
        </w:numPr>
        <w:spacing w:line="360" w:lineRule="auto"/>
        <w:jc w:val="center"/>
        <w:rPr>
          <w:rFonts w:hint="eastAsia" w:asciiTheme="minorEastAsia" w:hAnsiTheme="minorEastAsia"/>
          <w:b/>
          <w:bCs/>
          <w:sz w:val="32"/>
          <w:szCs w:val="32"/>
          <w:lang w:val="en-US" w:eastAsia="zh-CN"/>
        </w:rPr>
      </w:pPr>
    </w:p>
    <w:p w14:paraId="6F168B5A">
      <w:pPr>
        <w:numPr>
          <w:ilvl w:val="0"/>
          <w:numId w:val="0"/>
        </w:numPr>
        <w:spacing w:line="360" w:lineRule="auto"/>
        <w:jc w:val="center"/>
        <w:rPr>
          <w:rFonts w:hint="eastAsia" w:asciiTheme="minorEastAsia" w:hAnsiTheme="minorEastAsia"/>
          <w:b/>
          <w:bCs/>
          <w:sz w:val="32"/>
          <w:szCs w:val="32"/>
          <w:lang w:val="en-US" w:eastAsia="zh-CN"/>
        </w:rPr>
      </w:pPr>
    </w:p>
    <w:p w14:paraId="230319D4">
      <w:pPr>
        <w:numPr>
          <w:ilvl w:val="0"/>
          <w:numId w:val="0"/>
        </w:numPr>
        <w:spacing w:line="360" w:lineRule="auto"/>
        <w:jc w:val="center"/>
        <w:rPr>
          <w:rFonts w:hint="eastAsia" w:asciiTheme="minorEastAsia" w:hAnsiTheme="minorEastAsia"/>
          <w:b/>
          <w:bCs/>
          <w:sz w:val="32"/>
          <w:szCs w:val="32"/>
          <w:lang w:val="en-US" w:eastAsia="zh-CN"/>
        </w:rPr>
      </w:pPr>
    </w:p>
    <w:p w14:paraId="14A44182">
      <w:pPr>
        <w:numPr>
          <w:ilvl w:val="0"/>
          <w:numId w:val="0"/>
        </w:numPr>
        <w:spacing w:line="360" w:lineRule="auto"/>
        <w:jc w:val="center"/>
        <w:rPr>
          <w:rFonts w:hint="eastAsia" w:asciiTheme="minorEastAsia" w:hAnsiTheme="minorEastAsia"/>
          <w:b/>
          <w:bCs/>
          <w:sz w:val="32"/>
          <w:szCs w:val="32"/>
          <w:lang w:val="en-US" w:eastAsia="zh-CN"/>
        </w:rPr>
      </w:pPr>
    </w:p>
    <w:p w14:paraId="06D05551">
      <w:pPr>
        <w:numPr>
          <w:ilvl w:val="0"/>
          <w:numId w:val="0"/>
        </w:numPr>
        <w:spacing w:line="360" w:lineRule="auto"/>
        <w:jc w:val="center"/>
        <w:rPr>
          <w:rFonts w:hint="eastAsia" w:asciiTheme="minorEastAsia" w:hAnsiTheme="minorEastAsia"/>
          <w:b/>
          <w:bCs/>
          <w:sz w:val="32"/>
          <w:szCs w:val="32"/>
          <w:lang w:val="en-US" w:eastAsia="zh-CN"/>
        </w:rPr>
      </w:pPr>
    </w:p>
    <w:p w14:paraId="616EEB2F">
      <w:pPr>
        <w:numPr>
          <w:ilvl w:val="0"/>
          <w:numId w:val="0"/>
        </w:numPr>
        <w:spacing w:line="360" w:lineRule="auto"/>
        <w:jc w:val="center"/>
        <w:rPr>
          <w:rFonts w:hint="eastAsia" w:asciiTheme="minorEastAsia" w:hAnsiTheme="minorEastAsia"/>
          <w:b/>
          <w:bCs/>
          <w:sz w:val="32"/>
          <w:szCs w:val="32"/>
          <w:lang w:val="en-US" w:eastAsia="zh-CN"/>
        </w:rPr>
      </w:pPr>
    </w:p>
    <w:p w14:paraId="242632BD">
      <w:pPr>
        <w:numPr>
          <w:ilvl w:val="0"/>
          <w:numId w:val="0"/>
        </w:numPr>
        <w:spacing w:line="360" w:lineRule="auto"/>
        <w:jc w:val="center"/>
        <w:rPr>
          <w:rFonts w:hint="eastAsia" w:asciiTheme="minorEastAsia" w:hAnsiTheme="minorEastAsia"/>
          <w:b/>
          <w:bCs/>
          <w:sz w:val="32"/>
          <w:szCs w:val="32"/>
          <w:lang w:val="en-US" w:eastAsia="zh-CN"/>
        </w:rPr>
      </w:pPr>
    </w:p>
    <w:p w14:paraId="4EBFDA16">
      <w:pPr>
        <w:numPr>
          <w:ilvl w:val="0"/>
          <w:numId w:val="0"/>
        </w:numPr>
        <w:spacing w:line="360" w:lineRule="auto"/>
        <w:jc w:val="center"/>
        <w:rPr>
          <w:rFonts w:hint="eastAsia" w:asciiTheme="minorEastAsia" w:hAnsiTheme="minorEastAsia"/>
          <w:b/>
          <w:bCs/>
          <w:sz w:val="32"/>
          <w:szCs w:val="32"/>
          <w:lang w:val="en-US" w:eastAsia="zh-CN"/>
        </w:rPr>
      </w:pPr>
    </w:p>
    <w:p w14:paraId="768BA493">
      <w:pPr>
        <w:numPr>
          <w:ilvl w:val="0"/>
          <w:numId w:val="0"/>
        </w:numPr>
        <w:spacing w:line="360" w:lineRule="auto"/>
        <w:jc w:val="center"/>
        <w:rPr>
          <w:rFonts w:hint="eastAsia" w:asciiTheme="minorEastAsia" w:hAnsiTheme="minorEastAsia"/>
          <w:b/>
          <w:bCs/>
          <w:sz w:val="32"/>
          <w:szCs w:val="32"/>
          <w:lang w:val="en-US" w:eastAsia="zh-CN"/>
        </w:rPr>
      </w:pPr>
    </w:p>
    <w:p w14:paraId="32498D81">
      <w:pPr>
        <w:numPr>
          <w:ilvl w:val="0"/>
          <w:numId w:val="0"/>
        </w:numPr>
        <w:spacing w:line="360" w:lineRule="auto"/>
        <w:jc w:val="center"/>
        <w:rPr>
          <w:rFonts w:hint="eastAsia" w:asciiTheme="minorEastAsia" w:hAnsiTheme="minorEastAsia"/>
          <w:b/>
          <w:bCs/>
          <w:sz w:val="32"/>
          <w:szCs w:val="32"/>
          <w:lang w:val="en-US" w:eastAsia="zh-CN"/>
        </w:rPr>
      </w:pPr>
    </w:p>
    <w:p w14:paraId="39BDF9AF">
      <w:pPr>
        <w:numPr>
          <w:ilvl w:val="0"/>
          <w:numId w:val="0"/>
        </w:numPr>
        <w:spacing w:line="360" w:lineRule="auto"/>
        <w:jc w:val="center"/>
        <w:rPr>
          <w:rFonts w:hint="eastAsia" w:asciiTheme="minorEastAsia" w:hAnsiTheme="minorEastAsia"/>
          <w:b/>
          <w:bCs/>
          <w:sz w:val="32"/>
          <w:szCs w:val="32"/>
          <w:lang w:val="en-US" w:eastAsia="zh-CN"/>
        </w:rPr>
      </w:pPr>
    </w:p>
    <w:p w14:paraId="13378284">
      <w:pPr>
        <w:numPr>
          <w:ilvl w:val="0"/>
          <w:numId w:val="0"/>
        </w:numPr>
        <w:spacing w:line="360" w:lineRule="auto"/>
        <w:jc w:val="center"/>
        <w:rPr>
          <w:rFonts w:hint="eastAsia" w:asciiTheme="minorEastAsia" w:hAnsiTheme="minorEastAsia"/>
          <w:b/>
          <w:bCs/>
          <w:sz w:val="32"/>
          <w:szCs w:val="32"/>
          <w:lang w:val="en-US" w:eastAsia="zh-CN"/>
        </w:rPr>
      </w:pPr>
    </w:p>
    <w:p w14:paraId="4206E72E">
      <w:pPr>
        <w:numPr>
          <w:ilvl w:val="0"/>
          <w:numId w:val="0"/>
        </w:numPr>
        <w:spacing w:line="360" w:lineRule="auto"/>
        <w:jc w:val="center"/>
        <w:rPr>
          <w:rFonts w:hint="eastAsia" w:asciiTheme="minorEastAsia" w:hAnsiTheme="minorEastAsia"/>
          <w:b/>
          <w:bCs/>
          <w:sz w:val="32"/>
          <w:szCs w:val="32"/>
          <w:lang w:val="en-US" w:eastAsia="zh-CN"/>
        </w:rPr>
      </w:pPr>
    </w:p>
    <w:p w14:paraId="04AA7FCD">
      <w:pPr>
        <w:numPr>
          <w:ilvl w:val="0"/>
          <w:numId w:val="0"/>
        </w:numPr>
        <w:spacing w:line="360" w:lineRule="auto"/>
        <w:jc w:val="center"/>
        <w:rPr>
          <w:rFonts w:hint="eastAsia" w:asciiTheme="minorEastAsia" w:hAnsiTheme="minorEastAsia"/>
          <w:b/>
          <w:bCs/>
          <w:sz w:val="32"/>
          <w:szCs w:val="32"/>
          <w:lang w:val="en-US" w:eastAsia="zh-CN"/>
        </w:rPr>
      </w:pPr>
    </w:p>
    <w:p w14:paraId="23A91901">
      <w:pPr>
        <w:numPr>
          <w:ilvl w:val="0"/>
          <w:numId w:val="0"/>
        </w:numPr>
        <w:spacing w:line="360" w:lineRule="auto"/>
        <w:jc w:val="center"/>
        <w:rPr>
          <w:rFonts w:hint="eastAsia" w:asciiTheme="minorEastAsia" w:hAnsiTheme="minorEastAsia"/>
          <w:b/>
          <w:bCs/>
          <w:sz w:val="32"/>
          <w:szCs w:val="32"/>
          <w:lang w:val="en-US" w:eastAsia="zh-CN"/>
        </w:rPr>
      </w:pPr>
    </w:p>
    <w:p w14:paraId="2A45D03E">
      <w:pPr>
        <w:numPr>
          <w:ilvl w:val="0"/>
          <w:numId w:val="0"/>
        </w:numPr>
        <w:spacing w:line="360" w:lineRule="auto"/>
        <w:jc w:val="center"/>
        <w:rPr>
          <w:rFonts w:hint="eastAsia" w:asciiTheme="minorEastAsia" w:hAnsiTheme="minorEastAsia"/>
          <w:b/>
          <w:bCs/>
          <w:sz w:val="32"/>
          <w:szCs w:val="32"/>
          <w:lang w:val="en-US" w:eastAsia="zh-CN"/>
        </w:rPr>
      </w:pPr>
    </w:p>
    <w:p w14:paraId="02C10009">
      <w:pPr>
        <w:numPr>
          <w:ilvl w:val="0"/>
          <w:numId w:val="0"/>
        </w:numPr>
        <w:spacing w:line="360" w:lineRule="auto"/>
        <w:jc w:val="center"/>
        <w:rPr>
          <w:rFonts w:hint="eastAsia" w:asciiTheme="minorEastAsia" w:hAnsiTheme="minorEastAsia"/>
          <w:b/>
          <w:bCs/>
          <w:sz w:val="32"/>
          <w:szCs w:val="32"/>
          <w:lang w:val="en-US" w:eastAsia="zh-CN"/>
        </w:rPr>
      </w:pPr>
    </w:p>
    <w:p w14:paraId="4EF39F68">
      <w:pPr>
        <w:numPr>
          <w:ilvl w:val="0"/>
          <w:numId w:val="0"/>
        </w:numPr>
        <w:spacing w:line="360" w:lineRule="auto"/>
        <w:jc w:val="center"/>
        <w:rPr>
          <w:rFonts w:hint="default" w:asciiTheme="minorEastAsia" w:hAnsiTheme="minorEastAsia"/>
          <w:b/>
          <w:bCs/>
          <w:sz w:val="32"/>
          <w:szCs w:val="32"/>
          <w:lang w:val="en-US" w:eastAsia="zh-CN"/>
        </w:rPr>
      </w:pPr>
      <w:r>
        <w:rPr>
          <w:rFonts w:hint="eastAsia" w:asciiTheme="minorEastAsia" w:hAnsiTheme="minorEastAsia"/>
          <w:b/>
          <w:bCs/>
          <w:sz w:val="32"/>
          <w:szCs w:val="32"/>
          <w:lang w:val="en-US" w:eastAsia="zh-CN"/>
        </w:rPr>
        <w:t>第三章 投标文件格式</w:t>
      </w:r>
    </w:p>
    <w:p w14:paraId="2F2A42CD">
      <w:pPr>
        <w:pStyle w:val="2"/>
        <w:jc w:val="center"/>
      </w:pPr>
      <w:r>
        <w:rPr>
          <w:rFonts w:hint="eastAsia" w:ascii="宋体" w:hAnsi="宋体" w:eastAsia="宋体" w:cs="宋体"/>
          <w:sz w:val="32"/>
          <w:szCs w:val="32"/>
          <w:lang w:val="en-US" w:eastAsia="zh-CN"/>
        </w:rPr>
        <w:t>投标</w:t>
      </w:r>
      <w:r>
        <w:rPr>
          <w:rFonts w:hint="eastAsia" w:ascii="宋体" w:hAnsi="宋体" w:eastAsia="宋体" w:cs="宋体"/>
          <w:sz w:val="32"/>
          <w:szCs w:val="32"/>
        </w:rPr>
        <w:t>文件格式与要求</w:t>
      </w:r>
    </w:p>
    <w:p w14:paraId="040F0FF4">
      <w:pPr>
        <w:numPr>
          <w:ilvl w:val="0"/>
          <w:numId w:val="2"/>
        </w:numPr>
        <w:spacing w:line="360" w:lineRule="auto"/>
        <w:ind w:left="0" w:leftChars="0" w:firstLine="400" w:firstLineChars="0"/>
        <w:rPr>
          <w:rFonts w:ascii="宋体" w:hAnsi="宋体" w:eastAsia="宋体"/>
          <w:color w:val="000000"/>
          <w:sz w:val="24"/>
          <w:szCs w:val="24"/>
        </w:rPr>
      </w:pPr>
      <w:r>
        <w:rPr>
          <w:rFonts w:hint="eastAsia" w:ascii="宋体" w:hAnsi="宋体" w:eastAsia="宋体"/>
          <w:sz w:val="24"/>
          <w:szCs w:val="24"/>
          <w:lang w:val="zh-CN"/>
        </w:rPr>
        <w:t>报名人应按照以下格式与要求编制报名文件，</w:t>
      </w:r>
      <w:r>
        <w:rPr>
          <w:rFonts w:hint="eastAsia" w:ascii="宋体" w:hAnsi="宋体" w:eastAsia="宋体"/>
          <w:b/>
          <w:bCs/>
          <w:sz w:val="24"/>
          <w:szCs w:val="24"/>
          <w:lang w:val="zh-CN"/>
        </w:rPr>
        <w:t>且应不少于</w:t>
      </w:r>
      <w:r>
        <w:rPr>
          <w:rFonts w:hint="eastAsia" w:ascii="宋体" w:hAnsi="宋体" w:eastAsia="宋体"/>
          <w:b/>
          <w:bCs/>
          <w:sz w:val="24"/>
          <w:szCs w:val="24"/>
          <w:lang w:val="zh-CN" w:eastAsia="zh-CN"/>
        </w:rPr>
        <w:t>目录中要求的</w:t>
      </w:r>
      <w:r>
        <w:rPr>
          <w:rFonts w:hint="eastAsia" w:ascii="宋体" w:hAnsi="宋体" w:eastAsia="宋体"/>
          <w:b/>
          <w:bCs/>
          <w:sz w:val="24"/>
          <w:szCs w:val="24"/>
          <w:lang w:val="zh-CN"/>
        </w:rPr>
        <w:t>内容。</w:t>
      </w:r>
    </w:p>
    <w:p w14:paraId="4390E9B1">
      <w:pPr>
        <w:numPr>
          <w:ilvl w:val="0"/>
          <w:numId w:val="2"/>
        </w:numPr>
        <w:spacing w:line="360" w:lineRule="auto"/>
        <w:ind w:left="0" w:leftChars="0" w:firstLine="400" w:firstLineChars="0"/>
        <w:rPr>
          <w:rFonts w:ascii="宋体" w:hAnsi="宋体" w:eastAsia="宋体"/>
          <w:color w:val="000000"/>
          <w:sz w:val="24"/>
          <w:szCs w:val="24"/>
        </w:rPr>
      </w:pPr>
      <w:r>
        <w:rPr>
          <w:rFonts w:hint="eastAsia" w:ascii="宋体" w:hAnsi="宋体" w:eastAsia="宋体"/>
          <w:color w:val="000000"/>
          <w:sz w:val="24"/>
          <w:szCs w:val="24"/>
          <w:lang w:eastAsia="zh-CN"/>
        </w:rPr>
        <w:t>报名文件应按目录的顺序，编制报名文件。</w:t>
      </w:r>
    </w:p>
    <w:p w14:paraId="2B83875D">
      <w:pPr>
        <w:numPr>
          <w:ilvl w:val="0"/>
          <w:numId w:val="2"/>
        </w:numPr>
        <w:spacing w:line="360" w:lineRule="auto"/>
        <w:ind w:left="0" w:leftChars="0" w:firstLine="400" w:firstLineChars="0"/>
        <w:rPr>
          <w:rFonts w:ascii="宋体" w:hAnsi="宋体" w:eastAsia="宋体"/>
          <w:color w:val="000000"/>
          <w:sz w:val="24"/>
          <w:szCs w:val="24"/>
        </w:rPr>
      </w:pPr>
      <w:r>
        <w:rPr>
          <w:rFonts w:hint="eastAsia" w:ascii="宋体" w:hAnsi="宋体" w:eastAsia="宋体"/>
          <w:color w:val="000000"/>
          <w:sz w:val="24"/>
          <w:szCs w:val="24"/>
          <w:lang w:val="en-US" w:eastAsia="zh-CN"/>
        </w:rPr>
        <w:t>报名文件统一使用A4规格打印，页码必须连续（不能打印的材料可手写页码）。报名文件装订应采用胶订方式牢固装订成册，不可插页抽页，不可采用活页纸装订。</w:t>
      </w:r>
    </w:p>
    <w:p w14:paraId="4D1A9F7E">
      <w:pPr>
        <w:numPr>
          <w:ilvl w:val="0"/>
          <w:numId w:val="2"/>
        </w:numPr>
        <w:spacing w:line="360" w:lineRule="auto"/>
        <w:ind w:left="0" w:leftChars="0" w:firstLine="400" w:firstLineChars="0"/>
        <w:rPr>
          <w:rFonts w:ascii="宋体" w:hAnsi="宋体" w:eastAsia="宋体"/>
          <w:color w:val="000000"/>
          <w:sz w:val="24"/>
          <w:szCs w:val="24"/>
        </w:rPr>
      </w:pPr>
      <w:r>
        <w:rPr>
          <w:rFonts w:hint="eastAsia" w:ascii="宋体" w:hAnsi="宋体" w:eastAsia="宋体"/>
          <w:color w:val="000000"/>
          <w:sz w:val="24"/>
          <w:szCs w:val="24"/>
          <w:lang w:val="en-US" w:eastAsia="zh-CN"/>
        </w:rPr>
        <w:t>报名材料的齐全程度，是医院确定最终选择的一个重要因素。</w:t>
      </w:r>
    </w:p>
    <w:p w14:paraId="630D8160">
      <w:pPr>
        <w:numPr>
          <w:ilvl w:val="0"/>
          <w:numId w:val="2"/>
        </w:numPr>
        <w:spacing w:line="360" w:lineRule="auto"/>
        <w:ind w:left="0" w:leftChars="0" w:firstLine="400" w:firstLineChars="0"/>
        <w:rPr>
          <w:rFonts w:ascii="宋体" w:hAnsi="宋体" w:eastAsia="宋体"/>
          <w:color w:val="000000"/>
          <w:sz w:val="24"/>
          <w:szCs w:val="24"/>
        </w:rPr>
      </w:pPr>
      <w:r>
        <w:rPr>
          <w:rFonts w:hint="eastAsia" w:ascii="宋体" w:hAnsi="宋体" w:eastAsia="宋体"/>
          <w:color w:val="000000"/>
          <w:sz w:val="24"/>
          <w:szCs w:val="24"/>
          <w:lang w:val="en-US" w:eastAsia="zh-CN"/>
        </w:rPr>
        <w:t>报名单位在报名文件中提供的所有资料必须真实有效，如若提供虚假材料将依法追究其法律责任。</w:t>
      </w:r>
    </w:p>
    <w:p w14:paraId="5B12D2CA"/>
    <w:p w14:paraId="00C5F076"/>
    <w:p w14:paraId="26FCE7A5"/>
    <w:p w14:paraId="7D5F571B"/>
    <w:p w14:paraId="42106D5E"/>
    <w:p w14:paraId="15C2120A"/>
    <w:p w14:paraId="3E08973A"/>
    <w:p w14:paraId="254BFD20"/>
    <w:p w14:paraId="5BBF3DC3"/>
    <w:p w14:paraId="20A0DFDB"/>
    <w:p w14:paraId="3D9CBF3F"/>
    <w:p w14:paraId="0C1C9CDB"/>
    <w:p w14:paraId="6CEBF35C">
      <w:pPr>
        <w:keepNext/>
        <w:keepLines/>
        <w:pageBreakBefore w:val="0"/>
        <w:widowControl w:val="0"/>
        <w:kinsoku/>
        <w:wordWrap/>
        <w:overflowPunct/>
        <w:topLinePunct w:val="0"/>
        <w:autoSpaceDE/>
        <w:autoSpaceDN/>
        <w:bidi w:val="0"/>
        <w:adjustRightInd/>
        <w:snapToGrid/>
        <w:spacing w:before="0" w:after="0" w:line="360" w:lineRule="auto"/>
        <w:textAlignment w:val="auto"/>
        <w:outlineLvl w:val="9"/>
        <w:rPr>
          <w:rFonts w:hint="eastAsia" w:ascii="宋体" w:hAnsi="宋体" w:eastAsia="宋体" w:cs="宋体"/>
          <w:color w:val="000000"/>
        </w:rPr>
      </w:pPr>
      <w:bookmarkStart w:id="0" w:name="_Toc422403383"/>
    </w:p>
    <w:p w14:paraId="21AC2DE6">
      <w:pPr>
        <w:keepNext/>
        <w:keepLines/>
        <w:pageBreakBefore w:val="0"/>
        <w:widowControl w:val="0"/>
        <w:kinsoku/>
        <w:wordWrap/>
        <w:overflowPunct/>
        <w:topLinePunct w:val="0"/>
        <w:autoSpaceDE/>
        <w:autoSpaceDN/>
        <w:bidi w:val="0"/>
        <w:adjustRightInd/>
        <w:snapToGrid/>
        <w:spacing w:before="0" w:after="0" w:line="360" w:lineRule="auto"/>
        <w:textAlignment w:val="auto"/>
        <w:outlineLvl w:val="9"/>
        <w:rPr>
          <w:rFonts w:hint="eastAsia" w:ascii="宋体" w:hAnsi="宋体" w:eastAsia="宋体" w:cs="宋体"/>
          <w:color w:val="000000"/>
        </w:rPr>
      </w:pPr>
    </w:p>
    <w:p w14:paraId="7A51D55E">
      <w:pPr>
        <w:keepNext/>
        <w:keepLines/>
        <w:pageBreakBefore w:val="0"/>
        <w:widowControl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color w:val="000000"/>
        </w:rPr>
      </w:pPr>
    </w:p>
    <w:p w14:paraId="5AE6521C">
      <w:pPr>
        <w:pStyle w:val="3"/>
        <w:rPr>
          <w:rFonts w:hint="eastAsia"/>
          <w:color w:val="000000"/>
        </w:rPr>
      </w:pPr>
    </w:p>
    <w:p w14:paraId="11FA9CC4">
      <w:pPr>
        <w:pStyle w:val="3"/>
        <w:rPr>
          <w:color w:val="000000"/>
        </w:rPr>
      </w:pPr>
      <w:r>
        <w:rPr>
          <w:rFonts w:hint="eastAsia"/>
          <w:color w:val="000000"/>
        </w:rPr>
        <w:t>（封面）</w:t>
      </w:r>
      <w:bookmarkEnd w:id="0"/>
    </w:p>
    <w:p w14:paraId="6D86947D">
      <w:pPr>
        <w:jc w:val="both"/>
        <w:textAlignment w:val="baseline"/>
        <w:rPr>
          <w:rFonts w:ascii="宋体" w:hAnsi="宋体"/>
          <w:b/>
          <w:bCs/>
          <w:color w:val="000000"/>
          <w:sz w:val="36"/>
          <w:szCs w:val="36"/>
        </w:rPr>
      </w:pPr>
      <w:r>
        <w:rPr>
          <w:rFonts w:hint="eastAsia" w:ascii="宋体" w:hAnsi="宋体" w:cs="宋体"/>
          <w:b/>
          <w:bCs/>
          <w:color w:val="000000"/>
          <w:sz w:val="36"/>
          <w:szCs w:val="36"/>
        </w:rPr>
        <w:t>鄂尔多斯市中心医院</w:t>
      </w:r>
      <w:r>
        <w:rPr>
          <w:rFonts w:hint="eastAsia" w:ascii="宋体" w:hAnsi="宋体" w:cs="宋体"/>
          <w:b/>
          <w:bCs/>
          <w:color w:val="000000"/>
          <w:sz w:val="36"/>
          <w:szCs w:val="36"/>
          <w:lang w:eastAsia="zh-CN"/>
        </w:rPr>
        <w:t>院内</w:t>
      </w:r>
      <w:r>
        <w:rPr>
          <w:rFonts w:hint="eastAsia" w:ascii="宋体" w:hAnsi="宋体" w:cs="宋体"/>
          <w:b/>
          <w:bCs/>
          <w:color w:val="000000"/>
          <w:sz w:val="36"/>
          <w:szCs w:val="36"/>
        </w:rPr>
        <w:t>采购项目</w:t>
      </w:r>
      <w:r>
        <w:rPr>
          <w:rFonts w:hint="eastAsia" w:ascii="宋体" w:hAnsi="宋体" w:cs="宋体"/>
          <w:b/>
          <w:bCs/>
          <w:color w:val="000000"/>
          <w:sz w:val="36"/>
          <w:szCs w:val="36"/>
          <w:lang w:val="en-US" w:eastAsia="zh-CN"/>
        </w:rPr>
        <w:t>投标</w:t>
      </w:r>
      <w:r>
        <w:rPr>
          <w:rFonts w:hint="eastAsia" w:ascii="宋体" w:hAnsi="宋体" w:cs="宋体"/>
          <w:b/>
          <w:bCs/>
          <w:color w:val="000000"/>
          <w:sz w:val="36"/>
          <w:szCs w:val="36"/>
        </w:rPr>
        <w:t>文件</w:t>
      </w:r>
    </w:p>
    <w:p w14:paraId="11D87DFD">
      <w:pPr>
        <w:rPr>
          <w:rFonts w:ascii="宋体" w:hAnsi="宋体"/>
          <w:b/>
          <w:bCs/>
          <w:color w:val="000000"/>
          <w:sz w:val="36"/>
          <w:szCs w:val="36"/>
        </w:rPr>
      </w:pPr>
      <w:r>
        <w:rPr>
          <w:rFonts w:hint="eastAsia" w:ascii="宋体" w:hAnsi="宋体" w:cs="宋体"/>
          <w:b/>
          <w:bCs/>
          <w:color w:val="000000"/>
          <w:sz w:val="36"/>
          <w:szCs w:val="36"/>
        </w:rPr>
        <w:t xml:space="preserve">          </w:t>
      </w:r>
    </w:p>
    <w:p w14:paraId="43B658F2">
      <w:pPr>
        <w:ind w:firstLine="1767" w:firstLineChars="400"/>
        <w:rPr>
          <w:rFonts w:ascii="宋体" w:hAnsi="宋体"/>
          <w:b/>
          <w:bCs/>
          <w:color w:val="000000"/>
          <w:sz w:val="44"/>
          <w:szCs w:val="44"/>
        </w:rPr>
      </w:pPr>
    </w:p>
    <w:p w14:paraId="6C1BBBB2">
      <w:pPr>
        <w:jc w:val="center"/>
        <w:rPr>
          <w:rFonts w:ascii="宋体" w:hAnsi="宋体" w:cs="宋体"/>
          <w:b/>
          <w:bCs/>
          <w:color w:val="000000"/>
          <w:sz w:val="72"/>
          <w:szCs w:val="72"/>
        </w:rPr>
      </w:pPr>
      <w:r>
        <w:rPr>
          <w:rFonts w:hint="eastAsia" w:ascii="宋体" w:hAnsi="宋体" w:cs="宋体"/>
          <w:b/>
          <w:bCs/>
          <w:color w:val="000000"/>
          <w:sz w:val="72"/>
          <w:szCs w:val="72"/>
          <w:lang w:val="en-US" w:eastAsia="zh-CN"/>
        </w:rPr>
        <w:t>投标</w:t>
      </w:r>
      <w:r>
        <w:rPr>
          <w:rFonts w:ascii="宋体" w:hAnsi="宋体" w:cs="宋体"/>
          <w:b/>
          <w:bCs/>
          <w:color w:val="000000"/>
          <w:sz w:val="72"/>
          <w:szCs w:val="72"/>
        </w:rPr>
        <w:t>货物名称</w:t>
      </w:r>
    </w:p>
    <w:p w14:paraId="7707C878">
      <w:pPr>
        <w:jc w:val="center"/>
        <w:rPr>
          <w:rFonts w:hint="eastAsia" w:ascii="宋体" w:hAnsi="宋体" w:cs="宋体" w:eastAsiaTheme="minorEastAsia"/>
          <w:b/>
          <w:bCs/>
          <w:color w:val="000000"/>
          <w:sz w:val="72"/>
          <w:szCs w:val="72"/>
          <w:lang w:eastAsia="zh-CN"/>
        </w:rPr>
      </w:pPr>
      <w:r>
        <w:rPr>
          <w:rFonts w:hint="eastAsia" w:ascii="宋体" w:hAnsi="宋体" w:cs="宋体"/>
          <w:b/>
          <w:bCs/>
          <w:color w:val="000000"/>
          <w:sz w:val="72"/>
          <w:szCs w:val="72"/>
          <w:lang w:eastAsia="zh-CN"/>
        </w:rPr>
        <w:t>（</w:t>
      </w:r>
      <w:r>
        <w:rPr>
          <w:rFonts w:hint="eastAsia" w:ascii="宋体" w:hAnsi="宋体" w:cs="宋体"/>
          <w:b/>
          <w:bCs/>
          <w:color w:val="000000"/>
          <w:sz w:val="72"/>
          <w:szCs w:val="72"/>
          <w:lang w:val="en-US" w:eastAsia="zh-CN"/>
        </w:rPr>
        <w:t>正本/副本</w:t>
      </w:r>
      <w:r>
        <w:rPr>
          <w:rFonts w:hint="eastAsia" w:ascii="宋体" w:hAnsi="宋体" w:cs="宋体"/>
          <w:b/>
          <w:bCs/>
          <w:color w:val="000000"/>
          <w:sz w:val="72"/>
          <w:szCs w:val="72"/>
          <w:lang w:eastAsia="zh-CN"/>
        </w:rPr>
        <w:t>）</w:t>
      </w:r>
    </w:p>
    <w:p w14:paraId="2139C1C8">
      <w:pPr>
        <w:ind w:firstLine="1767" w:firstLineChars="400"/>
        <w:rPr>
          <w:rFonts w:ascii="宋体" w:hAnsi="宋体"/>
          <w:b/>
          <w:bCs/>
          <w:color w:val="000000"/>
          <w:sz w:val="44"/>
          <w:szCs w:val="44"/>
        </w:rPr>
      </w:pPr>
    </w:p>
    <w:p w14:paraId="5F0812A1">
      <w:pPr>
        <w:ind w:firstLine="1767" w:firstLineChars="400"/>
        <w:rPr>
          <w:rFonts w:ascii="宋体" w:hAnsi="宋体"/>
          <w:b/>
          <w:bCs/>
          <w:color w:val="000000"/>
          <w:sz w:val="44"/>
          <w:szCs w:val="44"/>
        </w:rPr>
      </w:pPr>
    </w:p>
    <w:p w14:paraId="303E485F">
      <w:pPr>
        <w:ind w:firstLine="1767" w:firstLineChars="400"/>
        <w:rPr>
          <w:rFonts w:ascii="宋体" w:hAnsi="宋体"/>
          <w:b/>
          <w:bCs/>
          <w:color w:val="000000"/>
          <w:sz w:val="44"/>
          <w:szCs w:val="44"/>
        </w:rPr>
      </w:pPr>
    </w:p>
    <w:p w14:paraId="3930CCCE">
      <w:pPr>
        <w:ind w:firstLine="1767" w:firstLineChars="400"/>
        <w:rPr>
          <w:rFonts w:ascii="宋体" w:hAnsi="宋体"/>
          <w:b/>
          <w:bCs/>
          <w:color w:val="000000"/>
          <w:sz w:val="44"/>
          <w:szCs w:val="44"/>
        </w:rPr>
      </w:pPr>
    </w:p>
    <w:p w14:paraId="4FB78C8A">
      <w:pPr>
        <w:ind w:firstLine="1205" w:firstLineChars="400"/>
        <w:rPr>
          <w:rFonts w:hint="eastAsia" w:ascii="宋体" w:hAnsi="宋体" w:cs="宋体"/>
          <w:b/>
          <w:bCs/>
          <w:color w:val="000000"/>
          <w:sz w:val="30"/>
          <w:szCs w:val="30"/>
        </w:rPr>
      </w:pPr>
      <w:r>
        <w:rPr>
          <w:rFonts w:hint="eastAsia" w:ascii="宋体" w:hAnsi="宋体" w:cs="宋体"/>
          <w:b/>
          <w:bCs/>
          <w:color w:val="000000"/>
          <w:sz w:val="30"/>
          <w:szCs w:val="30"/>
          <w:lang w:eastAsia="zh-CN"/>
        </w:rPr>
        <w:t>报名单位</w:t>
      </w:r>
      <w:r>
        <w:rPr>
          <w:rFonts w:hint="eastAsia" w:ascii="宋体" w:hAnsi="宋体" w:cs="宋体"/>
          <w:b/>
          <w:bCs/>
          <w:color w:val="000000"/>
          <w:sz w:val="30"/>
          <w:szCs w:val="30"/>
        </w:rPr>
        <w:t>：</w:t>
      </w:r>
    </w:p>
    <w:p w14:paraId="70999BEA">
      <w:pPr>
        <w:ind w:firstLine="1205" w:firstLineChars="400"/>
        <w:rPr>
          <w:rFonts w:hint="eastAsia" w:ascii="宋体" w:hAnsi="宋体" w:cs="宋体"/>
          <w:b/>
          <w:bCs/>
          <w:color w:val="000000"/>
          <w:sz w:val="30"/>
          <w:szCs w:val="30"/>
        </w:rPr>
      </w:pPr>
      <w:r>
        <w:rPr>
          <w:rFonts w:hint="eastAsia" w:ascii="宋体" w:hAnsi="宋体" w:cs="宋体"/>
          <w:b/>
          <w:bCs/>
          <w:color w:val="000000"/>
          <w:sz w:val="30"/>
          <w:szCs w:val="30"/>
          <w:lang w:val="en-US" w:eastAsia="zh-CN"/>
        </w:rPr>
        <w:t>联系人</w:t>
      </w:r>
      <w:r>
        <w:rPr>
          <w:rFonts w:hint="eastAsia" w:ascii="宋体" w:hAnsi="宋体" w:cs="宋体"/>
          <w:b/>
          <w:bCs/>
          <w:color w:val="000000"/>
          <w:sz w:val="30"/>
          <w:szCs w:val="30"/>
        </w:rPr>
        <w:t>:</w:t>
      </w:r>
    </w:p>
    <w:p w14:paraId="42085059">
      <w:pPr>
        <w:ind w:firstLine="1205" w:firstLineChars="400"/>
        <w:rPr>
          <w:rFonts w:ascii="宋体" w:hAnsi="宋体" w:cs="宋体"/>
          <w:b/>
          <w:bCs/>
          <w:color w:val="000000"/>
          <w:sz w:val="30"/>
          <w:szCs w:val="30"/>
        </w:rPr>
      </w:pPr>
      <w:r>
        <w:rPr>
          <w:rFonts w:hint="eastAsia" w:ascii="宋体" w:hAnsi="宋体" w:cs="宋体"/>
          <w:b/>
          <w:bCs/>
          <w:color w:val="000000"/>
          <w:sz w:val="30"/>
          <w:szCs w:val="30"/>
        </w:rPr>
        <w:t>联系电话:</w:t>
      </w:r>
    </w:p>
    <w:p w14:paraId="46BDBE39">
      <w:pPr>
        <w:ind w:firstLine="1355" w:firstLineChars="450"/>
        <w:rPr>
          <w:rFonts w:ascii="宋体" w:hAnsi="宋体" w:cs="宋体"/>
          <w:b/>
          <w:bCs/>
          <w:color w:val="000000"/>
          <w:sz w:val="30"/>
          <w:szCs w:val="30"/>
        </w:rPr>
      </w:pPr>
      <w:r>
        <w:rPr>
          <w:rFonts w:hint="eastAsia" w:ascii="宋体" w:hAnsi="宋体" w:cs="宋体"/>
          <w:b/>
          <w:bCs/>
          <w:color w:val="000000"/>
          <w:sz w:val="30"/>
          <w:szCs w:val="30"/>
        </w:rPr>
        <w:t xml:space="preserve">    </w:t>
      </w:r>
      <w:r>
        <w:rPr>
          <w:rFonts w:ascii="宋体" w:hAnsi="宋体" w:cs="宋体"/>
          <w:b/>
          <w:bCs/>
          <w:color w:val="000000"/>
          <w:sz w:val="30"/>
          <w:szCs w:val="30"/>
        </w:rPr>
        <w:t xml:space="preserve"> </w:t>
      </w:r>
      <w:r>
        <w:rPr>
          <w:rFonts w:hint="eastAsia" w:ascii="宋体" w:hAnsi="宋体" w:cs="宋体"/>
          <w:b/>
          <w:bCs/>
          <w:color w:val="000000"/>
          <w:sz w:val="30"/>
          <w:szCs w:val="30"/>
        </w:rPr>
        <w:t>年   月   日</w:t>
      </w:r>
    </w:p>
    <w:p w14:paraId="7B6ABD06">
      <w:pPr>
        <w:numPr>
          <w:ilvl w:val="0"/>
          <w:numId w:val="0"/>
        </w:numPr>
        <w:spacing w:line="360" w:lineRule="auto"/>
        <w:jc w:val="center"/>
        <w:rPr>
          <w:rFonts w:hint="eastAsia" w:asciiTheme="minorEastAsia" w:hAnsiTheme="minorEastAsia"/>
          <w:b/>
          <w:bCs/>
          <w:sz w:val="32"/>
          <w:szCs w:val="32"/>
          <w:lang w:val="en-US" w:eastAsia="zh-CN"/>
        </w:rPr>
      </w:pPr>
      <w:r>
        <w:rPr>
          <w:rFonts w:hint="eastAsia" w:asciiTheme="minorEastAsia" w:hAnsiTheme="minorEastAsia"/>
          <w:b/>
          <w:bCs/>
          <w:sz w:val="32"/>
          <w:szCs w:val="32"/>
          <w:lang w:val="en-US" w:eastAsia="zh-CN"/>
        </w:rPr>
        <w:t xml:space="preserve"> </w:t>
      </w:r>
    </w:p>
    <w:p w14:paraId="2288BC46">
      <w:pPr>
        <w:numPr>
          <w:ilvl w:val="0"/>
          <w:numId w:val="0"/>
        </w:numPr>
        <w:spacing w:line="360" w:lineRule="auto"/>
        <w:jc w:val="center"/>
        <w:rPr>
          <w:rFonts w:hint="eastAsia" w:ascii="宋体" w:hAnsi="宋体" w:eastAsia="宋体" w:cs="宋体"/>
          <w:b w:val="0"/>
          <w:bCs w:val="0"/>
          <w:color w:val="000000"/>
          <w:kern w:val="2"/>
          <w:sz w:val="32"/>
          <w:szCs w:val="32"/>
          <w:lang w:val="en-US" w:eastAsia="zh-CN" w:bidi="ar-SA"/>
        </w:rPr>
      </w:pPr>
    </w:p>
    <w:p w14:paraId="6B4285AA">
      <w:pPr>
        <w:numPr>
          <w:ilvl w:val="0"/>
          <w:numId w:val="0"/>
        </w:numPr>
        <w:spacing w:line="360" w:lineRule="auto"/>
        <w:jc w:val="center"/>
        <w:rPr>
          <w:rFonts w:hint="eastAsia" w:ascii="宋体" w:hAnsi="宋体" w:eastAsia="宋体" w:cs="宋体"/>
          <w:b w:val="0"/>
          <w:bCs w:val="0"/>
          <w:color w:val="000000"/>
          <w:kern w:val="2"/>
          <w:sz w:val="32"/>
          <w:szCs w:val="32"/>
          <w:lang w:val="en-US" w:eastAsia="zh-CN" w:bidi="ar-SA"/>
        </w:rPr>
      </w:pPr>
    </w:p>
    <w:p w14:paraId="24C5EFFB">
      <w:pPr>
        <w:numPr>
          <w:ilvl w:val="0"/>
          <w:numId w:val="0"/>
        </w:numPr>
        <w:spacing w:line="360" w:lineRule="auto"/>
        <w:jc w:val="center"/>
        <w:rPr>
          <w:rFonts w:hint="eastAsia" w:ascii="宋体" w:hAnsi="宋体" w:eastAsia="宋体" w:cs="宋体"/>
          <w:b w:val="0"/>
          <w:bCs w:val="0"/>
          <w:color w:val="000000"/>
          <w:kern w:val="2"/>
          <w:sz w:val="32"/>
          <w:szCs w:val="32"/>
          <w:lang w:val="en-US" w:eastAsia="zh-CN" w:bidi="ar-SA"/>
        </w:rPr>
      </w:pPr>
      <w:r>
        <w:rPr>
          <w:rFonts w:hint="eastAsia" w:ascii="宋体" w:hAnsi="宋体" w:eastAsia="宋体" w:cs="宋体"/>
          <w:b w:val="0"/>
          <w:bCs w:val="0"/>
          <w:color w:val="000000"/>
          <w:kern w:val="2"/>
          <w:sz w:val="32"/>
          <w:szCs w:val="32"/>
          <w:lang w:val="en-US" w:eastAsia="zh-CN" w:bidi="ar-SA"/>
        </w:rPr>
        <w:t>目录</w:t>
      </w:r>
    </w:p>
    <w:p w14:paraId="4C5D652E">
      <w:pPr>
        <w:numPr>
          <w:ilvl w:val="0"/>
          <w:numId w:val="0"/>
        </w:numPr>
        <w:spacing w:line="360" w:lineRule="auto"/>
        <w:jc w:val="both"/>
        <w:rPr>
          <w:rFonts w:hint="eastAsia" w:ascii="黑体" w:hAnsi="黑体" w:eastAsia="黑体" w:cs="黑体"/>
          <w:b w:val="0"/>
          <w:bCs w:val="0"/>
          <w:color w:val="000000"/>
          <w:kern w:val="2"/>
          <w:sz w:val="32"/>
          <w:szCs w:val="32"/>
          <w:lang w:val="en-US" w:eastAsia="zh-CN" w:bidi="ar-SA"/>
        </w:rPr>
      </w:pPr>
    </w:p>
    <w:p w14:paraId="3E40926D">
      <w:pPr>
        <w:numPr>
          <w:ilvl w:val="0"/>
          <w:numId w:val="0"/>
        </w:numPr>
        <w:spacing w:line="360" w:lineRule="auto"/>
        <w:jc w:val="both"/>
        <w:rPr>
          <w:rFonts w:hint="default"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000000"/>
          <w:kern w:val="2"/>
          <w:sz w:val="24"/>
          <w:szCs w:val="24"/>
          <w:lang w:val="en-US" w:eastAsia="zh-CN" w:bidi="ar-SA"/>
        </w:rPr>
        <w:t>一、</w:t>
      </w:r>
      <w:r>
        <w:rPr>
          <w:rFonts w:hint="eastAsia" w:ascii="宋体" w:hAnsi="宋体" w:eastAsia="宋体" w:cs="宋体"/>
          <w:b w:val="0"/>
          <w:bCs w:val="0"/>
          <w:color w:val="auto"/>
          <w:kern w:val="2"/>
          <w:sz w:val="24"/>
          <w:szCs w:val="24"/>
          <w:lang w:val="en-US" w:eastAsia="zh-CN" w:bidi="ar-SA"/>
        </w:rPr>
        <w:t>投标承诺书.......................................................</w:t>
      </w:r>
    </w:p>
    <w:p w14:paraId="749C929A">
      <w:pPr>
        <w:numPr>
          <w:ilvl w:val="0"/>
          <w:numId w:val="0"/>
        </w:numPr>
        <w:spacing w:line="360" w:lineRule="auto"/>
        <w:jc w:val="both"/>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二、开标一览表.......................................................</w:t>
      </w:r>
    </w:p>
    <w:p w14:paraId="029A39C1">
      <w:pPr>
        <w:numPr>
          <w:ilvl w:val="0"/>
          <w:numId w:val="0"/>
        </w:numPr>
        <w:spacing w:line="360" w:lineRule="auto"/>
        <w:jc w:val="both"/>
        <w:rPr>
          <w:rFonts w:hint="default"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三、报名产品详细情况表...............................................</w:t>
      </w:r>
    </w:p>
    <w:p w14:paraId="255E058D">
      <w:pPr>
        <w:numPr>
          <w:ilvl w:val="0"/>
          <w:numId w:val="0"/>
        </w:numPr>
        <w:spacing w:line="360" w:lineRule="auto"/>
        <w:jc w:val="both"/>
        <w:rPr>
          <w:rFonts w:hint="default"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四、法定代表人身份证明...............................................</w:t>
      </w:r>
    </w:p>
    <w:p w14:paraId="04DCC8F3">
      <w:pPr>
        <w:numPr>
          <w:ilvl w:val="0"/>
          <w:numId w:val="0"/>
        </w:numPr>
        <w:spacing w:line="360" w:lineRule="auto"/>
        <w:jc w:val="both"/>
        <w:rPr>
          <w:rFonts w:hint="default"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五、授权委托书.......................................................</w:t>
      </w:r>
    </w:p>
    <w:p w14:paraId="61FFCBB4">
      <w:pPr>
        <w:numPr>
          <w:ilvl w:val="0"/>
          <w:numId w:val="0"/>
        </w:numPr>
        <w:spacing w:line="360" w:lineRule="auto"/>
        <w:jc w:val="both"/>
        <w:rPr>
          <w:rFonts w:hint="default"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六、投标人基本情况表.................................................</w:t>
      </w:r>
    </w:p>
    <w:p w14:paraId="0A1B9231">
      <w:pPr>
        <w:numPr>
          <w:ilvl w:val="0"/>
          <w:numId w:val="0"/>
        </w:numPr>
        <w:spacing w:line="360" w:lineRule="auto"/>
        <w:jc w:val="left"/>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七、主要商务要求承书 .................................................</w:t>
      </w:r>
    </w:p>
    <w:p w14:paraId="78360284">
      <w:pPr>
        <w:numPr>
          <w:ilvl w:val="0"/>
          <w:numId w:val="0"/>
        </w:numPr>
        <w:spacing w:line="360" w:lineRule="auto"/>
        <w:jc w:val="both"/>
        <w:rPr>
          <w:rFonts w:hint="default"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八、提供具有良好的商业信誉和健全的财务会计制度的证明材料............. </w:t>
      </w:r>
    </w:p>
    <w:p w14:paraId="448D7F4B">
      <w:pPr>
        <w:numPr>
          <w:ilvl w:val="0"/>
          <w:numId w:val="0"/>
        </w:numPr>
        <w:spacing w:line="360" w:lineRule="auto"/>
        <w:jc w:val="both"/>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九、提供依法缴纳税收和社会保障资金的良好记录........................ .</w:t>
      </w:r>
    </w:p>
    <w:p w14:paraId="52E2C401">
      <w:pPr>
        <w:numPr>
          <w:ilvl w:val="0"/>
          <w:numId w:val="0"/>
        </w:numPr>
        <w:spacing w:line="360" w:lineRule="auto"/>
        <w:jc w:val="both"/>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十、参加政府采购前三年内在经营活动中无重大违法记录书面声明...........</w:t>
      </w:r>
    </w:p>
    <w:p w14:paraId="2FCC87E6">
      <w:pPr>
        <w:numPr>
          <w:ilvl w:val="0"/>
          <w:numId w:val="0"/>
        </w:numPr>
        <w:spacing w:line="360" w:lineRule="auto"/>
        <w:jc w:val="both"/>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color w:val="auto"/>
          <w:sz w:val="24"/>
          <w:szCs w:val="24"/>
          <w:lang w:val="en-US" w:eastAsia="zh-CN"/>
        </w:rPr>
        <w:t>十一、</w:t>
      </w:r>
      <w:r>
        <w:rPr>
          <w:rFonts w:ascii="宋体" w:hAnsi="宋体" w:eastAsia="宋体" w:cs="宋体"/>
          <w:b w:val="0"/>
          <w:color w:val="auto"/>
          <w:sz w:val="24"/>
          <w:szCs w:val="24"/>
        </w:rPr>
        <w:t>具有履行合同所必须的设备和专业技术能力的声明....................</w:t>
      </w:r>
    </w:p>
    <w:p w14:paraId="2F62E5F3">
      <w:pPr>
        <w:numPr>
          <w:ilvl w:val="0"/>
          <w:numId w:val="0"/>
        </w:numPr>
        <w:spacing w:line="360" w:lineRule="auto"/>
        <w:jc w:val="both"/>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十二、技术标准响应表.................................................</w:t>
      </w:r>
    </w:p>
    <w:p w14:paraId="2143BEB3">
      <w:pPr>
        <w:numPr>
          <w:ilvl w:val="0"/>
          <w:numId w:val="0"/>
        </w:numPr>
        <w:spacing w:line="360" w:lineRule="auto"/>
        <w:jc w:val="both"/>
        <w:rPr>
          <w:rFonts w:hint="default" w:ascii="宋体" w:hAnsi="宋体" w:eastAsia="宋体" w:cs="宋体"/>
          <w:b w:val="0"/>
          <w:bCs w:val="0"/>
          <w:color w:val="000000"/>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十三、服务承诺...........................</w:t>
      </w:r>
      <w:r>
        <w:rPr>
          <w:rFonts w:hint="eastAsia" w:ascii="宋体" w:hAnsi="宋体" w:eastAsia="宋体" w:cs="宋体"/>
          <w:b w:val="0"/>
          <w:bCs w:val="0"/>
          <w:color w:val="000000"/>
          <w:kern w:val="2"/>
          <w:sz w:val="24"/>
          <w:szCs w:val="24"/>
          <w:lang w:val="en-US" w:eastAsia="zh-CN" w:bidi="ar-SA"/>
        </w:rPr>
        <w:t>.............................</w:t>
      </w:r>
    </w:p>
    <w:p w14:paraId="78B49DDC">
      <w:pPr>
        <w:numPr>
          <w:ilvl w:val="0"/>
          <w:numId w:val="0"/>
        </w:numPr>
        <w:spacing w:line="360" w:lineRule="auto"/>
        <w:jc w:val="both"/>
        <w:rPr>
          <w:rFonts w:hint="default" w:ascii="宋体" w:hAnsi="宋体" w:eastAsia="宋体" w:cs="宋体"/>
          <w:b w:val="0"/>
          <w:bCs w:val="0"/>
          <w:color w:val="000000"/>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十四、体系认证.......................</w:t>
      </w:r>
      <w:r>
        <w:rPr>
          <w:rFonts w:hint="eastAsia" w:ascii="宋体" w:hAnsi="宋体" w:eastAsia="宋体" w:cs="宋体"/>
          <w:b w:val="0"/>
          <w:bCs w:val="0"/>
          <w:color w:val="000000"/>
          <w:kern w:val="2"/>
          <w:sz w:val="24"/>
          <w:szCs w:val="24"/>
          <w:lang w:val="en-US" w:eastAsia="zh-CN" w:bidi="ar-SA"/>
        </w:rPr>
        <w:t>................................</w:t>
      </w:r>
    </w:p>
    <w:p w14:paraId="3D14B128">
      <w:pPr>
        <w:numPr>
          <w:ilvl w:val="0"/>
          <w:numId w:val="0"/>
        </w:numPr>
        <w:spacing w:line="360" w:lineRule="auto"/>
        <w:jc w:val="both"/>
        <w:rPr>
          <w:rFonts w:hint="default" w:ascii="宋体" w:hAnsi="宋体" w:eastAsia="宋体" w:cs="宋体"/>
          <w:b w:val="0"/>
          <w:bCs w:val="0"/>
          <w:color w:val="000000"/>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十五、服务方案.......................</w:t>
      </w:r>
      <w:r>
        <w:rPr>
          <w:rFonts w:hint="eastAsia" w:ascii="宋体" w:hAnsi="宋体" w:eastAsia="宋体" w:cs="宋体"/>
          <w:b w:val="0"/>
          <w:bCs w:val="0"/>
          <w:color w:val="000000"/>
          <w:kern w:val="2"/>
          <w:sz w:val="24"/>
          <w:szCs w:val="24"/>
          <w:lang w:val="en-US" w:eastAsia="zh-CN" w:bidi="ar-SA"/>
        </w:rPr>
        <w:t>................................</w:t>
      </w:r>
    </w:p>
    <w:p w14:paraId="25C0861A">
      <w:pPr>
        <w:numPr>
          <w:ilvl w:val="0"/>
          <w:numId w:val="0"/>
        </w:numPr>
        <w:spacing w:line="360" w:lineRule="auto"/>
        <w:jc w:val="both"/>
        <w:rPr>
          <w:rFonts w:hint="default" w:ascii="宋体" w:hAnsi="宋体" w:eastAsia="宋体" w:cs="宋体"/>
          <w:b w:val="0"/>
          <w:bCs w:val="0"/>
          <w:color w:val="000000"/>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十六、应急维护处置方案................</w:t>
      </w:r>
      <w:r>
        <w:rPr>
          <w:rFonts w:hint="eastAsia" w:ascii="宋体" w:hAnsi="宋体" w:eastAsia="宋体" w:cs="宋体"/>
          <w:b w:val="0"/>
          <w:bCs w:val="0"/>
          <w:color w:val="000000"/>
          <w:kern w:val="2"/>
          <w:sz w:val="24"/>
          <w:szCs w:val="24"/>
          <w:lang w:val="en-US" w:eastAsia="zh-CN" w:bidi="ar-SA"/>
        </w:rPr>
        <w:t>................................</w:t>
      </w:r>
    </w:p>
    <w:p w14:paraId="03836EB4">
      <w:pPr>
        <w:numPr>
          <w:ilvl w:val="0"/>
          <w:numId w:val="0"/>
        </w:numPr>
        <w:spacing w:line="360" w:lineRule="auto"/>
        <w:jc w:val="both"/>
        <w:rPr>
          <w:rFonts w:hint="eastAsia" w:ascii="宋体" w:hAnsi="宋体" w:eastAsia="宋体" w:cs="宋体"/>
          <w:b w:val="0"/>
          <w:bCs w:val="0"/>
          <w:color w:val="000000"/>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十七、综合评价........................</w:t>
      </w:r>
      <w:r>
        <w:rPr>
          <w:rFonts w:hint="eastAsia" w:ascii="宋体" w:hAnsi="宋体" w:eastAsia="宋体" w:cs="宋体"/>
          <w:b w:val="0"/>
          <w:bCs w:val="0"/>
          <w:color w:val="000000"/>
          <w:kern w:val="2"/>
          <w:sz w:val="24"/>
          <w:szCs w:val="24"/>
          <w:lang w:val="en-US" w:eastAsia="zh-CN" w:bidi="ar-SA"/>
        </w:rPr>
        <w:t>................................</w:t>
      </w:r>
    </w:p>
    <w:p w14:paraId="5D3F83AB">
      <w:pPr>
        <w:numPr>
          <w:ilvl w:val="0"/>
          <w:numId w:val="0"/>
        </w:numPr>
        <w:spacing w:line="360" w:lineRule="auto"/>
        <w:jc w:val="both"/>
        <w:rPr>
          <w:rFonts w:hint="eastAsia" w:ascii="宋体" w:hAnsi="宋体" w:eastAsia="宋体" w:cs="宋体"/>
          <w:b w:val="0"/>
          <w:bCs w:val="0"/>
          <w:color w:val="000000"/>
          <w:kern w:val="2"/>
          <w:sz w:val="24"/>
          <w:szCs w:val="24"/>
          <w:lang w:val="en-US" w:eastAsia="zh-CN" w:bidi="ar-SA"/>
        </w:rPr>
      </w:pPr>
      <w:r>
        <w:rPr>
          <w:rFonts w:hint="eastAsia" w:ascii="宋体" w:hAnsi="宋体" w:eastAsia="宋体" w:cs="宋体"/>
          <w:b w:val="0"/>
          <w:bCs w:val="0"/>
          <w:color w:val="000000"/>
          <w:kern w:val="2"/>
          <w:sz w:val="24"/>
          <w:szCs w:val="24"/>
          <w:lang w:val="en-US" w:eastAsia="zh-CN" w:bidi="ar-SA"/>
        </w:rPr>
        <w:t>十八、业绩............................................................</w:t>
      </w:r>
    </w:p>
    <w:p w14:paraId="4A517121">
      <w:pPr>
        <w:numPr>
          <w:ilvl w:val="0"/>
          <w:numId w:val="0"/>
        </w:numPr>
        <w:spacing w:line="360" w:lineRule="auto"/>
        <w:jc w:val="both"/>
        <w:rPr>
          <w:rFonts w:hint="default" w:ascii="宋体" w:hAnsi="宋体" w:eastAsia="宋体" w:cs="宋体"/>
          <w:b w:val="0"/>
          <w:bCs w:val="0"/>
          <w:color w:val="000000"/>
          <w:kern w:val="2"/>
          <w:sz w:val="24"/>
          <w:szCs w:val="24"/>
          <w:lang w:val="en-US" w:eastAsia="zh-CN" w:bidi="ar-SA"/>
        </w:rPr>
      </w:pPr>
      <w:r>
        <w:rPr>
          <w:rFonts w:hint="eastAsia" w:ascii="宋体" w:hAnsi="宋体" w:eastAsia="宋体" w:cs="宋体"/>
          <w:b w:val="0"/>
          <w:bCs w:val="0"/>
          <w:color w:val="000000"/>
          <w:kern w:val="2"/>
          <w:sz w:val="24"/>
          <w:szCs w:val="24"/>
          <w:lang w:val="en-US" w:eastAsia="zh-CN" w:bidi="ar-SA"/>
        </w:rPr>
        <w:t>十九、其他............................................................</w:t>
      </w:r>
    </w:p>
    <w:p w14:paraId="415BFE8F">
      <w:pPr>
        <w:numPr>
          <w:ilvl w:val="0"/>
          <w:numId w:val="0"/>
        </w:numPr>
        <w:spacing w:line="360" w:lineRule="auto"/>
        <w:jc w:val="both"/>
        <w:rPr>
          <w:rFonts w:hint="eastAsia" w:ascii="宋体" w:hAnsi="宋体" w:eastAsia="宋体" w:cs="宋体"/>
          <w:b w:val="0"/>
          <w:bCs w:val="0"/>
          <w:color w:val="000000"/>
          <w:kern w:val="2"/>
          <w:sz w:val="24"/>
          <w:szCs w:val="24"/>
          <w:lang w:val="en-US" w:eastAsia="zh-CN" w:bidi="ar-SA"/>
        </w:rPr>
      </w:pPr>
    </w:p>
    <w:p w14:paraId="53C0EB34">
      <w:pPr>
        <w:numPr>
          <w:ilvl w:val="0"/>
          <w:numId w:val="0"/>
        </w:numPr>
        <w:spacing w:line="360" w:lineRule="auto"/>
        <w:jc w:val="both"/>
        <w:rPr>
          <w:rFonts w:hint="eastAsia" w:ascii="宋体" w:hAnsi="宋体" w:eastAsia="宋体" w:cs="宋体"/>
          <w:b w:val="0"/>
          <w:bCs w:val="0"/>
          <w:color w:val="000000"/>
          <w:kern w:val="2"/>
          <w:sz w:val="24"/>
          <w:szCs w:val="24"/>
          <w:lang w:val="en-US" w:eastAsia="zh-CN" w:bidi="ar-SA"/>
        </w:rPr>
      </w:pPr>
    </w:p>
    <w:p w14:paraId="2B95D9E3">
      <w:pPr>
        <w:keepNext w:val="0"/>
        <w:keepLines w:val="0"/>
        <w:pageBreakBefore w:val="0"/>
        <w:widowControl w:val="0"/>
        <w:numPr>
          <w:ilvl w:val="0"/>
          <w:numId w:val="0"/>
        </w:numPr>
        <w:tabs>
          <w:tab w:val="left" w:pos="1236"/>
        </w:tabs>
        <w:kinsoku/>
        <w:wordWrap/>
        <w:overflowPunct/>
        <w:topLinePunct w:val="0"/>
        <w:autoSpaceDE/>
        <w:autoSpaceDN/>
        <w:bidi w:val="0"/>
        <w:adjustRightInd/>
        <w:snapToGrid/>
        <w:spacing w:line="360" w:lineRule="auto"/>
        <w:jc w:val="both"/>
        <w:textAlignment w:val="auto"/>
        <w:outlineLvl w:val="9"/>
        <w:rPr>
          <w:rFonts w:hint="eastAsia" w:ascii="宋体" w:hAnsi="宋体" w:eastAsia="宋体" w:cs="宋体"/>
          <w:b/>
          <w:bCs/>
          <w:i w:val="0"/>
          <w:caps w:val="0"/>
          <w:color w:val="auto"/>
          <w:spacing w:val="0"/>
          <w:sz w:val="36"/>
          <w:szCs w:val="36"/>
          <w:lang w:val="en-US" w:eastAsia="zh-CN"/>
        </w:rPr>
      </w:pPr>
    </w:p>
    <w:p w14:paraId="4DA8E4DC">
      <w:pPr>
        <w:keepNext w:val="0"/>
        <w:keepLines w:val="0"/>
        <w:pageBreakBefore w:val="0"/>
        <w:widowControl w:val="0"/>
        <w:numPr>
          <w:ilvl w:val="0"/>
          <w:numId w:val="0"/>
        </w:numPr>
        <w:tabs>
          <w:tab w:val="left" w:pos="1236"/>
        </w:tabs>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b/>
          <w:bCs/>
          <w:i w:val="0"/>
          <w:caps w:val="0"/>
          <w:color w:val="auto"/>
          <w:spacing w:val="0"/>
          <w:sz w:val="36"/>
          <w:szCs w:val="36"/>
          <w:lang w:val="en-US" w:eastAsia="zh-CN"/>
        </w:rPr>
      </w:pPr>
    </w:p>
    <w:p w14:paraId="7B8F3A2B">
      <w:pPr>
        <w:keepNext w:val="0"/>
        <w:keepLines w:val="0"/>
        <w:pageBreakBefore w:val="0"/>
        <w:widowControl w:val="0"/>
        <w:numPr>
          <w:ilvl w:val="0"/>
          <w:numId w:val="0"/>
        </w:numPr>
        <w:tabs>
          <w:tab w:val="left" w:pos="1236"/>
        </w:tabs>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b/>
          <w:bCs/>
          <w:i w:val="0"/>
          <w:caps w:val="0"/>
          <w:color w:val="auto"/>
          <w:spacing w:val="0"/>
          <w:sz w:val="36"/>
          <w:szCs w:val="36"/>
          <w:lang w:val="en-US" w:eastAsia="zh-CN"/>
        </w:rPr>
      </w:pPr>
    </w:p>
    <w:p w14:paraId="0765912E">
      <w:pPr>
        <w:keepNext w:val="0"/>
        <w:keepLines w:val="0"/>
        <w:pageBreakBefore w:val="0"/>
        <w:widowControl w:val="0"/>
        <w:numPr>
          <w:ilvl w:val="0"/>
          <w:numId w:val="0"/>
        </w:numPr>
        <w:tabs>
          <w:tab w:val="left" w:pos="1236"/>
        </w:tabs>
        <w:kinsoku/>
        <w:wordWrap/>
        <w:overflowPunct/>
        <w:topLinePunct w:val="0"/>
        <w:autoSpaceDE/>
        <w:autoSpaceDN/>
        <w:bidi w:val="0"/>
        <w:adjustRightInd/>
        <w:snapToGrid/>
        <w:spacing w:line="360" w:lineRule="auto"/>
        <w:jc w:val="both"/>
        <w:textAlignment w:val="auto"/>
        <w:outlineLvl w:val="9"/>
        <w:rPr>
          <w:rFonts w:hint="eastAsia" w:ascii="宋体" w:hAnsi="宋体" w:eastAsia="宋体" w:cs="宋体"/>
          <w:b/>
          <w:bCs/>
          <w:i w:val="0"/>
          <w:caps w:val="0"/>
          <w:color w:val="auto"/>
          <w:spacing w:val="0"/>
          <w:sz w:val="36"/>
          <w:szCs w:val="36"/>
          <w:lang w:val="en-US" w:eastAsia="zh-CN"/>
        </w:rPr>
      </w:pPr>
    </w:p>
    <w:p w14:paraId="6A7FB802">
      <w:pPr>
        <w:keepNext w:val="0"/>
        <w:keepLines w:val="0"/>
        <w:pageBreakBefore w:val="0"/>
        <w:widowControl w:val="0"/>
        <w:numPr>
          <w:ilvl w:val="0"/>
          <w:numId w:val="0"/>
        </w:numPr>
        <w:tabs>
          <w:tab w:val="left" w:pos="1236"/>
        </w:tabs>
        <w:kinsoku/>
        <w:wordWrap/>
        <w:overflowPunct/>
        <w:topLinePunct w:val="0"/>
        <w:autoSpaceDE/>
        <w:autoSpaceDN/>
        <w:bidi w:val="0"/>
        <w:adjustRightInd/>
        <w:snapToGrid/>
        <w:spacing w:line="360" w:lineRule="auto"/>
        <w:jc w:val="center"/>
        <w:textAlignment w:val="auto"/>
        <w:outlineLvl w:val="9"/>
        <w:rPr>
          <w:rFonts w:hint="default" w:ascii="宋体" w:hAnsi="宋体" w:eastAsia="宋体" w:cs="宋体"/>
          <w:b/>
          <w:bCs/>
          <w:i w:val="0"/>
          <w:caps w:val="0"/>
          <w:color w:val="auto"/>
          <w:spacing w:val="0"/>
          <w:sz w:val="36"/>
          <w:szCs w:val="36"/>
          <w:lang w:val="en-US" w:eastAsia="zh-CN"/>
        </w:rPr>
      </w:pPr>
      <w:r>
        <w:rPr>
          <w:rFonts w:hint="eastAsia" w:ascii="宋体" w:hAnsi="宋体" w:eastAsia="宋体" w:cs="宋体"/>
          <w:b/>
          <w:bCs/>
          <w:i w:val="0"/>
          <w:caps w:val="0"/>
          <w:color w:val="auto"/>
          <w:spacing w:val="0"/>
          <w:sz w:val="36"/>
          <w:szCs w:val="36"/>
          <w:lang w:val="en-US" w:eastAsia="zh-CN"/>
        </w:rPr>
        <w:t>投标承诺书</w:t>
      </w:r>
    </w:p>
    <w:p w14:paraId="71B510D9">
      <w:pPr>
        <w:keepNext w:val="0"/>
        <w:keepLines w:val="0"/>
        <w:pageBreakBefore w:val="0"/>
        <w:widowControl w:val="0"/>
        <w:numPr>
          <w:ilvl w:val="0"/>
          <w:numId w:val="0"/>
        </w:numPr>
        <w:tabs>
          <w:tab w:val="left" w:pos="1236"/>
        </w:tabs>
        <w:kinsoku/>
        <w:wordWrap/>
        <w:overflowPunct/>
        <w:topLinePunct w:val="0"/>
        <w:autoSpaceDE/>
        <w:autoSpaceDN/>
        <w:bidi w:val="0"/>
        <w:adjustRightInd/>
        <w:snapToGrid/>
        <w:spacing w:line="560" w:lineRule="exact"/>
        <w:jc w:val="left"/>
        <w:textAlignment w:val="auto"/>
        <w:outlineLvl w:val="9"/>
        <w:rPr>
          <w:rFonts w:hint="default" w:ascii="宋体" w:hAnsi="宋体" w:eastAsia="宋体" w:cs="宋体"/>
          <w:b w:val="0"/>
          <w:bCs w:val="0"/>
          <w:i w:val="0"/>
          <w:caps w:val="0"/>
          <w:color w:val="auto"/>
          <w:spacing w:val="0"/>
          <w:sz w:val="24"/>
          <w:szCs w:val="24"/>
          <w:lang w:val="en-US" w:eastAsia="zh-CN"/>
        </w:rPr>
      </w:pPr>
      <w:r>
        <w:rPr>
          <w:rFonts w:hint="eastAsia" w:ascii="宋体" w:hAnsi="宋体" w:eastAsia="宋体" w:cs="宋体"/>
          <w:b w:val="0"/>
          <w:bCs w:val="0"/>
          <w:i w:val="0"/>
          <w:caps w:val="0"/>
          <w:color w:val="auto"/>
          <w:spacing w:val="0"/>
          <w:sz w:val="24"/>
          <w:szCs w:val="24"/>
          <w:lang w:val="en-US" w:eastAsia="zh-CN"/>
        </w:rPr>
        <w:t>致：鄂尔多斯市中心医院</w:t>
      </w:r>
    </w:p>
    <w:p w14:paraId="470F6163">
      <w:pPr>
        <w:keepNext w:val="0"/>
        <w:keepLines w:val="0"/>
        <w:pageBreakBefore w:val="0"/>
        <w:widowControl w:val="0"/>
        <w:numPr>
          <w:ilvl w:val="0"/>
          <w:numId w:val="0"/>
        </w:numPr>
        <w:tabs>
          <w:tab w:val="left" w:pos="1236"/>
        </w:tabs>
        <w:kinsoku/>
        <w:wordWrap/>
        <w:overflowPunct/>
        <w:topLinePunct w:val="0"/>
        <w:autoSpaceDE/>
        <w:autoSpaceDN/>
        <w:bidi w:val="0"/>
        <w:adjustRightInd/>
        <w:snapToGrid/>
        <w:spacing w:line="560" w:lineRule="exact"/>
        <w:ind w:firstLine="480" w:firstLineChars="200"/>
        <w:jc w:val="left"/>
        <w:textAlignment w:val="auto"/>
        <w:outlineLvl w:val="9"/>
        <w:rPr>
          <w:rFonts w:hint="eastAsia" w:ascii="宋体" w:hAnsi="宋体" w:eastAsia="宋体" w:cs="宋体"/>
          <w:b w:val="0"/>
          <w:bCs w:val="0"/>
          <w:i w:val="0"/>
          <w:caps w:val="0"/>
          <w:color w:val="auto"/>
          <w:spacing w:val="0"/>
          <w:sz w:val="24"/>
          <w:szCs w:val="24"/>
          <w:lang w:val="en-US" w:eastAsia="zh-CN"/>
        </w:rPr>
      </w:pPr>
      <w:r>
        <w:rPr>
          <w:rFonts w:hint="eastAsia" w:ascii="宋体" w:hAnsi="宋体" w:eastAsia="宋体" w:cs="宋体"/>
          <w:b w:val="0"/>
          <w:bCs w:val="0"/>
          <w:i w:val="0"/>
          <w:caps w:val="0"/>
          <w:color w:val="auto"/>
          <w:spacing w:val="0"/>
          <w:sz w:val="24"/>
          <w:szCs w:val="24"/>
          <w:lang w:val="en-US" w:eastAsia="zh-CN"/>
        </w:rPr>
        <w:t>本投标人已详细阅读了</w:t>
      </w:r>
      <w:r>
        <w:rPr>
          <w:rFonts w:hint="eastAsia" w:ascii="宋体" w:hAnsi="宋体" w:eastAsia="宋体" w:cs="宋体"/>
          <w:b w:val="0"/>
          <w:bCs w:val="0"/>
          <w:i w:val="0"/>
          <w:caps w:val="0"/>
          <w:color w:val="auto"/>
          <w:spacing w:val="0"/>
          <w:sz w:val="24"/>
          <w:szCs w:val="24"/>
          <w:u w:val="single"/>
          <w:lang w:val="en-US" w:eastAsia="zh-CN"/>
        </w:rPr>
        <w:t xml:space="preserve">                   </w:t>
      </w:r>
      <w:r>
        <w:rPr>
          <w:rFonts w:hint="eastAsia" w:ascii="宋体" w:hAnsi="宋体" w:eastAsia="宋体" w:cs="宋体"/>
          <w:b w:val="0"/>
          <w:bCs w:val="0"/>
          <w:i w:val="0"/>
          <w:caps w:val="0"/>
          <w:color w:val="auto"/>
          <w:spacing w:val="0"/>
          <w:sz w:val="24"/>
          <w:szCs w:val="24"/>
          <w:lang w:val="en-US" w:eastAsia="zh-CN"/>
        </w:rPr>
        <w:t>项目招标公告及供应商须知等内容，自愿参加上述项目投标，现就有关事项向招标人郑重承诺如下：</w:t>
      </w:r>
    </w:p>
    <w:p w14:paraId="73B61554">
      <w:pPr>
        <w:keepNext w:val="0"/>
        <w:keepLines w:val="0"/>
        <w:pageBreakBefore w:val="0"/>
        <w:widowControl w:val="0"/>
        <w:numPr>
          <w:ilvl w:val="0"/>
          <w:numId w:val="0"/>
        </w:numPr>
        <w:tabs>
          <w:tab w:val="left" w:pos="1236"/>
        </w:tabs>
        <w:kinsoku/>
        <w:wordWrap/>
        <w:overflowPunct/>
        <w:topLinePunct w:val="0"/>
        <w:autoSpaceDE/>
        <w:autoSpaceDN/>
        <w:bidi w:val="0"/>
        <w:adjustRightInd/>
        <w:snapToGrid/>
        <w:spacing w:line="560" w:lineRule="exact"/>
        <w:ind w:firstLine="480" w:firstLineChars="200"/>
        <w:jc w:val="left"/>
        <w:textAlignment w:val="auto"/>
        <w:outlineLvl w:val="9"/>
        <w:rPr>
          <w:rFonts w:hint="default" w:ascii="宋体" w:hAnsi="宋体" w:eastAsia="宋体" w:cs="宋体"/>
          <w:b w:val="0"/>
          <w:bCs w:val="0"/>
          <w:i w:val="0"/>
          <w:caps w:val="0"/>
          <w:color w:val="auto"/>
          <w:spacing w:val="0"/>
          <w:sz w:val="24"/>
          <w:szCs w:val="24"/>
          <w:lang w:val="en-US" w:eastAsia="zh-CN"/>
        </w:rPr>
      </w:pPr>
      <w:r>
        <w:rPr>
          <w:rFonts w:hint="eastAsia" w:ascii="宋体" w:hAnsi="宋体" w:eastAsia="宋体" w:cs="宋体"/>
          <w:b w:val="0"/>
          <w:bCs w:val="0"/>
          <w:i w:val="0"/>
          <w:caps w:val="0"/>
          <w:color w:val="auto"/>
          <w:spacing w:val="0"/>
          <w:sz w:val="24"/>
          <w:szCs w:val="24"/>
          <w:lang w:val="en-US" w:eastAsia="zh-CN"/>
        </w:rPr>
        <w:t>1、自愿遵守有关政府采购、招标投标的法律法规规定，自觉维护市场秩序。如有违反，无条件接受相关部门的处罚；</w:t>
      </w:r>
    </w:p>
    <w:p w14:paraId="2B22E5F7">
      <w:pPr>
        <w:keepNext w:val="0"/>
        <w:keepLines w:val="0"/>
        <w:pageBreakBefore w:val="0"/>
        <w:widowControl w:val="0"/>
        <w:numPr>
          <w:ilvl w:val="0"/>
          <w:numId w:val="0"/>
        </w:numPr>
        <w:tabs>
          <w:tab w:val="left" w:pos="1236"/>
        </w:tabs>
        <w:kinsoku/>
        <w:wordWrap/>
        <w:overflowPunct/>
        <w:topLinePunct w:val="0"/>
        <w:autoSpaceDE/>
        <w:autoSpaceDN/>
        <w:bidi w:val="0"/>
        <w:adjustRightInd/>
        <w:snapToGrid/>
        <w:spacing w:line="560" w:lineRule="exact"/>
        <w:ind w:firstLine="480" w:firstLineChars="200"/>
        <w:jc w:val="left"/>
        <w:textAlignment w:val="auto"/>
        <w:outlineLvl w:val="9"/>
        <w:rPr>
          <w:rFonts w:hint="eastAsia" w:ascii="宋体" w:hAnsi="宋体" w:eastAsia="宋体" w:cs="宋体"/>
          <w:b w:val="0"/>
          <w:bCs w:val="0"/>
          <w:i w:val="0"/>
          <w:caps w:val="0"/>
          <w:color w:val="auto"/>
          <w:spacing w:val="0"/>
          <w:sz w:val="24"/>
          <w:szCs w:val="24"/>
          <w:lang w:val="en-US" w:eastAsia="zh-CN"/>
        </w:rPr>
      </w:pPr>
      <w:r>
        <w:rPr>
          <w:rFonts w:hint="eastAsia" w:ascii="宋体" w:hAnsi="宋体" w:eastAsia="宋体" w:cs="宋体"/>
          <w:b w:val="0"/>
          <w:bCs w:val="0"/>
          <w:i w:val="0"/>
          <w:caps w:val="0"/>
          <w:color w:val="auto"/>
          <w:spacing w:val="0"/>
          <w:sz w:val="24"/>
          <w:szCs w:val="24"/>
          <w:lang w:val="en-US" w:eastAsia="zh-CN"/>
        </w:rPr>
        <w:t>2、我方在此声明，本次招标投标活动中申报的所有资料都是真实、准确完整的，如发现提供虚假资料，或与事实不符而导致投标无效，甚至造成任何法律和经济职责，完全由我方负责；</w:t>
      </w:r>
    </w:p>
    <w:p w14:paraId="148CA032">
      <w:pPr>
        <w:keepNext w:val="0"/>
        <w:keepLines w:val="0"/>
        <w:pageBreakBefore w:val="0"/>
        <w:widowControl w:val="0"/>
        <w:numPr>
          <w:ilvl w:val="0"/>
          <w:numId w:val="0"/>
        </w:numPr>
        <w:tabs>
          <w:tab w:val="left" w:pos="1236"/>
        </w:tabs>
        <w:kinsoku/>
        <w:wordWrap/>
        <w:overflowPunct/>
        <w:topLinePunct w:val="0"/>
        <w:autoSpaceDE/>
        <w:autoSpaceDN/>
        <w:bidi w:val="0"/>
        <w:adjustRightInd/>
        <w:snapToGrid/>
        <w:spacing w:line="560" w:lineRule="exact"/>
        <w:ind w:firstLine="480" w:firstLineChars="200"/>
        <w:jc w:val="left"/>
        <w:textAlignment w:val="auto"/>
        <w:outlineLvl w:val="9"/>
        <w:rPr>
          <w:rFonts w:hint="eastAsia" w:ascii="宋体" w:hAnsi="宋体" w:eastAsia="宋体" w:cs="宋体"/>
          <w:b w:val="0"/>
          <w:bCs w:val="0"/>
          <w:i w:val="0"/>
          <w:caps w:val="0"/>
          <w:color w:val="auto"/>
          <w:spacing w:val="0"/>
          <w:sz w:val="24"/>
          <w:szCs w:val="24"/>
          <w:lang w:val="en-US" w:eastAsia="zh-CN"/>
        </w:rPr>
      </w:pPr>
      <w:r>
        <w:rPr>
          <w:rFonts w:hint="eastAsia" w:ascii="宋体" w:hAnsi="宋体" w:eastAsia="宋体" w:cs="宋体"/>
          <w:b w:val="0"/>
          <w:bCs w:val="0"/>
          <w:i w:val="0"/>
          <w:caps w:val="0"/>
          <w:color w:val="auto"/>
          <w:spacing w:val="0"/>
          <w:sz w:val="24"/>
          <w:szCs w:val="24"/>
          <w:lang w:val="en-US" w:eastAsia="zh-CN"/>
        </w:rPr>
        <w:t>3、我方在本次投标活动中绝无资质挂靠、串标、围标情形，若经贵方查出，立即取消我方投标资格并承担响应的法律职责；</w:t>
      </w:r>
    </w:p>
    <w:p w14:paraId="029FA637">
      <w:pPr>
        <w:keepNext w:val="0"/>
        <w:keepLines w:val="0"/>
        <w:pageBreakBefore w:val="0"/>
        <w:widowControl w:val="0"/>
        <w:numPr>
          <w:ilvl w:val="0"/>
          <w:numId w:val="0"/>
        </w:numPr>
        <w:tabs>
          <w:tab w:val="left" w:pos="1236"/>
        </w:tabs>
        <w:kinsoku/>
        <w:wordWrap/>
        <w:overflowPunct/>
        <w:topLinePunct w:val="0"/>
        <w:autoSpaceDE/>
        <w:autoSpaceDN/>
        <w:bidi w:val="0"/>
        <w:adjustRightInd/>
        <w:snapToGrid/>
        <w:spacing w:line="560" w:lineRule="exact"/>
        <w:ind w:firstLine="480" w:firstLineChars="200"/>
        <w:jc w:val="left"/>
        <w:textAlignment w:val="auto"/>
        <w:outlineLvl w:val="9"/>
        <w:rPr>
          <w:rFonts w:hint="default" w:ascii="宋体" w:hAnsi="宋体" w:eastAsia="宋体" w:cs="宋体"/>
          <w:b w:val="0"/>
          <w:bCs w:val="0"/>
          <w:i w:val="0"/>
          <w:caps w:val="0"/>
          <w:color w:val="auto"/>
          <w:spacing w:val="0"/>
          <w:sz w:val="24"/>
          <w:szCs w:val="24"/>
          <w:lang w:val="en-US" w:eastAsia="zh-CN"/>
        </w:rPr>
      </w:pPr>
      <w:r>
        <w:rPr>
          <w:rFonts w:hint="eastAsia" w:ascii="宋体" w:hAnsi="宋体" w:eastAsia="宋体" w:cs="宋体"/>
          <w:b w:val="0"/>
          <w:bCs w:val="0"/>
          <w:i w:val="0"/>
          <w:caps w:val="0"/>
          <w:color w:val="auto"/>
          <w:spacing w:val="0"/>
          <w:sz w:val="24"/>
          <w:szCs w:val="24"/>
          <w:lang w:val="en-US" w:eastAsia="zh-CN"/>
        </w:rPr>
        <w:t>4、我方承诺在中标后不将招标项目转包、分包。否则，同意被取消中标资格，并愿意承担任何处罚。</w:t>
      </w:r>
    </w:p>
    <w:p w14:paraId="39E76F7C">
      <w:pPr>
        <w:keepNext w:val="0"/>
        <w:keepLines w:val="0"/>
        <w:pageBreakBefore w:val="0"/>
        <w:widowControl w:val="0"/>
        <w:numPr>
          <w:ilvl w:val="0"/>
          <w:numId w:val="0"/>
        </w:numPr>
        <w:tabs>
          <w:tab w:val="left" w:pos="1236"/>
        </w:tabs>
        <w:kinsoku/>
        <w:wordWrap/>
        <w:overflowPunct/>
        <w:topLinePunct w:val="0"/>
        <w:autoSpaceDE/>
        <w:autoSpaceDN/>
        <w:bidi w:val="0"/>
        <w:adjustRightInd/>
        <w:snapToGrid/>
        <w:spacing w:line="560" w:lineRule="exact"/>
        <w:ind w:firstLine="480" w:firstLineChars="200"/>
        <w:jc w:val="left"/>
        <w:textAlignment w:val="auto"/>
        <w:outlineLvl w:val="9"/>
        <w:rPr>
          <w:rFonts w:hint="eastAsia" w:ascii="宋体" w:hAnsi="宋体" w:eastAsia="宋体" w:cs="宋体"/>
          <w:b w:val="0"/>
          <w:bCs w:val="0"/>
          <w:i w:val="0"/>
          <w:caps w:val="0"/>
          <w:color w:val="auto"/>
          <w:spacing w:val="0"/>
          <w:sz w:val="24"/>
          <w:szCs w:val="24"/>
          <w:lang w:val="en-US" w:eastAsia="zh-CN"/>
        </w:rPr>
      </w:pPr>
      <w:r>
        <w:rPr>
          <w:rFonts w:hint="eastAsia" w:ascii="宋体" w:hAnsi="宋体" w:eastAsia="宋体" w:cs="宋体"/>
          <w:b w:val="0"/>
          <w:bCs w:val="0"/>
          <w:i w:val="0"/>
          <w:caps w:val="0"/>
          <w:color w:val="auto"/>
          <w:spacing w:val="0"/>
          <w:sz w:val="24"/>
          <w:szCs w:val="24"/>
          <w:lang w:val="en-US" w:eastAsia="zh-CN"/>
        </w:rPr>
        <w:t>5、我方服从招标文件规定的时间安排，遵守招标有关会议现场纪律。否则，同意被废除投标资格并理解处罚。</w:t>
      </w:r>
    </w:p>
    <w:p w14:paraId="6DF377A3">
      <w:pPr>
        <w:keepNext w:val="0"/>
        <w:keepLines w:val="0"/>
        <w:pageBreakBefore w:val="0"/>
        <w:widowControl w:val="0"/>
        <w:numPr>
          <w:ilvl w:val="0"/>
          <w:numId w:val="0"/>
        </w:numPr>
        <w:tabs>
          <w:tab w:val="left" w:pos="1236"/>
        </w:tabs>
        <w:kinsoku/>
        <w:wordWrap/>
        <w:overflowPunct/>
        <w:topLinePunct w:val="0"/>
        <w:autoSpaceDE/>
        <w:autoSpaceDN/>
        <w:bidi w:val="0"/>
        <w:adjustRightInd/>
        <w:snapToGrid/>
        <w:spacing w:line="560" w:lineRule="exact"/>
        <w:ind w:firstLine="480" w:firstLineChars="200"/>
        <w:jc w:val="left"/>
        <w:textAlignment w:val="auto"/>
        <w:outlineLvl w:val="9"/>
        <w:rPr>
          <w:rFonts w:hint="eastAsia" w:ascii="宋体" w:hAnsi="宋体" w:eastAsia="宋体" w:cs="宋体"/>
          <w:b w:val="0"/>
          <w:bCs w:val="0"/>
          <w:i w:val="0"/>
          <w:caps w:val="0"/>
          <w:color w:val="auto"/>
          <w:spacing w:val="0"/>
          <w:sz w:val="24"/>
          <w:szCs w:val="24"/>
          <w:lang w:val="en-US" w:eastAsia="zh-CN"/>
        </w:rPr>
      </w:pPr>
      <w:r>
        <w:rPr>
          <w:rFonts w:hint="eastAsia" w:ascii="宋体" w:hAnsi="宋体" w:eastAsia="宋体" w:cs="宋体"/>
          <w:b w:val="0"/>
          <w:bCs w:val="0"/>
          <w:i w:val="0"/>
          <w:caps w:val="0"/>
          <w:color w:val="auto"/>
          <w:spacing w:val="0"/>
          <w:sz w:val="24"/>
          <w:szCs w:val="24"/>
          <w:lang w:val="en-US" w:eastAsia="zh-CN"/>
        </w:rPr>
        <w:t>6、保证投标文件不存在低于成本的恶意报价行为，也不存在恶意抬高报价行为。</w:t>
      </w:r>
    </w:p>
    <w:p w14:paraId="7C1FE5F6">
      <w:pPr>
        <w:keepNext w:val="0"/>
        <w:keepLines w:val="0"/>
        <w:pageBreakBefore w:val="0"/>
        <w:widowControl w:val="0"/>
        <w:numPr>
          <w:ilvl w:val="0"/>
          <w:numId w:val="0"/>
        </w:numPr>
        <w:tabs>
          <w:tab w:val="left" w:pos="1236"/>
        </w:tabs>
        <w:kinsoku/>
        <w:wordWrap/>
        <w:overflowPunct/>
        <w:topLinePunct w:val="0"/>
        <w:autoSpaceDE/>
        <w:autoSpaceDN/>
        <w:bidi w:val="0"/>
        <w:adjustRightInd/>
        <w:snapToGrid/>
        <w:spacing w:line="560" w:lineRule="exact"/>
        <w:ind w:firstLine="480" w:firstLineChars="200"/>
        <w:jc w:val="left"/>
        <w:textAlignment w:val="auto"/>
        <w:outlineLvl w:val="9"/>
        <w:rPr>
          <w:rFonts w:hint="eastAsia" w:ascii="宋体" w:hAnsi="宋体" w:eastAsia="宋体" w:cs="宋体"/>
          <w:b w:val="0"/>
          <w:bCs w:val="0"/>
          <w:i w:val="0"/>
          <w:caps w:val="0"/>
          <w:color w:val="auto"/>
          <w:spacing w:val="0"/>
          <w:sz w:val="24"/>
          <w:szCs w:val="24"/>
          <w:lang w:val="en-US" w:eastAsia="zh-CN"/>
        </w:rPr>
      </w:pPr>
      <w:r>
        <w:rPr>
          <w:rFonts w:hint="eastAsia" w:ascii="宋体" w:hAnsi="宋体" w:eastAsia="宋体" w:cs="宋体"/>
          <w:b w:val="0"/>
          <w:bCs w:val="0"/>
          <w:i w:val="0"/>
          <w:caps w:val="0"/>
          <w:color w:val="auto"/>
          <w:spacing w:val="0"/>
          <w:sz w:val="24"/>
          <w:szCs w:val="24"/>
          <w:lang w:val="en-US" w:eastAsia="zh-CN"/>
        </w:rPr>
        <w:t>7.我方一旦中标，将按规定及时与贵单位签订合同。</w:t>
      </w:r>
    </w:p>
    <w:p w14:paraId="620E7992">
      <w:pPr>
        <w:keepNext w:val="0"/>
        <w:keepLines w:val="0"/>
        <w:pageBreakBefore w:val="0"/>
        <w:widowControl w:val="0"/>
        <w:numPr>
          <w:ilvl w:val="0"/>
          <w:numId w:val="0"/>
        </w:numPr>
        <w:tabs>
          <w:tab w:val="left" w:pos="1236"/>
        </w:tabs>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b w:val="0"/>
          <w:bCs w:val="0"/>
          <w:i w:val="0"/>
          <w:caps w:val="0"/>
          <w:color w:val="auto"/>
          <w:spacing w:val="0"/>
          <w:sz w:val="24"/>
          <w:szCs w:val="24"/>
          <w:lang w:val="en-US" w:eastAsia="zh-CN"/>
        </w:rPr>
      </w:pPr>
    </w:p>
    <w:p w14:paraId="7A0F3A1A">
      <w:pPr>
        <w:keepNext w:val="0"/>
        <w:keepLines w:val="0"/>
        <w:pageBreakBefore w:val="0"/>
        <w:widowControl w:val="0"/>
        <w:numPr>
          <w:ilvl w:val="0"/>
          <w:numId w:val="0"/>
        </w:numPr>
        <w:tabs>
          <w:tab w:val="left" w:pos="1236"/>
        </w:tabs>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b w:val="0"/>
          <w:bCs w:val="0"/>
          <w:i w:val="0"/>
          <w:caps w:val="0"/>
          <w:color w:val="auto"/>
          <w:spacing w:val="0"/>
          <w:sz w:val="24"/>
          <w:szCs w:val="24"/>
          <w:lang w:val="en-US" w:eastAsia="zh-CN"/>
        </w:rPr>
      </w:pPr>
      <w:r>
        <w:rPr>
          <w:rFonts w:hint="eastAsia" w:ascii="宋体" w:hAnsi="宋体" w:eastAsia="宋体" w:cs="宋体"/>
          <w:b w:val="0"/>
          <w:bCs w:val="0"/>
          <w:i w:val="0"/>
          <w:caps w:val="0"/>
          <w:color w:val="auto"/>
          <w:spacing w:val="0"/>
          <w:sz w:val="24"/>
          <w:szCs w:val="24"/>
          <w:lang w:val="en-US" w:eastAsia="zh-CN"/>
        </w:rPr>
        <w:t>投标人名称：(盖公章)</w:t>
      </w:r>
    </w:p>
    <w:p w14:paraId="40C7BFC3">
      <w:pPr>
        <w:keepNext w:val="0"/>
        <w:keepLines w:val="0"/>
        <w:pageBreakBefore w:val="0"/>
        <w:widowControl w:val="0"/>
        <w:numPr>
          <w:ilvl w:val="0"/>
          <w:numId w:val="0"/>
        </w:numPr>
        <w:tabs>
          <w:tab w:val="left" w:pos="1236"/>
        </w:tabs>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b w:val="0"/>
          <w:bCs w:val="0"/>
          <w:i w:val="0"/>
          <w:caps w:val="0"/>
          <w:color w:val="auto"/>
          <w:spacing w:val="0"/>
          <w:sz w:val="24"/>
          <w:szCs w:val="24"/>
          <w:lang w:val="en-US" w:eastAsia="zh-CN"/>
        </w:rPr>
      </w:pPr>
    </w:p>
    <w:p w14:paraId="261AFB41">
      <w:pPr>
        <w:keepNext w:val="0"/>
        <w:keepLines w:val="0"/>
        <w:pageBreakBefore w:val="0"/>
        <w:widowControl w:val="0"/>
        <w:numPr>
          <w:ilvl w:val="0"/>
          <w:numId w:val="0"/>
        </w:numPr>
        <w:tabs>
          <w:tab w:val="left" w:pos="1236"/>
        </w:tabs>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b w:val="0"/>
          <w:bCs w:val="0"/>
          <w:i w:val="0"/>
          <w:caps w:val="0"/>
          <w:color w:val="auto"/>
          <w:spacing w:val="0"/>
          <w:sz w:val="24"/>
          <w:szCs w:val="24"/>
          <w:lang w:val="en-US" w:eastAsia="zh-CN"/>
        </w:rPr>
      </w:pPr>
      <w:r>
        <w:rPr>
          <w:rFonts w:hint="eastAsia" w:ascii="宋体" w:hAnsi="宋体" w:eastAsia="宋体" w:cs="宋体"/>
          <w:b w:val="0"/>
          <w:bCs w:val="0"/>
          <w:i w:val="0"/>
          <w:caps w:val="0"/>
          <w:color w:val="auto"/>
          <w:spacing w:val="0"/>
          <w:sz w:val="24"/>
          <w:szCs w:val="24"/>
          <w:lang w:val="en-US" w:eastAsia="zh-CN"/>
        </w:rPr>
        <w:t>法定代表人(或授权代理人)：(签字)</w:t>
      </w:r>
    </w:p>
    <w:p w14:paraId="63D4E404">
      <w:pPr>
        <w:keepNext w:val="0"/>
        <w:keepLines w:val="0"/>
        <w:pageBreakBefore w:val="0"/>
        <w:widowControl w:val="0"/>
        <w:numPr>
          <w:ilvl w:val="0"/>
          <w:numId w:val="0"/>
        </w:numPr>
        <w:tabs>
          <w:tab w:val="left" w:pos="1236"/>
        </w:tabs>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b w:val="0"/>
          <w:bCs w:val="0"/>
          <w:i w:val="0"/>
          <w:caps w:val="0"/>
          <w:color w:val="auto"/>
          <w:spacing w:val="0"/>
          <w:sz w:val="24"/>
          <w:szCs w:val="24"/>
          <w:lang w:val="en-US" w:eastAsia="zh-CN"/>
        </w:rPr>
      </w:pPr>
    </w:p>
    <w:p w14:paraId="79F44EA6">
      <w:pPr>
        <w:keepNext w:val="0"/>
        <w:keepLines w:val="0"/>
        <w:pageBreakBefore w:val="0"/>
        <w:widowControl w:val="0"/>
        <w:numPr>
          <w:ilvl w:val="0"/>
          <w:numId w:val="0"/>
        </w:numPr>
        <w:tabs>
          <w:tab w:val="left" w:pos="1236"/>
        </w:tabs>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b w:val="0"/>
          <w:bCs w:val="0"/>
          <w:i w:val="0"/>
          <w:caps w:val="0"/>
          <w:color w:val="auto"/>
          <w:spacing w:val="0"/>
          <w:sz w:val="24"/>
          <w:szCs w:val="24"/>
          <w:lang w:val="en-US" w:eastAsia="zh-CN"/>
        </w:rPr>
      </w:pPr>
      <w:r>
        <w:rPr>
          <w:rFonts w:hint="eastAsia" w:ascii="宋体" w:hAnsi="宋体" w:eastAsia="宋体" w:cs="宋体"/>
          <w:b w:val="0"/>
          <w:bCs w:val="0"/>
          <w:i w:val="0"/>
          <w:caps w:val="0"/>
          <w:color w:val="auto"/>
          <w:spacing w:val="0"/>
          <w:sz w:val="24"/>
          <w:szCs w:val="24"/>
          <w:lang w:val="en-US" w:eastAsia="zh-CN"/>
        </w:rPr>
        <w:t>日期：   年    月    日</w:t>
      </w:r>
    </w:p>
    <w:p w14:paraId="79316994">
      <w:pPr>
        <w:keepNext w:val="0"/>
        <w:keepLines w:val="0"/>
        <w:pageBreakBefore w:val="0"/>
        <w:widowControl w:val="0"/>
        <w:numPr>
          <w:ilvl w:val="0"/>
          <w:numId w:val="0"/>
        </w:numPr>
        <w:tabs>
          <w:tab w:val="left" w:pos="1236"/>
        </w:tabs>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b w:val="0"/>
          <w:bCs w:val="0"/>
          <w:i w:val="0"/>
          <w:caps w:val="0"/>
          <w:color w:val="auto"/>
          <w:spacing w:val="0"/>
          <w:sz w:val="24"/>
          <w:szCs w:val="24"/>
          <w:lang w:val="en-US" w:eastAsia="zh-CN"/>
        </w:rPr>
      </w:pPr>
    </w:p>
    <w:p w14:paraId="3F232788">
      <w:pPr>
        <w:keepNext w:val="0"/>
        <w:keepLines w:val="0"/>
        <w:pageBreakBefore w:val="0"/>
        <w:widowControl w:val="0"/>
        <w:numPr>
          <w:ilvl w:val="0"/>
          <w:numId w:val="0"/>
        </w:numPr>
        <w:tabs>
          <w:tab w:val="left" w:pos="1236"/>
        </w:tabs>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b w:val="0"/>
          <w:bCs w:val="0"/>
          <w:i w:val="0"/>
          <w:caps w:val="0"/>
          <w:color w:val="auto"/>
          <w:spacing w:val="0"/>
          <w:sz w:val="24"/>
          <w:szCs w:val="24"/>
          <w:lang w:val="en-US" w:eastAsia="zh-CN"/>
        </w:rPr>
      </w:pPr>
    </w:p>
    <w:p w14:paraId="13DFC4B3">
      <w:pPr>
        <w:numPr>
          <w:ilvl w:val="0"/>
          <w:numId w:val="3"/>
        </w:numPr>
        <w:spacing w:line="360" w:lineRule="auto"/>
        <w:ind w:left="0" w:leftChars="0" w:firstLine="0" w:firstLineChars="0"/>
        <w:jc w:val="both"/>
        <w:rPr>
          <w:rFonts w:hint="eastAsia" w:ascii="黑体" w:hAnsi="黑体" w:eastAsia="黑体" w:cs="黑体"/>
          <w:b w:val="0"/>
          <w:bCs w:val="0"/>
          <w:color w:val="000000"/>
          <w:kern w:val="2"/>
          <w:sz w:val="32"/>
          <w:szCs w:val="32"/>
          <w:lang w:val="en-US" w:eastAsia="zh-CN" w:bidi="ar-SA"/>
        </w:rPr>
      </w:pPr>
      <w:r>
        <w:rPr>
          <w:rFonts w:hint="eastAsia" w:ascii="黑体" w:hAnsi="黑体" w:eastAsia="黑体" w:cs="黑体"/>
          <w:b w:val="0"/>
          <w:bCs w:val="0"/>
          <w:color w:val="000000"/>
          <w:kern w:val="2"/>
          <w:sz w:val="32"/>
          <w:szCs w:val="32"/>
          <w:lang w:val="en-US" w:eastAsia="zh-CN" w:bidi="ar-SA"/>
        </w:rPr>
        <w:t>开标一览表</w:t>
      </w:r>
    </w:p>
    <w:p w14:paraId="67915E88">
      <w:pPr>
        <w:numPr>
          <w:ilvl w:val="0"/>
          <w:numId w:val="0"/>
        </w:numPr>
        <w:spacing w:line="360" w:lineRule="auto"/>
        <w:jc w:val="center"/>
        <w:rPr>
          <w:rFonts w:hint="eastAsia" w:ascii="宋体" w:hAnsi="宋体" w:eastAsia="宋体" w:cs="宋体"/>
          <w:b w:val="0"/>
          <w:bCs w:val="0"/>
          <w:color w:val="000000"/>
          <w:kern w:val="2"/>
          <w:sz w:val="32"/>
          <w:szCs w:val="32"/>
          <w:lang w:val="en-US" w:eastAsia="zh-CN" w:bidi="ar-SA"/>
        </w:rPr>
      </w:pPr>
      <w:r>
        <w:rPr>
          <w:rFonts w:hint="eastAsia" w:ascii="宋体" w:hAnsi="宋体" w:eastAsia="宋体" w:cs="宋体"/>
          <w:b w:val="0"/>
          <w:bCs w:val="0"/>
          <w:color w:val="000000"/>
          <w:kern w:val="2"/>
          <w:sz w:val="32"/>
          <w:szCs w:val="32"/>
          <w:lang w:val="en-US" w:eastAsia="zh-CN" w:bidi="ar-SA"/>
        </w:rPr>
        <w:t>开标一览表</w:t>
      </w:r>
    </w:p>
    <w:p w14:paraId="5E566BAF">
      <w:pPr>
        <w:spacing w:line="360" w:lineRule="auto"/>
        <w:rPr>
          <w:rFonts w:hint="eastAsia" w:asciiTheme="majorHAnsi" w:hAnsiTheme="majorHAnsi" w:eastAsiaTheme="majorEastAsia" w:cstheme="majorBidi"/>
          <w:b/>
          <w:bCs/>
          <w:color w:val="000000"/>
          <w:kern w:val="2"/>
          <w:sz w:val="32"/>
          <w:szCs w:val="32"/>
          <w:lang w:val="en-US" w:eastAsia="zh-CN" w:bidi="ar-SA"/>
        </w:rPr>
      </w:pPr>
    </w:p>
    <w:p w14:paraId="40021CB2">
      <w:pPr>
        <w:spacing w:line="360" w:lineRule="auto"/>
        <w:rPr>
          <w:rFonts w:hint="eastAsia" w:ascii="宋体" w:hAnsi="宋体" w:eastAsia="宋体" w:cs="宋体"/>
          <w:b w:val="0"/>
          <w:bCs w:val="0"/>
          <w:color w:val="000000"/>
          <w:kern w:val="2"/>
          <w:sz w:val="24"/>
          <w:szCs w:val="24"/>
          <w:lang w:val="en-US" w:eastAsia="zh-CN" w:bidi="ar-SA"/>
        </w:rPr>
      </w:pPr>
      <w:r>
        <w:rPr>
          <w:rFonts w:hint="eastAsia" w:ascii="宋体" w:hAnsi="宋体" w:eastAsia="宋体" w:cs="宋体"/>
          <w:b w:val="0"/>
          <w:bCs w:val="0"/>
          <w:color w:val="000000"/>
          <w:kern w:val="2"/>
          <w:sz w:val="24"/>
          <w:szCs w:val="24"/>
          <w:lang w:val="en-US" w:eastAsia="zh-CN" w:bidi="ar-SA"/>
        </w:rPr>
        <w:t>投标人名称：</w:t>
      </w:r>
    </w:p>
    <w:p w14:paraId="2502C3C4">
      <w:pPr>
        <w:spacing w:line="360" w:lineRule="auto"/>
        <w:rPr>
          <w:rFonts w:hint="eastAsia" w:ascii="宋体" w:hAnsi="宋体" w:eastAsia="宋体" w:cs="宋体"/>
          <w:b/>
          <w:bCs/>
          <w:color w:val="000000"/>
          <w:kern w:val="2"/>
          <w:sz w:val="24"/>
          <w:szCs w:val="24"/>
          <w:lang w:val="en-US" w:eastAsia="zh-CN" w:bidi="ar-SA"/>
        </w:rPr>
      </w:pPr>
      <w:r>
        <w:rPr>
          <w:rFonts w:hint="eastAsia" w:ascii="宋体" w:hAnsi="宋体" w:eastAsia="宋体" w:cs="宋体"/>
          <w:b w:val="0"/>
          <w:bCs w:val="0"/>
          <w:color w:val="000000"/>
          <w:kern w:val="2"/>
          <w:sz w:val="24"/>
          <w:szCs w:val="24"/>
          <w:lang w:val="en-US" w:eastAsia="zh-CN" w:bidi="ar-SA"/>
        </w:rPr>
        <w:t>项目名称：</w:t>
      </w:r>
    </w:p>
    <w:tbl>
      <w:tblPr>
        <w:tblStyle w:val="14"/>
        <w:tblW w:w="86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494"/>
        <w:gridCol w:w="4170"/>
      </w:tblGrid>
      <w:tr w14:paraId="5BD66B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494" w:type="dxa"/>
            <w:vAlign w:val="center"/>
          </w:tcPr>
          <w:p w14:paraId="7E68E509">
            <w:pPr>
              <w:keepNext w:val="0"/>
              <w:keepLines w:val="0"/>
              <w:suppressLineNumbers w:val="0"/>
              <w:spacing w:before="0" w:beforeAutospacing="0" w:after="0" w:afterAutospacing="0" w:line="360" w:lineRule="auto"/>
              <w:ind w:left="0" w:right="0"/>
              <w:jc w:val="center"/>
              <w:rPr>
                <w:rFonts w:hint="eastAsia" w:ascii="宋体" w:hAnsi="宋体" w:eastAsia="宋体" w:cs="宋体"/>
                <w:b w:val="0"/>
                <w:bCs w:val="0"/>
                <w:color w:val="000000"/>
                <w:kern w:val="2"/>
                <w:sz w:val="24"/>
                <w:szCs w:val="24"/>
                <w:vertAlign w:val="baseline"/>
                <w:lang w:val="en-US" w:eastAsia="zh-CN" w:bidi="ar-SA"/>
              </w:rPr>
            </w:pPr>
            <w:r>
              <w:rPr>
                <w:rFonts w:hint="eastAsia" w:ascii="宋体" w:hAnsi="宋体" w:eastAsia="宋体" w:cs="宋体"/>
                <w:b w:val="0"/>
                <w:bCs w:val="0"/>
                <w:color w:val="000000"/>
                <w:kern w:val="2"/>
                <w:sz w:val="24"/>
                <w:szCs w:val="24"/>
                <w:vertAlign w:val="baseline"/>
                <w:lang w:val="en-US" w:eastAsia="zh-CN" w:bidi="ar-SA"/>
              </w:rPr>
              <w:t>投标总报价（元）</w:t>
            </w:r>
          </w:p>
        </w:tc>
        <w:tc>
          <w:tcPr>
            <w:tcW w:w="4170" w:type="dxa"/>
            <w:vAlign w:val="center"/>
          </w:tcPr>
          <w:p w14:paraId="41800048">
            <w:pPr>
              <w:keepNext w:val="0"/>
              <w:keepLines w:val="0"/>
              <w:suppressLineNumbers w:val="0"/>
              <w:spacing w:before="0" w:beforeAutospacing="0" w:after="0" w:afterAutospacing="0" w:line="360" w:lineRule="auto"/>
              <w:ind w:left="0" w:right="0"/>
              <w:jc w:val="center"/>
              <w:rPr>
                <w:rFonts w:hint="eastAsia" w:ascii="宋体" w:hAnsi="宋体" w:eastAsia="宋体" w:cs="宋体"/>
                <w:b w:val="0"/>
                <w:bCs w:val="0"/>
                <w:color w:val="000000"/>
                <w:kern w:val="2"/>
                <w:sz w:val="24"/>
                <w:szCs w:val="24"/>
                <w:vertAlign w:val="baseline"/>
                <w:lang w:val="en-US" w:eastAsia="zh-CN" w:bidi="ar-SA"/>
              </w:rPr>
            </w:pPr>
            <w:r>
              <w:rPr>
                <w:rFonts w:hint="eastAsia" w:ascii="宋体" w:hAnsi="宋体" w:eastAsia="宋体" w:cs="宋体"/>
                <w:b w:val="0"/>
                <w:bCs w:val="0"/>
                <w:color w:val="000000"/>
                <w:kern w:val="2"/>
                <w:sz w:val="24"/>
                <w:szCs w:val="24"/>
                <w:vertAlign w:val="baseline"/>
                <w:lang w:val="en-US" w:eastAsia="zh-CN" w:bidi="ar-SA"/>
              </w:rPr>
              <w:t>服务期（年）</w:t>
            </w:r>
          </w:p>
        </w:tc>
      </w:tr>
      <w:tr w14:paraId="7EAF9F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4" w:hRule="atLeast"/>
        </w:trPr>
        <w:tc>
          <w:tcPr>
            <w:tcW w:w="4494" w:type="dxa"/>
            <w:vAlign w:val="center"/>
          </w:tcPr>
          <w:p w14:paraId="443D8041">
            <w:pPr>
              <w:keepNext w:val="0"/>
              <w:keepLines w:val="0"/>
              <w:suppressLineNumbers w:val="0"/>
              <w:spacing w:before="0" w:beforeAutospacing="0" w:after="0" w:afterAutospacing="0" w:line="360" w:lineRule="auto"/>
              <w:ind w:left="0" w:right="0"/>
              <w:jc w:val="both"/>
              <w:rPr>
                <w:rFonts w:hint="eastAsia" w:ascii="宋体" w:hAnsi="宋体" w:eastAsia="宋体" w:cs="宋体"/>
                <w:b w:val="0"/>
                <w:bCs w:val="0"/>
                <w:color w:val="000000"/>
                <w:kern w:val="2"/>
                <w:sz w:val="24"/>
                <w:szCs w:val="24"/>
                <w:vertAlign w:val="baseline"/>
                <w:lang w:val="en-US" w:eastAsia="zh-CN" w:bidi="ar-SA"/>
              </w:rPr>
            </w:pPr>
            <w:r>
              <w:rPr>
                <w:rFonts w:hint="eastAsia" w:ascii="宋体" w:hAnsi="宋体" w:eastAsia="宋体" w:cs="宋体"/>
                <w:b w:val="0"/>
                <w:bCs w:val="0"/>
                <w:color w:val="000000"/>
                <w:kern w:val="2"/>
                <w:sz w:val="24"/>
                <w:szCs w:val="24"/>
                <w:vertAlign w:val="baseline"/>
                <w:lang w:val="en-US" w:eastAsia="zh-CN" w:bidi="ar-SA"/>
              </w:rPr>
              <w:t>大写：</w:t>
            </w:r>
          </w:p>
        </w:tc>
        <w:tc>
          <w:tcPr>
            <w:tcW w:w="4170" w:type="dxa"/>
            <w:vMerge w:val="restart"/>
            <w:vAlign w:val="center"/>
          </w:tcPr>
          <w:p w14:paraId="4B646CB6">
            <w:pPr>
              <w:keepNext w:val="0"/>
              <w:keepLines w:val="0"/>
              <w:suppressLineNumbers w:val="0"/>
              <w:spacing w:before="0" w:beforeAutospacing="0" w:after="0" w:afterAutospacing="0" w:line="360" w:lineRule="auto"/>
              <w:ind w:left="0" w:right="0"/>
              <w:jc w:val="center"/>
              <w:rPr>
                <w:rFonts w:hint="eastAsia" w:ascii="宋体" w:hAnsi="宋体" w:eastAsia="宋体" w:cs="宋体"/>
                <w:b w:val="0"/>
                <w:bCs w:val="0"/>
                <w:color w:val="000000"/>
                <w:kern w:val="2"/>
                <w:sz w:val="24"/>
                <w:szCs w:val="24"/>
                <w:vertAlign w:val="baseline"/>
                <w:lang w:val="en-US" w:eastAsia="zh-CN" w:bidi="ar-SA"/>
              </w:rPr>
            </w:pPr>
          </w:p>
        </w:tc>
      </w:tr>
      <w:tr w14:paraId="540815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9" w:hRule="atLeast"/>
        </w:trPr>
        <w:tc>
          <w:tcPr>
            <w:tcW w:w="4494" w:type="dxa"/>
            <w:vAlign w:val="center"/>
          </w:tcPr>
          <w:p w14:paraId="10DFB030">
            <w:pPr>
              <w:keepNext w:val="0"/>
              <w:keepLines w:val="0"/>
              <w:suppressLineNumbers w:val="0"/>
              <w:spacing w:before="0" w:beforeAutospacing="0" w:after="0" w:afterAutospacing="0" w:line="360" w:lineRule="auto"/>
              <w:ind w:left="0" w:right="0"/>
              <w:jc w:val="both"/>
              <w:rPr>
                <w:rFonts w:hint="eastAsia" w:ascii="宋体" w:hAnsi="宋体" w:eastAsia="宋体" w:cs="宋体"/>
                <w:b w:val="0"/>
                <w:bCs w:val="0"/>
                <w:color w:val="000000"/>
                <w:kern w:val="2"/>
                <w:sz w:val="24"/>
                <w:szCs w:val="24"/>
                <w:vertAlign w:val="baseline"/>
                <w:lang w:val="en-US" w:eastAsia="zh-CN" w:bidi="ar-SA"/>
              </w:rPr>
            </w:pPr>
            <w:r>
              <w:rPr>
                <w:rFonts w:hint="eastAsia" w:ascii="宋体" w:hAnsi="宋体" w:eastAsia="宋体" w:cs="宋体"/>
                <w:b w:val="0"/>
                <w:bCs w:val="0"/>
                <w:color w:val="000000"/>
                <w:kern w:val="2"/>
                <w:sz w:val="24"/>
                <w:szCs w:val="24"/>
                <w:vertAlign w:val="baseline"/>
                <w:lang w:val="en-US" w:eastAsia="zh-CN" w:bidi="ar-SA"/>
              </w:rPr>
              <w:t>小写：</w:t>
            </w:r>
          </w:p>
        </w:tc>
        <w:tc>
          <w:tcPr>
            <w:tcW w:w="4170" w:type="dxa"/>
            <w:vMerge w:val="continue"/>
            <w:vAlign w:val="center"/>
          </w:tcPr>
          <w:p w14:paraId="490B2A85">
            <w:pPr>
              <w:keepNext w:val="0"/>
              <w:keepLines w:val="0"/>
              <w:suppressLineNumbers w:val="0"/>
              <w:spacing w:before="0" w:beforeAutospacing="0" w:after="0" w:afterAutospacing="0" w:line="360" w:lineRule="auto"/>
              <w:ind w:left="0" w:right="0"/>
              <w:jc w:val="center"/>
              <w:rPr>
                <w:rFonts w:hint="eastAsia" w:ascii="宋体" w:hAnsi="宋体" w:eastAsia="宋体" w:cs="宋体"/>
                <w:b w:val="0"/>
                <w:bCs w:val="0"/>
                <w:color w:val="000000"/>
                <w:kern w:val="2"/>
                <w:sz w:val="24"/>
                <w:szCs w:val="24"/>
                <w:vertAlign w:val="baseline"/>
                <w:lang w:val="en-US" w:eastAsia="zh-CN" w:bidi="ar-SA"/>
              </w:rPr>
            </w:pPr>
          </w:p>
        </w:tc>
      </w:tr>
    </w:tbl>
    <w:p w14:paraId="6A0A90BB">
      <w:pPr>
        <w:spacing w:line="360" w:lineRule="auto"/>
        <w:rPr>
          <w:rFonts w:hint="eastAsia" w:asciiTheme="majorHAnsi" w:hAnsiTheme="majorHAnsi" w:eastAsiaTheme="majorEastAsia" w:cstheme="majorBidi"/>
          <w:b/>
          <w:bCs/>
          <w:color w:val="000000"/>
          <w:kern w:val="2"/>
          <w:sz w:val="24"/>
          <w:szCs w:val="24"/>
          <w:lang w:val="en-US" w:eastAsia="zh-CN" w:bidi="ar-SA"/>
        </w:rPr>
      </w:pPr>
    </w:p>
    <w:p w14:paraId="4ED654B8">
      <w:pPr>
        <w:spacing w:line="360" w:lineRule="auto"/>
        <w:rPr>
          <w:rFonts w:hint="eastAsia" w:ascii="宋体" w:hAnsi="宋体" w:eastAsia="宋体" w:cs="宋体"/>
          <w:b w:val="0"/>
          <w:bCs w:val="0"/>
          <w:color w:val="000000"/>
          <w:kern w:val="2"/>
          <w:sz w:val="24"/>
          <w:szCs w:val="24"/>
          <w:lang w:val="en-US" w:eastAsia="zh-CN" w:bidi="ar-SA"/>
        </w:rPr>
      </w:pPr>
      <w:r>
        <w:rPr>
          <w:rFonts w:hint="eastAsia" w:ascii="宋体" w:hAnsi="宋体" w:eastAsia="宋体" w:cs="宋体"/>
          <w:b w:val="0"/>
          <w:bCs w:val="0"/>
          <w:color w:val="000000"/>
          <w:kern w:val="2"/>
          <w:sz w:val="24"/>
          <w:szCs w:val="24"/>
          <w:lang w:val="en-US" w:eastAsia="zh-CN" w:bidi="ar-SA"/>
        </w:rPr>
        <w:t>说明：1.所有价格均系用人民币表示，单位为元。</w:t>
      </w:r>
    </w:p>
    <w:p w14:paraId="5398FA2D">
      <w:pPr>
        <w:spacing w:line="360" w:lineRule="auto"/>
        <w:rPr>
          <w:rFonts w:hint="eastAsia" w:ascii="宋体" w:hAnsi="宋体" w:eastAsia="宋体" w:cs="宋体"/>
          <w:b w:val="0"/>
          <w:bCs w:val="0"/>
          <w:color w:val="000000"/>
          <w:kern w:val="2"/>
          <w:sz w:val="24"/>
          <w:szCs w:val="24"/>
          <w:lang w:val="en-US" w:eastAsia="zh-CN" w:bidi="ar-SA"/>
        </w:rPr>
      </w:pPr>
      <w:r>
        <w:rPr>
          <w:rFonts w:hint="eastAsia" w:ascii="宋体" w:hAnsi="宋体" w:eastAsia="宋体" w:cs="宋体"/>
          <w:b w:val="0"/>
          <w:bCs w:val="0"/>
          <w:color w:val="000000"/>
          <w:kern w:val="2"/>
          <w:sz w:val="24"/>
          <w:szCs w:val="24"/>
          <w:lang w:val="en-US" w:eastAsia="zh-CN" w:bidi="ar-SA"/>
        </w:rPr>
        <w:t xml:space="preserve">      2.价格应按照“响应文件投标人报价”的要求报价。</w:t>
      </w:r>
    </w:p>
    <w:p w14:paraId="50E2F633">
      <w:pPr>
        <w:spacing w:line="360" w:lineRule="auto"/>
        <w:rPr>
          <w:rFonts w:hint="eastAsia" w:ascii="宋体" w:hAnsi="宋体" w:eastAsia="宋体" w:cs="宋体"/>
          <w:b w:val="0"/>
          <w:bCs w:val="0"/>
          <w:color w:val="000000"/>
          <w:kern w:val="2"/>
          <w:sz w:val="24"/>
          <w:szCs w:val="24"/>
          <w:lang w:val="en-US" w:eastAsia="zh-CN" w:bidi="ar-SA"/>
        </w:rPr>
      </w:pPr>
      <w:r>
        <w:rPr>
          <w:rFonts w:hint="eastAsia" w:ascii="宋体" w:hAnsi="宋体" w:eastAsia="宋体" w:cs="宋体"/>
          <w:b w:val="0"/>
          <w:bCs w:val="0"/>
          <w:color w:val="000000"/>
          <w:kern w:val="2"/>
          <w:sz w:val="24"/>
          <w:szCs w:val="24"/>
          <w:lang w:val="en-US" w:eastAsia="zh-CN" w:bidi="ar-SA"/>
        </w:rPr>
        <w:t xml:space="preserve">      3.格式、内容和签署、盖章必须完整。</w:t>
      </w:r>
    </w:p>
    <w:p w14:paraId="43167256">
      <w:pPr>
        <w:spacing w:line="360" w:lineRule="auto"/>
        <w:ind w:left="1400" w:hanging="1200" w:hangingChars="500"/>
        <w:rPr>
          <w:rFonts w:hint="default" w:ascii="宋体" w:hAnsi="宋体" w:eastAsia="宋体" w:cs="宋体"/>
          <w:b w:val="0"/>
          <w:bCs w:val="0"/>
          <w:color w:val="000000"/>
          <w:kern w:val="2"/>
          <w:sz w:val="24"/>
          <w:szCs w:val="24"/>
          <w:lang w:val="en-US" w:eastAsia="zh-CN" w:bidi="ar-SA"/>
        </w:rPr>
      </w:pPr>
      <w:r>
        <w:rPr>
          <w:rFonts w:hint="eastAsia" w:ascii="宋体" w:hAnsi="宋体" w:eastAsia="宋体" w:cs="宋体"/>
          <w:b w:val="0"/>
          <w:bCs w:val="0"/>
          <w:color w:val="000000"/>
          <w:kern w:val="2"/>
          <w:sz w:val="24"/>
          <w:szCs w:val="24"/>
          <w:lang w:val="en-US" w:eastAsia="zh-CN" w:bidi="ar-SA"/>
        </w:rPr>
        <w:t xml:space="preserve">      4.《开标一览表》中所填写内容与投标文件中内容不一致的，以开标一览表为准。</w:t>
      </w:r>
    </w:p>
    <w:p w14:paraId="5EB4684E">
      <w:pPr>
        <w:spacing w:line="360" w:lineRule="auto"/>
        <w:rPr>
          <w:rFonts w:hint="eastAsia" w:asciiTheme="majorHAnsi" w:hAnsiTheme="majorHAnsi" w:eastAsiaTheme="majorEastAsia" w:cstheme="majorBidi"/>
          <w:b/>
          <w:bCs/>
          <w:color w:val="000000"/>
          <w:kern w:val="2"/>
          <w:sz w:val="24"/>
          <w:szCs w:val="24"/>
          <w:lang w:val="en-US" w:eastAsia="zh-CN" w:bidi="ar-SA"/>
        </w:rPr>
      </w:pPr>
    </w:p>
    <w:p w14:paraId="1A98B01C">
      <w:pPr>
        <w:spacing w:line="360" w:lineRule="auto"/>
        <w:rPr>
          <w:rFonts w:hint="eastAsia" w:asciiTheme="majorHAnsi" w:hAnsiTheme="majorHAnsi" w:eastAsiaTheme="majorEastAsia" w:cstheme="majorBidi"/>
          <w:b/>
          <w:bCs/>
          <w:color w:val="000000"/>
          <w:kern w:val="2"/>
          <w:sz w:val="24"/>
          <w:szCs w:val="24"/>
          <w:lang w:val="en-US" w:eastAsia="zh-CN" w:bidi="ar-SA"/>
        </w:rPr>
      </w:pPr>
    </w:p>
    <w:p w14:paraId="3BA3A5D1">
      <w:pPr>
        <w:spacing w:line="360" w:lineRule="auto"/>
        <w:rPr>
          <w:rFonts w:hint="eastAsia" w:asciiTheme="majorHAnsi" w:hAnsiTheme="majorHAnsi" w:eastAsiaTheme="majorEastAsia" w:cstheme="majorBidi"/>
          <w:b/>
          <w:bCs/>
          <w:color w:val="000000"/>
          <w:kern w:val="2"/>
          <w:sz w:val="24"/>
          <w:szCs w:val="24"/>
          <w:lang w:val="en-US" w:eastAsia="zh-CN" w:bidi="ar-SA"/>
        </w:rPr>
      </w:pPr>
    </w:p>
    <w:p w14:paraId="0601C950">
      <w:pPr>
        <w:spacing w:line="360" w:lineRule="auto"/>
        <w:ind w:firstLine="3360" w:firstLineChars="1400"/>
        <w:rPr>
          <w:rFonts w:hint="eastAsia" w:ascii="宋体" w:hAnsi="宋体" w:eastAsia="宋体" w:cs="宋体"/>
          <w:b w:val="0"/>
          <w:bCs w:val="0"/>
          <w:color w:val="000000"/>
          <w:kern w:val="2"/>
          <w:sz w:val="24"/>
          <w:szCs w:val="24"/>
          <w:lang w:val="en-US" w:eastAsia="zh-CN" w:bidi="ar-SA"/>
        </w:rPr>
      </w:pPr>
    </w:p>
    <w:p w14:paraId="0D412314">
      <w:pPr>
        <w:spacing w:line="360" w:lineRule="auto"/>
        <w:ind w:firstLine="3360" w:firstLineChars="1400"/>
        <w:rPr>
          <w:rFonts w:hint="eastAsia" w:ascii="宋体" w:hAnsi="宋体" w:eastAsia="宋体" w:cs="宋体"/>
          <w:b w:val="0"/>
          <w:bCs w:val="0"/>
          <w:color w:val="000000"/>
          <w:kern w:val="2"/>
          <w:sz w:val="24"/>
          <w:szCs w:val="24"/>
          <w:lang w:val="en-US" w:eastAsia="zh-CN" w:bidi="ar-SA"/>
        </w:rPr>
      </w:pPr>
    </w:p>
    <w:p w14:paraId="1E05CDDA">
      <w:pPr>
        <w:spacing w:line="360" w:lineRule="auto"/>
        <w:ind w:firstLine="3360" w:firstLineChars="1400"/>
        <w:rPr>
          <w:rFonts w:hint="eastAsia" w:ascii="宋体" w:hAnsi="宋体" w:eastAsia="宋体" w:cs="宋体"/>
          <w:b w:val="0"/>
          <w:bCs w:val="0"/>
          <w:color w:val="000000"/>
          <w:kern w:val="2"/>
          <w:sz w:val="24"/>
          <w:szCs w:val="24"/>
          <w:lang w:val="en-US" w:eastAsia="zh-CN" w:bidi="ar-SA"/>
        </w:rPr>
      </w:pPr>
      <w:r>
        <w:rPr>
          <w:rFonts w:hint="eastAsia" w:ascii="宋体" w:hAnsi="宋体" w:eastAsia="宋体" w:cs="宋体"/>
          <w:b w:val="0"/>
          <w:bCs w:val="0"/>
          <w:color w:val="000000"/>
          <w:kern w:val="2"/>
          <w:sz w:val="24"/>
          <w:szCs w:val="24"/>
          <w:lang w:val="en-US" w:eastAsia="zh-CN" w:bidi="ar-SA"/>
        </w:rPr>
        <w:t>法定代表人或法人授权代表（签字、</w:t>
      </w:r>
      <w:r>
        <w:rPr>
          <w:rFonts w:hint="eastAsia" w:ascii="宋体" w:hAnsi="宋体" w:eastAsia="宋体" w:cs="宋体"/>
          <w:b w:val="0"/>
          <w:bCs w:val="0"/>
          <w:color w:val="auto"/>
          <w:kern w:val="2"/>
          <w:sz w:val="24"/>
          <w:szCs w:val="24"/>
          <w:lang w:val="en-US" w:eastAsia="zh-CN" w:bidi="ar-SA"/>
        </w:rPr>
        <w:t>盖公章</w:t>
      </w:r>
      <w:r>
        <w:rPr>
          <w:rFonts w:hint="eastAsia" w:ascii="宋体" w:hAnsi="宋体" w:eastAsia="宋体" w:cs="宋体"/>
          <w:b w:val="0"/>
          <w:bCs w:val="0"/>
          <w:color w:val="000000"/>
          <w:kern w:val="2"/>
          <w:sz w:val="24"/>
          <w:szCs w:val="24"/>
          <w:lang w:val="en-US" w:eastAsia="zh-CN" w:bidi="ar-SA"/>
        </w:rPr>
        <w:t>）：</w:t>
      </w:r>
    </w:p>
    <w:p w14:paraId="0835CC82">
      <w:pPr>
        <w:spacing w:line="360" w:lineRule="auto"/>
        <w:ind w:firstLine="1440" w:firstLineChars="600"/>
        <w:rPr>
          <w:rFonts w:hint="eastAsia" w:ascii="宋体" w:hAnsi="宋体" w:eastAsia="宋体" w:cs="宋体"/>
          <w:b w:val="0"/>
          <w:bCs w:val="0"/>
          <w:color w:val="000000"/>
          <w:kern w:val="2"/>
          <w:sz w:val="24"/>
          <w:szCs w:val="24"/>
          <w:lang w:val="en-US" w:eastAsia="zh-CN" w:bidi="ar-SA"/>
        </w:rPr>
      </w:pPr>
    </w:p>
    <w:p w14:paraId="04F307EB">
      <w:pPr>
        <w:spacing w:line="360" w:lineRule="auto"/>
        <w:ind w:firstLine="4800" w:firstLineChars="2000"/>
        <w:rPr>
          <w:rFonts w:hint="eastAsia" w:asciiTheme="majorHAnsi" w:hAnsiTheme="majorHAnsi" w:eastAsiaTheme="majorEastAsia" w:cstheme="majorBidi"/>
          <w:b/>
          <w:bCs/>
          <w:color w:val="000000"/>
          <w:kern w:val="2"/>
          <w:sz w:val="32"/>
          <w:szCs w:val="32"/>
          <w:lang w:val="en-US" w:eastAsia="zh-CN" w:bidi="ar-SA"/>
        </w:rPr>
      </w:pPr>
      <w:r>
        <w:rPr>
          <w:rFonts w:hint="eastAsia" w:ascii="宋体" w:hAnsi="宋体" w:eastAsia="宋体" w:cs="宋体"/>
          <w:b w:val="0"/>
          <w:bCs w:val="0"/>
          <w:color w:val="000000"/>
          <w:kern w:val="2"/>
          <w:sz w:val="24"/>
          <w:szCs w:val="24"/>
          <w:lang w:val="en-US" w:eastAsia="zh-CN" w:bidi="ar-SA"/>
        </w:rPr>
        <w:t>年     月     日</w:t>
      </w:r>
    </w:p>
    <w:p w14:paraId="10FC98B5">
      <w:pPr>
        <w:rPr>
          <w:rFonts w:hint="eastAsia" w:ascii="宋体" w:hAnsi="宋体" w:eastAsia="宋体"/>
          <w:b/>
          <w:bCs/>
          <w:sz w:val="30"/>
          <w:szCs w:val="30"/>
          <w:lang w:val="en-US" w:eastAsia="zh-CN"/>
        </w:rPr>
      </w:pPr>
    </w:p>
    <w:p w14:paraId="09D3B6B2">
      <w:pPr>
        <w:rPr>
          <w:rFonts w:hint="eastAsia" w:ascii="宋体" w:hAnsi="宋体" w:eastAsia="宋体"/>
          <w:b/>
          <w:bCs/>
          <w:sz w:val="30"/>
          <w:szCs w:val="30"/>
          <w:lang w:val="en-US" w:eastAsia="zh-CN"/>
        </w:rPr>
      </w:pPr>
    </w:p>
    <w:p w14:paraId="39A19FB8">
      <w:pPr>
        <w:rPr>
          <w:rFonts w:hint="eastAsia" w:ascii="宋体" w:hAnsi="宋体" w:eastAsia="宋体"/>
          <w:b/>
          <w:bCs/>
          <w:sz w:val="30"/>
          <w:szCs w:val="30"/>
          <w:lang w:val="en-US" w:eastAsia="zh-CN"/>
        </w:rPr>
      </w:pPr>
    </w:p>
    <w:p w14:paraId="1F919152">
      <w:pPr>
        <w:rPr>
          <w:rFonts w:hint="default" w:ascii="宋体" w:hAnsi="宋体" w:eastAsia="宋体"/>
          <w:b/>
          <w:bCs/>
          <w:sz w:val="30"/>
          <w:szCs w:val="30"/>
          <w:lang w:val="en-US" w:eastAsia="zh-CN"/>
        </w:rPr>
      </w:pPr>
      <w:r>
        <w:rPr>
          <w:rFonts w:hint="eastAsia" w:ascii="宋体" w:hAnsi="宋体" w:eastAsia="宋体"/>
          <w:b/>
          <w:bCs/>
          <w:sz w:val="30"/>
          <w:szCs w:val="30"/>
          <w:lang w:val="en-US" w:eastAsia="zh-CN"/>
        </w:rPr>
        <w:t>分项报价表（如有）</w:t>
      </w:r>
    </w:p>
    <w:p w14:paraId="1DA8FD47">
      <w:pPr>
        <w:pStyle w:val="10"/>
        <w:jc w:val="both"/>
        <w:rPr>
          <w:rFonts w:ascii="宋体" w:hAnsi="宋体" w:eastAsia="宋体"/>
          <w:sz w:val="24"/>
          <w:szCs w:val="24"/>
          <w:lang w:val="zh-CN"/>
        </w:rPr>
      </w:pPr>
    </w:p>
    <w:p w14:paraId="28178379">
      <w:pPr>
        <w:rPr>
          <w:rFonts w:ascii="宋体" w:hAnsi="宋体" w:eastAsia="宋体"/>
          <w:sz w:val="24"/>
          <w:szCs w:val="24"/>
          <w:lang w:val="zh-CN"/>
        </w:rPr>
      </w:pPr>
    </w:p>
    <w:p w14:paraId="0B7F14BC">
      <w:pPr>
        <w:pStyle w:val="10"/>
        <w:rPr>
          <w:rFonts w:ascii="宋体" w:hAnsi="宋体" w:eastAsia="宋体"/>
          <w:sz w:val="24"/>
          <w:szCs w:val="24"/>
          <w:lang w:val="zh-CN"/>
        </w:rPr>
      </w:pPr>
    </w:p>
    <w:p w14:paraId="6B0C164B">
      <w:pPr>
        <w:rPr>
          <w:rFonts w:ascii="宋体" w:hAnsi="宋体" w:eastAsia="宋体"/>
          <w:sz w:val="24"/>
          <w:szCs w:val="24"/>
          <w:lang w:val="zh-CN"/>
        </w:rPr>
      </w:pPr>
    </w:p>
    <w:p w14:paraId="66D3E57E">
      <w:pPr>
        <w:pStyle w:val="10"/>
        <w:rPr>
          <w:rFonts w:ascii="宋体" w:hAnsi="宋体" w:eastAsia="宋体"/>
          <w:sz w:val="24"/>
          <w:szCs w:val="24"/>
          <w:lang w:val="zh-CN"/>
        </w:rPr>
      </w:pPr>
    </w:p>
    <w:p w14:paraId="4C020AD3">
      <w:pPr>
        <w:rPr>
          <w:rFonts w:ascii="宋体" w:hAnsi="宋体" w:eastAsia="宋体"/>
          <w:sz w:val="24"/>
          <w:szCs w:val="24"/>
          <w:lang w:val="zh-CN"/>
        </w:rPr>
      </w:pPr>
    </w:p>
    <w:p w14:paraId="024611FB">
      <w:pPr>
        <w:pStyle w:val="10"/>
        <w:rPr>
          <w:rFonts w:ascii="宋体" w:hAnsi="宋体" w:eastAsia="宋体"/>
          <w:sz w:val="24"/>
          <w:szCs w:val="24"/>
          <w:lang w:val="zh-CN"/>
        </w:rPr>
      </w:pPr>
    </w:p>
    <w:p w14:paraId="0AEB14A3">
      <w:pPr>
        <w:rPr>
          <w:rFonts w:ascii="宋体" w:hAnsi="宋体" w:eastAsia="宋体"/>
          <w:sz w:val="24"/>
          <w:szCs w:val="24"/>
          <w:lang w:val="zh-CN"/>
        </w:rPr>
      </w:pPr>
    </w:p>
    <w:p w14:paraId="46FD5BB4">
      <w:pPr>
        <w:pStyle w:val="10"/>
        <w:rPr>
          <w:rFonts w:ascii="宋体" w:hAnsi="宋体" w:eastAsia="宋体"/>
          <w:sz w:val="24"/>
          <w:szCs w:val="24"/>
          <w:lang w:val="zh-CN"/>
        </w:rPr>
      </w:pPr>
    </w:p>
    <w:p w14:paraId="1AA66909">
      <w:pPr>
        <w:rPr>
          <w:rFonts w:ascii="宋体" w:hAnsi="宋体" w:eastAsia="宋体"/>
          <w:sz w:val="24"/>
          <w:szCs w:val="24"/>
          <w:lang w:val="zh-CN"/>
        </w:rPr>
      </w:pPr>
    </w:p>
    <w:p w14:paraId="587D4972">
      <w:pPr>
        <w:pStyle w:val="10"/>
        <w:rPr>
          <w:rFonts w:ascii="宋体" w:hAnsi="宋体" w:eastAsia="宋体"/>
          <w:sz w:val="24"/>
          <w:szCs w:val="24"/>
          <w:lang w:val="zh-CN"/>
        </w:rPr>
      </w:pPr>
    </w:p>
    <w:p w14:paraId="65E6DEBC">
      <w:pPr>
        <w:rPr>
          <w:rFonts w:ascii="宋体" w:hAnsi="宋体" w:eastAsia="宋体"/>
          <w:sz w:val="24"/>
          <w:szCs w:val="24"/>
          <w:lang w:val="zh-CN"/>
        </w:rPr>
      </w:pPr>
    </w:p>
    <w:p w14:paraId="69D0B8B7">
      <w:pPr>
        <w:pStyle w:val="10"/>
        <w:rPr>
          <w:rFonts w:ascii="宋体" w:hAnsi="宋体" w:eastAsia="宋体"/>
          <w:sz w:val="24"/>
          <w:szCs w:val="24"/>
          <w:lang w:val="zh-CN"/>
        </w:rPr>
      </w:pPr>
    </w:p>
    <w:p w14:paraId="39DB80CA">
      <w:pPr>
        <w:rPr>
          <w:rFonts w:ascii="宋体" w:hAnsi="宋体" w:eastAsia="宋体"/>
          <w:sz w:val="24"/>
          <w:szCs w:val="24"/>
          <w:lang w:val="zh-CN"/>
        </w:rPr>
      </w:pPr>
    </w:p>
    <w:p w14:paraId="5B34D635">
      <w:pPr>
        <w:pStyle w:val="10"/>
        <w:rPr>
          <w:rFonts w:ascii="宋体" w:hAnsi="宋体" w:eastAsia="宋体"/>
          <w:sz w:val="24"/>
          <w:szCs w:val="24"/>
          <w:lang w:val="zh-CN"/>
        </w:rPr>
      </w:pPr>
    </w:p>
    <w:p w14:paraId="2284E9C2">
      <w:pPr>
        <w:rPr>
          <w:rFonts w:ascii="宋体" w:hAnsi="宋体" w:eastAsia="宋体"/>
          <w:sz w:val="24"/>
          <w:szCs w:val="24"/>
          <w:lang w:val="zh-CN"/>
        </w:rPr>
      </w:pPr>
    </w:p>
    <w:p w14:paraId="3387BD30">
      <w:pPr>
        <w:pStyle w:val="10"/>
        <w:rPr>
          <w:rFonts w:ascii="宋体" w:hAnsi="宋体" w:eastAsia="宋体"/>
          <w:sz w:val="24"/>
          <w:szCs w:val="24"/>
          <w:lang w:val="zh-CN"/>
        </w:rPr>
      </w:pPr>
    </w:p>
    <w:p w14:paraId="4CDDE351">
      <w:pPr>
        <w:rPr>
          <w:rFonts w:ascii="宋体" w:hAnsi="宋体" w:eastAsia="宋体"/>
          <w:sz w:val="24"/>
          <w:szCs w:val="24"/>
          <w:lang w:val="zh-CN"/>
        </w:rPr>
      </w:pPr>
    </w:p>
    <w:p w14:paraId="04DD7DAC">
      <w:pPr>
        <w:pStyle w:val="10"/>
        <w:rPr>
          <w:rFonts w:ascii="宋体" w:hAnsi="宋体" w:eastAsia="宋体"/>
          <w:sz w:val="24"/>
          <w:szCs w:val="24"/>
          <w:lang w:val="zh-CN"/>
        </w:rPr>
      </w:pPr>
    </w:p>
    <w:p w14:paraId="495F5B24">
      <w:pPr>
        <w:rPr>
          <w:rFonts w:ascii="宋体" w:hAnsi="宋体" w:eastAsia="宋体"/>
          <w:sz w:val="24"/>
          <w:szCs w:val="24"/>
          <w:lang w:val="zh-CN"/>
        </w:rPr>
      </w:pPr>
    </w:p>
    <w:p w14:paraId="771F9AA4">
      <w:pPr>
        <w:pStyle w:val="10"/>
        <w:rPr>
          <w:rFonts w:ascii="宋体" w:hAnsi="宋体" w:eastAsia="宋体"/>
          <w:sz w:val="24"/>
          <w:szCs w:val="24"/>
          <w:lang w:val="zh-CN"/>
        </w:rPr>
      </w:pPr>
    </w:p>
    <w:p w14:paraId="7FBB7E1E">
      <w:pPr>
        <w:rPr>
          <w:rFonts w:ascii="宋体" w:hAnsi="宋体" w:eastAsia="宋体"/>
          <w:sz w:val="24"/>
          <w:szCs w:val="24"/>
          <w:lang w:val="zh-CN"/>
        </w:rPr>
      </w:pPr>
    </w:p>
    <w:p w14:paraId="0AAAC9A8">
      <w:pPr>
        <w:pStyle w:val="10"/>
        <w:rPr>
          <w:rFonts w:ascii="宋体" w:hAnsi="宋体" w:eastAsia="宋体"/>
          <w:sz w:val="24"/>
          <w:szCs w:val="24"/>
          <w:lang w:val="zh-CN"/>
        </w:rPr>
      </w:pPr>
    </w:p>
    <w:p w14:paraId="32EEE315">
      <w:pPr>
        <w:rPr>
          <w:rFonts w:ascii="宋体" w:hAnsi="宋体" w:eastAsia="宋体"/>
          <w:sz w:val="24"/>
          <w:szCs w:val="24"/>
          <w:lang w:val="zh-CN"/>
        </w:rPr>
      </w:pPr>
    </w:p>
    <w:p w14:paraId="5EFB386D">
      <w:pPr>
        <w:rPr>
          <w:rFonts w:ascii="宋体" w:hAnsi="宋体" w:eastAsia="宋体"/>
          <w:sz w:val="24"/>
          <w:szCs w:val="24"/>
          <w:lang w:val="zh-CN"/>
        </w:rPr>
      </w:pPr>
    </w:p>
    <w:p w14:paraId="60967AE7">
      <w:pPr>
        <w:rPr>
          <w:lang w:val="zh-CN"/>
        </w:rPr>
      </w:pPr>
    </w:p>
    <w:p w14:paraId="5332AF22">
      <w:pPr>
        <w:spacing w:line="360" w:lineRule="auto"/>
        <w:jc w:val="left"/>
        <w:rPr>
          <w:rFonts w:hint="eastAsia" w:ascii="宋体" w:hAnsi="宋体" w:eastAsia="宋体"/>
          <w:b/>
          <w:color w:val="000000"/>
          <w:sz w:val="24"/>
          <w:szCs w:val="24"/>
          <w:lang w:eastAsia="zh-CN"/>
        </w:rPr>
      </w:pPr>
      <w:r>
        <w:rPr>
          <w:rFonts w:hint="eastAsia" w:ascii="宋体" w:hAnsi="宋体" w:eastAsia="宋体"/>
          <w:b/>
          <w:color w:val="000000"/>
          <w:sz w:val="30"/>
          <w:szCs w:val="30"/>
          <w:lang w:val="en-US" w:eastAsia="zh-CN"/>
        </w:rPr>
        <w:t>三、</w:t>
      </w:r>
      <w:r>
        <w:rPr>
          <w:rFonts w:hint="eastAsia" w:ascii="宋体" w:hAnsi="宋体" w:eastAsia="宋体"/>
          <w:b/>
          <w:color w:val="000000"/>
          <w:sz w:val="30"/>
          <w:szCs w:val="30"/>
          <w:lang w:eastAsia="zh-CN"/>
        </w:rPr>
        <w:t>报名产品</w:t>
      </w:r>
      <w:r>
        <w:rPr>
          <w:rFonts w:hint="eastAsia" w:ascii="宋体" w:hAnsi="宋体" w:eastAsia="宋体"/>
          <w:b/>
          <w:color w:val="000000"/>
          <w:sz w:val="30"/>
          <w:szCs w:val="30"/>
        </w:rPr>
        <w:t>情况介绍表</w:t>
      </w:r>
      <w:r>
        <w:rPr>
          <w:rFonts w:hint="eastAsia" w:ascii="宋体" w:hAnsi="宋体" w:eastAsia="宋体"/>
          <w:b/>
          <w:color w:val="000000"/>
          <w:sz w:val="30"/>
          <w:szCs w:val="30"/>
          <w:lang w:eastAsia="zh-CN"/>
        </w:rPr>
        <w:t>（</w:t>
      </w:r>
      <w:r>
        <w:rPr>
          <w:rFonts w:hint="eastAsia" w:ascii="宋体" w:hAnsi="宋体" w:eastAsia="宋体"/>
          <w:b/>
          <w:color w:val="000000"/>
          <w:sz w:val="30"/>
          <w:szCs w:val="30"/>
          <w:lang w:val="en-US" w:eastAsia="zh-CN"/>
        </w:rPr>
        <w:t>维保服务除外</w:t>
      </w:r>
      <w:r>
        <w:rPr>
          <w:rFonts w:hint="eastAsia" w:ascii="宋体" w:hAnsi="宋体" w:eastAsia="宋体"/>
          <w:b/>
          <w:color w:val="000000"/>
          <w:sz w:val="30"/>
          <w:szCs w:val="30"/>
          <w:lang w:eastAsia="zh-CN"/>
        </w:rPr>
        <w:t>）</w:t>
      </w:r>
    </w:p>
    <w:p w14:paraId="03C1166F">
      <w:pPr>
        <w:rPr>
          <w:rFonts w:ascii="宋体" w:hAnsi="宋体" w:eastAsia="宋体"/>
          <w:sz w:val="24"/>
          <w:szCs w:val="24"/>
          <w:lang w:val="zh-CN"/>
        </w:rPr>
      </w:pPr>
    </w:p>
    <w:p w14:paraId="1E874E04">
      <w:pPr>
        <w:spacing w:line="360" w:lineRule="auto"/>
        <w:jc w:val="center"/>
        <w:rPr>
          <w:rFonts w:hint="eastAsia" w:ascii="宋体" w:hAnsi="宋体" w:eastAsia="宋体"/>
          <w:color w:val="000000"/>
          <w:sz w:val="24"/>
          <w:szCs w:val="24"/>
        </w:rPr>
      </w:pPr>
      <w:r>
        <w:rPr>
          <w:rFonts w:hint="eastAsia" w:ascii="宋体" w:hAnsi="宋体" w:eastAsia="宋体"/>
          <w:color w:val="000000"/>
          <w:sz w:val="24"/>
          <w:szCs w:val="24"/>
          <w:lang w:eastAsia="zh-CN"/>
        </w:rPr>
        <w:t>报名产品</w:t>
      </w:r>
      <w:r>
        <w:rPr>
          <w:rFonts w:hint="eastAsia" w:ascii="宋体" w:hAnsi="宋体" w:eastAsia="宋体"/>
          <w:color w:val="000000"/>
          <w:sz w:val="24"/>
          <w:szCs w:val="24"/>
        </w:rPr>
        <w:t>情况介绍表</w:t>
      </w:r>
    </w:p>
    <w:p w14:paraId="18F48E5C">
      <w:pPr>
        <w:spacing w:line="360" w:lineRule="auto"/>
        <w:jc w:val="center"/>
        <w:rPr>
          <w:rFonts w:hint="eastAsia" w:ascii="宋体" w:hAnsi="宋体" w:eastAsia="宋体"/>
          <w:color w:val="000000"/>
          <w:sz w:val="24"/>
          <w:szCs w:val="24"/>
        </w:rPr>
      </w:pPr>
    </w:p>
    <w:tbl>
      <w:tblPr>
        <w:tblStyle w:val="13"/>
        <w:tblW w:w="8296" w:type="dxa"/>
        <w:jc w:val="center"/>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top w:w="0" w:type="dxa"/>
          <w:left w:w="108" w:type="dxa"/>
          <w:bottom w:w="0" w:type="dxa"/>
          <w:right w:w="108" w:type="dxa"/>
        </w:tblCellMar>
      </w:tblPr>
      <w:tblGrid>
        <w:gridCol w:w="575"/>
        <w:gridCol w:w="1423"/>
        <w:gridCol w:w="851"/>
        <w:gridCol w:w="923"/>
        <w:gridCol w:w="1775"/>
        <w:gridCol w:w="1412"/>
        <w:gridCol w:w="1337"/>
      </w:tblGrid>
      <w:tr w14:paraId="6E0A8CBE">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593" w:hRule="atLeast"/>
          <w:jc w:val="center"/>
        </w:trPr>
        <w:tc>
          <w:tcPr>
            <w:tcW w:w="575" w:type="dxa"/>
            <w:vAlign w:val="center"/>
          </w:tcPr>
          <w:p w14:paraId="416EEA2A">
            <w:pPr>
              <w:keepNext w:val="0"/>
              <w:keepLines w:val="0"/>
              <w:suppressLineNumbers w:val="0"/>
              <w:snapToGrid w:val="0"/>
              <w:spacing w:before="0" w:beforeAutospacing="0" w:after="0" w:afterAutospacing="0" w:line="360" w:lineRule="auto"/>
              <w:ind w:left="0" w:right="0"/>
              <w:jc w:val="center"/>
              <w:rPr>
                <w:rFonts w:hint="default" w:ascii="宋体" w:hAnsi="宋体" w:eastAsia="宋体"/>
                <w:color w:val="000000"/>
                <w:sz w:val="24"/>
                <w:szCs w:val="24"/>
              </w:rPr>
            </w:pPr>
            <w:r>
              <w:rPr>
                <w:rFonts w:hint="eastAsia" w:ascii="宋体" w:hAnsi="宋体" w:eastAsia="宋体"/>
                <w:color w:val="000000"/>
                <w:sz w:val="24"/>
                <w:szCs w:val="24"/>
              </w:rPr>
              <w:t>序号</w:t>
            </w:r>
          </w:p>
        </w:tc>
        <w:tc>
          <w:tcPr>
            <w:tcW w:w="1423" w:type="dxa"/>
            <w:vAlign w:val="center"/>
          </w:tcPr>
          <w:p w14:paraId="2132D198">
            <w:pPr>
              <w:keepNext w:val="0"/>
              <w:keepLines w:val="0"/>
              <w:suppressLineNumbers w:val="0"/>
              <w:snapToGrid w:val="0"/>
              <w:spacing w:before="0" w:beforeAutospacing="0" w:after="0" w:afterAutospacing="0" w:line="360" w:lineRule="auto"/>
              <w:ind w:left="0" w:right="0"/>
              <w:jc w:val="center"/>
              <w:rPr>
                <w:rFonts w:hint="default" w:ascii="宋体" w:hAnsi="宋体" w:eastAsia="宋体"/>
                <w:color w:val="000000"/>
                <w:sz w:val="24"/>
                <w:szCs w:val="24"/>
              </w:rPr>
            </w:pPr>
            <w:r>
              <w:rPr>
                <w:rFonts w:hint="eastAsia" w:ascii="宋体" w:hAnsi="宋体" w:eastAsia="宋体"/>
                <w:color w:val="000000"/>
                <w:sz w:val="24"/>
                <w:szCs w:val="24"/>
                <w:lang w:eastAsia="zh-CN"/>
              </w:rPr>
              <w:t>产品</w:t>
            </w:r>
            <w:r>
              <w:rPr>
                <w:rFonts w:hint="eastAsia" w:ascii="宋体" w:hAnsi="宋体" w:eastAsia="宋体"/>
                <w:color w:val="000000"/>
                <w:sz w:val="24"/>
                <w:szCs w:val="24"/>
              </w:rPr>
              <w:t>名称</w:t>
            </w:r>
          </w:p>
        </w:tc>
        <w:tc>
          <w:tcPr>
            <w:tcW w:w="851" w:type="dxa"/>
            <w:tcBorders>
              <w:right w:val="single" w:color="auto" w:sz="4" w:space="0"/>
            </w:tcBorders>
            <w:vAlign w:val="center"/>
          </w:tcPr>
          <w:p w14:paraId="3C77F7BC">
            <w:pPr>
              <w:keepNext w:val="0"/>
              <w:keepLines w:val="0"/>
              <w:suppressLineNumbers w:val="0"/>
              <w:snapToGrid w:val="0"/>
              <w:spacing w:before="0" w:beforeAutospacing="0" w:after="0" w:afterAutospacing="0" w:line="360" w:lineRule="auto"/>
              <w:ind w:left="0" w:right="0"/>
              <w:jc w:val="center"/>
              <w:rPr>
                <w:rFonts w:hint="default" w:ascii="宋体" w:hAnsi="宋体" w:eastAsia="宋体"/>
                <w:color w:val="000000"/>
                <w:sz w:val="24"/>
                <w:szCs w:val="24"/>
              </w:rPr>
            </w:pPr>
            <w:r>
              <w:rPr>
                <w:rFonts w:hint="eastAsia" w:ascii="宋体" w:hAnsi="宋体" w:eastAsia="宋体"/>
                <w:color w:val="000000"/>
                <w:sz w:val="24"/>
                <w:szCs w:val="24"/>
              </w:rPr>
              <w:t>品牌</w:t>
            </w:r>
          </w:p>
        </w:tc>
        <w:tc>
          <w:tcPr>
            <w:tcW w:w="923" w:type="dxa"/>
            <w:tcBorders>
              <w:left w:val="single" w:color="auto" w:sz="4" w:space="0"/>
            </w:tcBorders>
            <w:vAlign w:val="center"/>
          </w:tcPr>
          <w:p w14:paraId="0602888E">
            <w:pPr>
              <w:keepNext w:val="0"/>
              <w:keepLines w:val="0"/>
              <w:suppressLineNumbers w:val="0"/>
              <w:snapToGrid w:val="0"/>
              <w:spacing w:before="0" w:beforeAutospacing="0" w:after="0" w:afterAutospacing="0" w:line="360" w:lineRule="auto"/>
              <w:ind w:left="0" w:right="0"/>
              <w:jc w:val="center"/>
              <w:rPr>
                <w:rFonts w:hint="default" w:ascii="宋体" w:hAnsi="宋体" w:eastAsia="宋体"/>
                <w:color w:val="000000"/>
                <w:sz w:val="24"/>
                <w:szCs w:val="24"/>
              </w:rPr>
            </w:pPr>
            <w:r>
              <w:rPr>
                <w:rFonts w:hint="eastAsia" w:ascii="宋体" w:hAnsi="宋体" w:eastAsia="宋体"/>
                <w:color w:val="000000"/>
                <w:sz w:val="24"/>
                <w:szCs w:val="24"/>
              </w:rPr>
              <w:t>型号</w:t>
            </w:r>
          </w:p>
        </w:tc>
        <w:tc>
          <w:tcPr>
            <w:tcW w:w="1775" w:type="dxa"/>
            <w:tcBorders>
              <w:right w:val="single" w:color="auto" w:sz="4" w:space="0"/>
            </w:tcBorders>
            <w:vAlign w:val="center"/>
          </w:tcPr>
          <w:p w14:paraId="1D6D0FED">
            <w:pPr>
              <w:keepNext w:val="0"/>
              <w:keepLines w:val="0"/>
              <w:suppressLineNumbers w:val="0"/>
              <w:snapToGrid w:val="0"/>
              <w:spacing w:before="0" w:beforeAutospacing="0" w:after="0" w:afterAutospacing="0" w:line="360" w:lineRule="auto"/>
              <w:ind w:left="0" w:right="0"/>
              <w:jc w:val="center"/>
              <w:rPr>
                <w:rFonts w:hint="default" w:ascii="宋体" w:hAnsi="宋体" w:eastAsia="宋体"/>
                <w:color w:val="000000"/>
                <w:sz w:val="24"/>
                <w:szCs w:val="24"/>
              </w:rPr>
            </w:pPr>
            <w:r>
              <w:rPr>
                <w:rFonts w:hint="eastAsia" w:ascii="宋体" w:hAnsi="宋体" w:eastAsia="宋体"/>
                <w:color w:val="000000"/>
                <w:sz w:val="24"/>
                <w:szCs w:val="24"/>
              </w:rPr>
              <w:t>生产厂家</w:t>
            </w:r>
          </w:p>
        </w:tc>
        <w:tc>
          <w:tcPr>
            <w:tcW w:w="1412" w:type="dxa"/>
            <w:tcBorders>
              <w:left w:val="single" w:color="auto" w:sz="4" w:space="0"/>
              <w:right w:val="single" w:color="auto" w:sz="4" w:space="0"/>
            </w:tcBorders>
            <w:vAlign w:val="center"/>
          </w:tcPr>
          <w:p w14:paraId="55F2D9F8">
            <w:pPr>
              <w:keepNext w:val="0"/>
              <w:keepLines w:val="0"/>
              <w:suppressLineNumbers w:val="0"/>
              <w:snapToGrid w:val="0"/>
              <w:spacing w:before="0" w:beforeAutospacing="0" w:after="0" w:afterAutospacing="0" w:line="360" w:lineRule="auto"/>
              <w:ind w:left="0" w:right="0"/>
              <w:jc w:val="center"/>
              <w:rPr>
                <w:rFonts w:hint="default" w:ascii="宋体" w:hAnsi="宋体" w:eastAsia="宋体"/>
                <w:color w:val="000000"/>
                <w:sz w:val="24"/>
                <w:szCs w:val="24"/>
              </w:rPr>
            </w:pPr>
            <w:r>
              <w:rPr>
                <w:rFonts w:hint="eastAsia" w:ascii="宋体" w:hAnsi="宋体" w:eastAsia="宋体"/>
                <w:color w:val="000000"/>
                <w:sz w:val="24"/>
                <w:szCs w:val="24"/>
              </w:rPr>
              <w:t>产地</w:t>
            </w:r>
          </w:p>
        </w:tc>
        <w:tc>
          <w:tcPr>
            <w:tcW w:w="1337" w:type="dxa"/>
            <w:tcBorders>
              <w:left w:val="single" w:color="auto" w:sz="4" w:space="0"/>
            </w:tcBorders>
            <w:vAlign w:val="center"/>
          </w:tcPr>
          <w:p w14:paraId="64DE3F17">
            <w:pPr>
              <w:keepNext w:val="0"/>
              <w:keepLines w:val="0"/>
              <w:suppressLineNumbers w:val="0"/>
              <w:snapToGrid w:val="0"/>
              <w:spacing w:before="0" w:beforeAutospacing="0" w:after="0" w:afterAutospacing="0" w:line="360" w:lineRule="auto"/>
              <w:ind w:left="0" w:right="0"/>
              <w:jc w:val="center"/>
              <w:rPr>
                <w:rFonts w:hint="default" w:ascii="宋体" w:hAnsi="宋体" w:eastAsia="宋体"/>
                <w:color w:val="000000"/>
                <w:sz w:val="24"/>
                <w:szCs w:val="24"/>
              </w:rPr>
            </w:pPr>
            <w:r>
              <w:rPr>
                <w:rFonts w:hint="eastAsia" w:ascii="宋体" w:hAnsi="宋体" w:eastAsia="宋体"/>
                <w:color w:val="000000"/>
                <w:sz w:val="24"/>
                <w:szCs w:val="24"/>
              </w:rPr>
              <w:t>备注</w:t>
            </w:r>
          </w:p>
        </w:tc>
      </w:tr>
      <w:tr w14:paraId="7DA02B80">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593" w:hRule="atLeast"/>
          <w:jc w:val="center"/>
        </w:trPr>
        <w:tc>
          <w:tcPr>
            <w:tcW w:w="575" w:type="dxa"/>
            <w:vAlign w:val="center"/>
          </w:tcPr>
          <w:p w14:paraId="52CE335A">
            <w:pPr>
              <w:keepNext w:val="0"/>
              <w:keepLines w:val="0"/>
              <w:suppressLineNumbers w:val="0"/>
              <w:snapToGrid w:val="0"/>
              <w:spacing w:before="0" w:beforeAutospacing="0" w:after="0" w:afterAutospacing="0" w:line="360" w:lineRule="auto"/>
              <w:ind w:left="-185" w:leftChars="-88" w:right="0" w:firstLine="0"/>
              <w:jc w:val="center"/>
              <w:rPr>
                <w:rFonts w:hint="default" w:ascii="宋体" w:hAnsi="宋体" w:eastAsia="宋体"/>
                <w:color w:val="000000"/>
                <w:sz w:val="24"/>
                <w:szCs w:val="24"/>
              </w:rPr>
            </w:pPr>
            <w:r>
              <w:rPr>
                <w:rFonts w:hint="eastAsia" w:ascii="宋体" w:hAnsi="宋体" w:eastAsia="宋体"/>
                <w:color w:val="000000"/>
                <w:sz w:val="24"/>
                <w:szCs w:val="24"/>
              </w:rPr>
              <w:t>1</w:t>
            </w:r>
          </w:p>
        </w:tc>
        <w:tc>
          <w:tcPr>
            <w:tcW w:w="1423" w:type="dxa"/>
            <w:vAlign w:val="center"/>
          </w:tcPr>
          <w:p w14:paraId="2027528D">
            <w:pPr>
              <w:keepNext w:val="0"/>
              <w:keepLines w:val="0"/>
              <w:suppressLineNumbers w:val="0"/>
              <w:snapToGrid w:val="0"/>
              <w:spacing w:before="0" w:beforeAutospacing="0" w:after="0" w:afterAutospacing="0" w:line="360" w:lineRule="auto"/>
              <w:ind w:left="-185" w:leftChars="-88" w:right="0" w:firstLine="0"/>
              <w:jc w:val="center"/>
              <w:rPr>
                <w:rFonts w:hint="default" w:ascii="宋体" w:hAnsi="宋体" w:eastAsia="宋体"/>
                <w:color w:val="000000"/>
                <w:sz w:val="24"/>
                <w:szCs w:val="24"/>
              </w:rPr>
            </w:pPr>
          </w:p>
        </w:tc>
        <w:tc>
          <w:tcPr>
            <w:tcW w:w="851" w:type="dxa"/>
            <w:tcBorders>
              <w:right w:val="single" w:color="auto" w:sz="4" w:space="0"/>
            </w:tcBorders>
            <w:vAlign w:val="top"/>
          </w:tcPr>
          <w:p w14:paraId="65A71554">
            <w:pPr>
              <w:keepNext w:val="0"/>
              <w:keepLines w:val="0"/>
              <w:suppressLineNumbers w:val="0"/>
              <w:snapToGrid w:val="0"/>
              <w:spacing w:before="0" w:beforeAutospacing="0" w:after="0" w:afterAutospacing="0" w:line="360" w:lineRule="auto"/>
              <w:ind w:left="0" w:right="0"/>
              <w:jc w:val="center"/>
              <w:rPr>
                <w:rFonts w:hint="default" w:ascii="宋体" w:hAnsi="宋体" w:eastAsia="宋体"/>
                <w:color w:val="000000"/>
                <w:sz w:val="24"/>
                <w:szCs w:val="24"/>
              </w:rPr>
            </w:pPr>
          </w:p>
        </w:tc>
        <w:tc>
          <w:tcPr>
            <w:tcW w:w="923" w:type="dxa"/>
            <w:tcBorders>
              <w:left w:val="single" w:color="auto" w:sz="4" w:space="0"/>
            </w:tcBorders>
            <w:vAlign w:val="top"/>
          </w:tcPr>
          <w:p w14:paraId="79D323F5">
            <w:pPr>
              <w:keepNext w:val="0"/>
              <w:keepLines w:val="0"/>
              <w:suppressLineNumbers w:val="0"/>
              <w:snapToGrid w:val="0"/>
              <w:spacing w:before="0" w:beforeAutospacing="0" w:after="0" w:afterAutospacing="0" w:line="360" w:lineRule="auto"/>
              <w:ind w:left="0" w:right="0"/>
              <w:jc w:val="center"/>
              <w:rPr>
                <w:rFonts w:hint="default" w:ascii="宋体" w:hAnsi="宋体" w:eastAsia="宋体"/>
                <w:color w:val="000000"/>
                <w:sz w:val="24"/>
                <w:szCs w:val="24"/>
              </w:rPr>
            </w:pPr>
          </w:p>
        </w:tc>
        <w:tc>
          <w:tcPr>
            <w:tcW w:w="1775" w:type="dxa"/>
            <w:tcBorders>
              <w:right w:val="single" w:color="auto" w:sz="4" w:space="0"/>
            </w:tcBorders>
            <w:vAlign w:val="center"/>
          </w:tcPr>
          <w:p w14:paraId="11E4A09C">
            <w:pPr>
              <w:keepNext w:val="0"/>
              <w:keepLines w:val="0"/>
              <w:suppressLineNumbers w:val="0"/>
              <w:snapToGrid w:val="0"/>
              <w:spacing w:before="0" w:beforeAutospacing="0" w:after="0" w:afterAutospacing="0" w:line="360" w:lineRule="auto"/>
              <w:ind w:left="0" w:right="0"/>
              <w:jc w:val="center"/>
              <w:rPr>
                <w:rFonts w:hint="default" w:ascii="宋体" w:hAnsi="宋体" w:eastAsia="宋体"/>
                <w:color w:val="000000"/>
                <w:sz w:val="24"/>
                <w:szCs w:val="24"/>
              </w:rPr>
            </w:pPr>
          </w:p>
        </w:tc>
        <w:tc>
          <w:tcPr>
            <w:tcW w:w="1412" w:type="dxa"/>
            <w:tcBorders>
              <w:left w:val="single" w:color="auto" w:sz="4" w:space="0"/>
              <w:right w:val="single" w:color="auto" w:sz="4" w:space="0"/>
            </w:tcBorders>
            <w:vAlign w:val="center"/>
          </w:tcPr>
          <w:p w14:paraId="17429BCA">
            <w:pPr>
              <w:keepNext w:val="0"/>
              <w:keepLines w:val="0"/>
              <w:suppressLineNumbers w:val="0"/>
              <w:snapToGrid w:val="0"/>
              <w:spacing w:before="0" w:beforeAutospacing="0" w:after="0" w:afterAutospacing="0" w:line="360" w:lineRule="auto"/>
              <w:ind w:left="0" w:right="0"/>
              <w:jc w:val="center"/>
              <w:rPr>
                <w:rFonts w:hint="default" w:ascii="宋体" w:hAnsi="宋体" w:eastAsia="宋体"/>
                <w:color w:val="000000"/>
                <w:sz w:val="24"/>
                <w:szCs w:val="24"/>
              </w:rPr>
            </w:pPr>
          </w:p>
        </w:tc>
        <w:tc>
          <w:tcPr>
            <w:tcW w:w="1337" w:type="dxa"/>
            <w:tcBorders>
              <w:left w:val="single" w:color="auto" w:sz="4" w:space="0"/>
            </w:tcBorders>
            <w:vAlign w:val="top"/>
          </w:tcPr>
          <w:p w14:paraId="085E52F3">
            <w:pPr>
              <w:keepNext w:val="0"/>
              <w:keepLines w:val="0"/>
              <w:suppressLineNumbers w:val="0"/>
              <w:snapToGrid w:val="0"/>
              <w:spacing w:before="0" w:beforeAutospacing="0" w:after="0" w:afterAutospacing="0" w:line="360" w:lineRule="auto"/>
              <w:ind w:left="0" w:right="0"/>
              <w:jc w:val="center"/>
              <w:rPr>
                <w:rFonts w:hint="default" w:ascii="宋体" w:hAnsi="宋体" w:eastAsia="宋体"/>
                <w:color w:val="000000"/>
                <w:sz w:val="24"/>
                <w:szCs w:val="24"/>
              </w:rPr>
            </w:pPr>
          </w:p>
        </w:tc>
      </w:tr>
      <w:tr w14:paraId="71678E87">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593" w:hRule="atLeast"/>
          <w:jc w:val="center"/>
        </w:trPr>
        <w:tc>
          <w:tcPr>
            <w:tcW w:w="575" w:type="dxa"/>
            <w:vAlign w:val="center"/>
          </w:tcPr>
          <w:p w14:paraId="001A61C9">
            <w:pPr>
              <w:keepNext w:val="0"/>
              <w:keepLines w:val="0"/>
              <w:suppressLineNumbers w:val="0"/>
              <w:snapToGrid w:val="0"/>
              <w:spacing w:before="0" w:beforeAutospacing="0" w:after="0" w:afterAutospacing="0" w:line="360" w:lineRule="auto"/>
              <w:ind w:left="-185" w:leftChars="-88" w:right="0" w:firstLine="0"/>
              <w:jc w:val="center"/>
              <w:rPr>
                <w:rFonts w:hint="default" w:ascii="宋体" w:hAnsi="宋体" w:eastAsia="宋体"/>
                <w:color w:val="000000"/>
                <w:sz w:val="24"/>
                <w:szCs w:val="24"/>
              </w:rPr>
            </w:pPr>
            <w:r>
              <w:rPr>
                <w:rFonts w:hint="eastAsia" w:ascii="宋体" w:hAnsi="宋体" w:eastAsia="宋体"/>
                <w:color w:val="000000"/>
                <w:sz w:val="24"/>
                <w:szCs w:val="24"/>
              </w:rPr>
              <w:t>2</w:t>
            </w:r>
          </w:p>
        </w:tc>
        <w:tc>
          <w:tcPr>
            <w:tcW w:w="1423" w:type="dxa"/>
            <w:vAlign w:val="center"/>
          </w:tcPr>
          <w:p w14:paraId="33774F96">
            <w:pPr>
              <w:keepNext w:val="0"/>
              <w:keepLines w:val="0"/>
              <w:suppressLineNumbers w:val="0"/>
              <w:snapToGrid w:val="0"/>
              <w:spacing w:before="0" w:beforeAutospacing="0" w:after="0" w:afterAutospacing="0" w:line="360" w:lineRule="auto"/>
              <w:ind w:left="-185" w:leftChars="-88" w:right="0" w:firstLine="0"/>
              <w:jc w:val="center"/>
              <w:rPr>
                <w:rFonts w:hint="default" w:ascii="宋体" w:hAnsi="宋体" w:eastAsia="宋体"/>
                <w:color w:val="000000"/>
                <w:sz w:val="24"/>
                <w:szCs w:val="24"/>
              </w:rPr>
            </w:pPr>
          </w:p>
        </w:tc>
        <w:tc>
          <w:tcPr>
            <w:tcW w:w="851" w:type="dxa"/>
            <w:tcBorders>
              <w:right w:val="single" w:color="auto" w:sz="4" w:space="0"/>
            </w:tcBorders>
            <w:vAlign w:val="top"/>
          </w:tcPr>
          <w:p w14:paraId="4BC92D85">
            <w:pPr>
              <w:keepNext w:val="0"/>
              <w:keepLines w:val="0"/>
              <w:suppressLineNumbers w:val="0"/>
              <w:snapToGrid w:val="0"/>
              <w:spacing w:before="0" w:beforeAutospacing="0" w:after="0" w:afterAutospacing="0" w:line="360" w:lineRule="auto"/>
              <w:ind w:left="0" w:right="0"/>
              <w:jc w:val="center"/>
              <w:rPr>
                <w:rFonts w:hint="default" w:ascii="宋体" w:hAnsi="宋体" w:eastAsia="宋体"/>
                <w:color w:val="000000"/>
                <w:sz w:val="24"/>
                <w:szCs w:val="24"/>
              </w:rPr>
            </w:pPr>
          </w:p>
        </w:tc>
        <w:tc>
          <w:tcPr>
            <w:tcW w:w="923" w:type="dxa"/>
            <w:tcBorders>
              <w:left w:val="single" w:color="auto" w:sz="4" w:space="0"/>
            </w:tcBorders>
            <w:vAlign w:val="top"/>
          </w:tcPr>
          <w:p w14:paraId="4A7314D1">
            <w:pPr>
              <w:keepNext w:val="0"/>
              <w:keepLines w:val="0"/>
              <w:suppressLineNumbers w:val="0"/>
              <w:snapToGrid w:val="0"/>
              <w:spacing w:before="0" w:beforeAutospacing="0" w:after="0" w:afterAutospacing="0" w:line="360" w:lineRule="auto"/>
              <w:ind w:left="0" w:right="0"/>
              <w:jc w:val="center"/>
              <w:rPr>
                <w:rFonts w:hint="default" w:ascii="宋体" w:hAnsi="宋体" w:eastAsia="宋体"/>
                <w:color w:val="000000"/>
                <w:sz w:val="24"/>
                <w:szCs w:val="24"/>
              </w:rPr>
            </w:pPr>
          </w:p>
        </w:tc>
        <w:tc>
          <w:tcPr>
            <w:tcW w:w="1775" w:type="dxa"/>
            <w:tcBorders>
              <w:right w:val="single" w:color="auto" w:sz="4" w:space="0"/>
            </w:tcBorders>
            <w:vAlign w:val="center"/>
          </w:tcPr>
          <w:p w14:paraId="103C69F3">
            <w:pPr>
              <w:keepNext w:val="0"/>
              <w:keepLines w:val="0"/>
              <w:suppressLineNumbers w:val="0"/>
              <w:snapToGrid w:val="0"/>
              <w:spacing w:before="0" w:beforeAutospacing="0" w:after="0" w:afterAutospacing="0" w:line="360" w:lineRule="auto"/>
              <w:ind w:left="0" w:right="0"/>
              <w:jc w:val="center"/>
              <w:rPr>
                <w:rFonts w:hint="default" w:ascii="宋体" w:hAnsi="宋体" w:eastAsia="宋体"/>
                <w:color w:val="000000"/>
                <w:sz w:val="24"/>
                <w:szCs w:val="24"/>
              </w:rPr>
            </w:pPr>
          </w:p>
        </w:tc>
        <w:tc>
          <w:tcPr>
            <w:tcW w:w="1412" w:type="dxa"/>
            <w:tcBorders>
              <w:left w:val="single" w:color="auto" w:sz="4" w:space="0"/>
              <w:right w:val="single" w:color="auto" w:sz="4" w:space="0"/>
            </w:tcBorders>
            <w:vAlign w:val="center"/>
          </w:tcPr>
          <w:p w14:paraId="68DFAB49">
            <w:pPr>
              <w:keepNext w:val="0"/>
              <w:keepLines w:val="0"/>
              <w:suppressLineNumbers w:val="0"/>
              <w:snapToGrid w:val="0"/>
              <w:spacing w:before="0" w:beforeAutospacing="0" w:after="0" w:afterAutospacing="0" w:line="360" w:lineRule="auto"/>
              <w:ind w:left="0" w:right="0"/>
              <w:jc w:val="center"/>
              <w:rPr>
                <w:rFonts w:hint="default" w:ascii="宋体" w:hAnsi="宋体" w:eastAsia="宋体"/>
                <w:color w:val="000000"/>
                <w:sz w:val="24"/>
                <w:szCs w:val="24"/>
              </w:rPr>
            </w:pPr>
          </w:p>
        </w:tc>
        <w:tc>
          <w:tcPr>
            <w:tcW w:w="1337" w:type="dxa"/>
            <w:tcBorders>
              <w:left w:val="single" w:color="auto" w:sz="4" w:space="0"/>
            </w:tcBorders>
            <w:vAlign w:val="top"/>
          </w:tcPr>
          <w:p w14:paraId="1B5C55F8">
            <w:pPr>
              <w:keepNext w:val="0"/>
              <w:keepLines w:val="0"/>
              <w:suppressLineNumbers w:val="0"/>
              <w:snapToGrid w:val="0"/>
              <w:spacing w:before="0" w:beforeAutospacing="0" w:after="0" w:afterAutospacing="0" w:line="360" w:lineRule="auto"/>
              <w:ind w:left="0" w:right="0"/>
              <w:jc w:val="center"/>
              <w:rPr>
                <w:rFonts w:hint="default" w:ascii="宋体" w:hAnsi="宋体" w:eastAsia="宋体"/>
                <w:color w:val="000000"/>
                <w:sz w:val="24"/>
                <w:szCs w:val="24"/>
              </w:rPr>
            </w:pPr>
          </w:p>
        </w:tc>
      </w:tr>
      <w:tr w14:paraId="490F6662">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593" w:hRule="atLeast"/>
          <w:jc w:val="center"/>
        </w:trPr>
        <w:tc>
          <w:tcPr>
            <w:tcW w:w="575" w:type="dxa"/>
            <w:vAlign w:val="center"/>
          </w:tcPr>
          <w:p w14:paraId="2E6E0201">
            <w:pPr>
              <w:keepNext w:val="0"/>
              <w:keepLines w:val="0"/>
              <w:suppressLineNumbers w:val="0"/>
              <w:snapToGrid w:val="0"/>
              <w:spacing w:before="0" w:beforeAutospacing="0" w:after="0" w:afterAutospacing="0" w:line="360" w:lineRule="auto"/>
              <w:ind w:left="-185" w:leftChars="-88" w:right="0" w:firstLine="0"/>
              <w:jc w:val="center"/>
              <w:rPr>
                <w:rFonts w:hint="default" w:ascii="宋体" w:hAnsi="宋体" w:eastAsia="宋体"/>
                <w:color w:val="000000"/>
                <w:sz w:val="24"/>
                <w:szCs w:val="24"/>
              </w:rPr>
            </w:pPr>
            <w:r>
              <w:rPr>
                <w:rFonts w:hint="eastAsia" w:ascii="宋体" w:hAnsi="宋体" w:eastAsia="宋体"/>
                <w:color w:val="000000"/>
                <w:sz w:val="24"/>
                <w:szCs w:val="24"/>
              </w:rPr>
              <w:t>3</w:t>
            </w:r>
          </w:p>
        </w:tc>
        <w:tc>
          <w:tcPr>
            <w:tcW w:w="1423" w:type="dxa"/>
            <w:vAlign w:val="center"/>
          </w:tcPr>
          <w:p w14:paraId="49775660">
            <w:pPr>
              <w:keepNext w:val="0"/>
              <w:keepLines w:val="0"/>
              <w:suppressLineNumbers w:val="0"/>
              <w:snapToGrid w:val="0"/>
              <w:spacing w:before="0" w:beforeAutospacing="0" w:after="0" w:afterAutospacing="0" w:line="360" w:lineRule="auto"/>
              <w:ind w:left="-185" w:leftChars="-88" w:right="0" w:firstLine="0"/>
              <w:jc w:val="center"/>
              <w:rPr>
                <w:rFonts w:hint="default" w:ascii="宋体" w:hAnsi="宋体" w:eastAsia="宋体"/>
                <w:color w:val="000000"/>
                <w:sz w:val="24"/>
                <w:szCs w:val="24"/>
              </w:rPr>
            </w:pPr>
          </w:p>
        </w:tc>
        <w:tc>
          <w:tcPr>
            <w:tcW w:w="851" w:type="dxa"/>
            <w:tcBorders>
              <w:right w:val="single" w:color="auto" w:sz="4" w:space="0"/>
            </w:tcBorders>
            <w:vAlign w:val="top"/>
          </w:tcPr>
          <w:p w14:paraId="7F9B8994">
            <w:pPr>
              <w:keepNext w:val="0"/>
              <w:keepLines w:val="0"/>
              <w:suppressLineNumbers w:val="0"/>
              <w:snapToGrid w:val="0"/>
              <w:spacing w:before="0" w:beforeAutospacing="0" w:after="0" w:afterAutospacing="0" w:line="360" w:lineRule="auto"/>
              <w:ind w:left="0" w:right="0"/>
              <w:jc w:val="center"/>
              <w:rPr>
                <w:rFonts w:hint="default" w:ascii="宋体" w:hAnsi="宋体" w:eastAsia="宋体"/>
                <w:color w:val="000000"/>
                <w:sz w:val="24"/>
                <w:szCs w:val="24"/>
              </w:rPr>
            </w:pPr>
          </w:p>
        </w:tc>
        <w:tc>
          <w:tcPr>
            <w:tcW w:w="923" w:type="dxa"/>
            <w:tcBorders>
              <w:left w:val="single" w:color="auto" w:sz="4" w:space="0"/>
            </w:tcBorders>
            <w:vAlign w:val="top"/>
          </w:tcPr>
          <w:p w14:paraId="5835B0A0">
            <w:pPr>
              <w:keepNext w:val="0"/>
              <w:keepLines w:val="0"/>
              <w:suppressLineNumbers w:val="0"/>
              <w:snapToGrid w:val="0"/>
              <w:spacing w:before="0" w:beforeAutospacing="0" w:after="0" w:afterAutospacing="0" w:line="360" w:lineRule="auto"/>
              <w:ind w:left="0" w:right="0"/>
              <w:jc w:val="center"/>
              <w:rPr>
                <w:rFonts w:hint="default" w:ascii="宋体" w:hAnsi="宋体" w:eastAsia="宋体"/>
                <w:color w:val="000000"/>
                <w:sz w:val="24"/>
                <w:szCs w:val="24"/>
              </w:rPr>
            </w:pPr>
          </w:p>
        </w:tc>
        <w:tc>
          <w:tcPr>
            <w:tcW w:w="1775" w:type="dxa"/>
            <w:tcBorders>
              <w:right w:val="single" w:color="auto" w:sz="4" w:space="0"/>
            </w:tcBorders>
            <w:vAlign w:val="center"/>
          </w:tcPr>
          <w:p w14:paraId="5D9132D2">
            <w:pPr>
              <w:keepNext w:val="0"/>
              <w:keepLines w:val="0"/>
              <w:suppressLineNumbers w:val="0"/>
              <w:snapToGrid w:val="0"/>
              <w:spacing w:before="0" w:beforeAutospacing="0" w:after="0" w:afterAutospacing="0" w:line="360" w:lineRule="auto"/>
              <w:ind w:left="0" w:right="0"/>
              <w:jc w:val="center"/>
              <w:rPr>
                <w:rFonts w:hint="default" w:ascii="宋体" w:hAnsi="宋体" w:eastAsia="宋体"/>
                <w:color w:val="000000"/>
                <w:sz w:val="24"/>
                <w:szCs w:val="24"/>
              </w:rPr>
            </w:pPr>
          </w:p>
        </w:tc>
        <w:tc>
          <w:tcPr>
            <w:tcW w:w="1412" w:type="dxa"/>
            <w:tcBorders>
              <w:left w:val="single" w:color="auto" w:sz="4" w:space="0"/>
              <w:right w:val="single" w:color="auto" w:sz="4" w:space="0"/>
            </w:tcBorders>
            <w:vAlign w:val="center"/>
          </w:tcPr>
          <w:p w14:paraId="1BA43569">
            <w:pPr>
              <w:keepNext w:val="0"/>
              <w:keepLines w:val="0"/>
              <w:suppressLineNumbers w:val="0"/>
              <w:snapToGrid w:val="0"/>
              <w:spacing w:before="0" w:beforeAutospacing="0" w:after="0" w:afterAutospacing="0" w:line="360" w:lineRule="auto"/>
              <w:ind w:left="0" w:right="0"/>
              <w:jc w:val="center"/>
              <w:rPr>
                <w:rFonts w:hint="default" w:ascii="宋体" w:hAnsi="宋体" w:eastAsia="宋体"/>
                <w:color w:val="000000"/>
                <w:sz w:val="24"/>
                <w:szCs w:val="24"/>
              </w:rPr>
            </w:pPr>
          </w:p>
        </w:tc>
        <w:tc>
          <w:tcPr>
            <w:tcW w:w="1337" w:type="dxa"/>
            <w:tcBorders>
              <w:left w:val="single" w:color="auto" w:sz="4" w:space="0"/>
            </w:tcBorders>
            <w:vAlign w:val="top"/>
          </w:tcPr>
          <w:p w14:paraId="50D637F9">
            <w:pPr>
              <w:keepNext w:val="0"/>
              <w:keepLines w:val="0"/>
              <w:suppressLineNumbers w:val="0"/>
              <w:snapToGrid w:val="0"/>
              <w:spacing w:before="0" w:beforeAutospacing="0" w:after="0" w:afterAutospacing="0" w:line="360" w:lineRule="auto"/>
              <w:ind w:left="0" w:right="0"/>
              <w:jc w:val="center"/>
              <w:rPr>
                <w:rFonts w:hint="default" w:ascii="宋体" w:hAnsi="宋体" w:eastAsia="宋体"/>
                <w:color w:val="000000"/>
                <w:sz w:val="24"/>
                <w:szCs w:val="24"/>
              </w:rPr>
            </w:pPr>
          </w:p>
        </w:tc>
      </w:tr>
      <w:tr w14:paraId="63FDAE0C">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593" w:hRule="atLeast"/>
          <w:jc w:val="center"/>
        </w:trPr>
        <w:tc>
          <w:tcPr>
            <w:tcW w:w="575" w:type="dxa"/>
            <w:vAlign w:val="center"/>
          </w:tcPr>
          <w:p w14:paraId="3B6BDEB7">
            <w:pPr>
              <w:keepNext w:val="0"/>
              <w:keepLines w:val="0"/>
              <w:suppressLineNumbers w:val="0"/>
              <w:snapToGrid w:val="0"/>
              <w:spacing w:before="0" w:beforeAutospacing="0" w:after="0" w:afterAutospacing="0" w:line="360" w:lineRule="auto"/>
              <w:ind w:left="-185" w:leftChars="-88" w:right="0" w:firstLine="0"/>
              <w:jc w:val="center"/>
              <w:rPr>
                <w:rFonts w:hint="default" w:ascii="宋体" w:hAnsi="宋体" w:eastAsia="宋体"/>
                <w:color w:val="000000"/>
                <w:sz w:val="24"/>
                <w:szCs w:val="24"/>
              </w:rPr>
            </w:pPr>
            <w:r>
              <w:rPr>
                <w:rFonts w:hint="eastAsia" w:ascii="宋体" w:hAnsi="宋体" w:eastAsia="宋体"/>
                <w:color w:val="000000"/>
                <w:sz w:val="24"/>
                <w:szCs w:val="24"/>
              </w:rPr>
              <w:t>4</w:t>
            </w:r>
          </w:p>
        </w:tc>
        <w:tc>
          <w:tcPr>
            <w:tcW w:w="1423" w:type="dxa"/>
            <w:vAlign w:val="center"/>
          </w:tcPr>
          <w:p w14:paraId="5C68AE69">
            <w:pPr>
              <w:keepNext w:val="0"/>
              <w:keepLines w:val="0"/>
              <w:suppressLineNumbers w:val="0"/>
              <w:snapToGrid w:val="0"/>
              <w:spacing w:before="0" w:beforeAutospacing="0" w:after="0" w:afterAutospacing="0" w:line="360" w:lineRule="auto"/>
              <w:ind w:left="-185" w:leftChars="-88" w:right="0" w:firstLine="0"/>
              <w:jc w:val="center"/>
              <w:rPr>
                <w:rFonts w:hint="default" w:ascii="宋体" w:hAnsi="宋体" w:eastAsia="宋体"/>
                <w:color w:val="000000"/>
                <w:sz w:val="24"/>
                <w:szCs w:val="24"/>
              </w:rPr>
            </w:pPr>
          </w:p>
        </w:tc>
        <w:tc>
          <w:tcPr>
            <w:tcW w:w="851" w:type="dxa"/>
            <w:tcBorders>
              <w:right w:val="single" w:color="auto" w:sz="4" w:space="0"/>
            </w:tcBorders>
            <w:vAlign w:val="top"/>
          </w:tcPr>
          <w:p w14:paraId="79EE8AFB">
            <w:pPr>
              <w:keepNext w:val="0"/>
              <w:keepLines w:val="0"/>
              <w:suppressLineNumbers w:val="0"/>
              <w:snapToGrid w:val="0"/>
              <w:spacing w:before="0" w:beforeAutospacing="0" w:after="0" w:afterAutospacing="0" w:line="360" w:lineRule="auto"/>
              <w:ind w:left="0" w:right="0"/>
              <w:jc w:val="center"/>
              <w:rPr>
                <w:rFonts w:hint="default" w:ascii="宋体" w:hAnsi="宋体" w:eastAsia="宋体"/>
                <w:color w:val="000000"/>
                <w:sz w:val="24"/>
                <w:szCs w:val="24"/>
              </w:rPr>
            </w:pPr>
          </w:p>
        </w:tc>
        <w:tc>
          <w:tcPr>
            <w:tcW w:w="923" w:type="dxa"/>
            <w:tcBorders>
              <w:left w:val="single" w:color="auto" w:sz="4" w:space="0"/>
            </w:tcBorders>
            <w:vAlign w:val="top"/>
          </w:tcPr>
          <w:p w14:paraId="06A15F1D">
            <w:pPr>
              <w:keepNext w:val="0"/>
              <w:keepLines w:val="0"/>
              <w:suppressLineNumbers w:val="0"/>
              <w:snapToGrid w:val="0"/>
              <w:spacing w:before="0" w:beforeAutospacing="0" w:after="0" w:afterAutospacing="0" w:line="360" w:lineRule="auto"/>
              <w:ind w:left="0" w:right="0"/>
              <w:jc w:val="center"/>
              <w:rPr>
                <w:rFonts w:hint="default" w:ascii="宋体" w:hAnsi="宋体" w:eastAsia="宋体"/>
                <w:color w:val="000000"/>
                <w:sz w:val="24"/>
                <w:szCs w:val="24"/>
              </w:rPr>
            </w:pPr>
          </w:p>
        </w:tc>
        <w:tc>
          <w:tcPr>
            <w:tcW w:w="1775" w:type="dxa"/>
            <w:tcBorders>
              <w:right w:val="single" w:color="auto" w:sz="4" w:space="0"/>
            </w:tcBorders>
            <w:vAlign w:val="center"/>
          </w:tcPr>
          <w:p w14:paraId="6B11D751">
            <w:pPr>
              <w:keepNext w:val="0"/>
              <w:keepLines w:val="0"/>
              <w:suppressLineNumbers w:val="0"/>
              <w:snapToGrid w:val="0"/>
              <w:spacing w:before="0" w:beforeAutospacing="0" w:after="0" w:afterAutospacing="0" w:line="360" w:lineRule="auto"/>
              <w:ind w:left="0" w:right="0"/>
              <w:jc w:val="center"/>
              <w:rPr>
                <w:rFonts w:hint="default" w:ascii="宋体" w:hAnsi="宋体" w:eastAsia="宋体"/>
                <w:color w:val="000000"/>
                <w:sz w:val="24"/>
                <w:szCs w:val="24"/>
              </w:rPr>
            </w:pPr>
          </w:p>
        </w:tc>
        <w:tc>
          <w:tcPr>
            <w:tcW w:w="1412" w:type="dxa"/>
            <w:tcBorders>
              <w:left w:val="single" w:color="auto" w:sz="4" w:space="0"/>
              <w:right w:val="single" w:color="auto" w:sz="4" w:space="0"/>
            </w:tcBorders>
            <w:vAlign w:val="center"/>
          </w:tcPr>
          <w:p w14:paraId="561F3D31">
            <w:pPr>
              <w:keepNext w:val="0"/>
              <w:keepLines w:val="0"/>
              <w:suppressLineNumbers w:val="0"/>
              <w:snapToGrid w:val="0"/>
              <w:spacing w:before="0" w:beforeAutospacing="0" w:after="0" w:afterAutospacing="0" w:line="360" w:lineRule="auto"/>
              <w:ind w:left="0" w:right="0"/>
              <w:jc w:val="center"/>
              <w:rPr>
                <w:rFonts w:hint="default" w:ascii="宋体" w:hAnsi="宋体" w:eastAsia="宋体"/>
                <w:color w:val="000000"/>
                <w:sz w:val="24"/>
                <w:szCs w:val="24"/>
              </w:rPr>
            </w:pPr>
          </w:p>
        </w:tc>
        <w:tc>
          <w:tcPr>
            <w:tcW w:w="1337" w:type="dxa"/>
            <w:tcBorders>
              <w:left w:val="single" w:color="auto" w:sz="4" w:space="0"/>
            </w:tcBorders>
            <w:vAlign w:val="top"/>
          </w:tcPr>
          <w:p w14:paraId="1D8664E3">
            <w:pPr>
              <w:keepNext w:val="0"/>
              <w:keepLines w:val="0"/>
              <w:suppressLineNumbers w:val="0"/>
              <w:snapToGrid w:val="0"/>
              <w:spacing w:before="0" w:beforeAutospacing="0" w:after="0" w:afterAutospacing="0" w:line="360" w:lineRule="auto"/>
              <w:ind w:left="0" w:right="0"/>
              <w:jc w:val="center"/>
              <w:rPr>
                <w:rFonts w:hint="default" w:ascii="宋体" w:hAnsi="宋体" w:eastAsia="宋体"/>
                <w:color w:val="000000"/>
                <w:sz w:val="24"/>
                <w:szCs w:val="24"/>
              </w:rPr>
            </w:pPr>
          </w:p>
        </w:tc>
      </w:tr>
      <w:tr w14:paraId="49566F61">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593" w:hRule="atLeast"/>
          <w:jc w:val="center"/>
        </w:trPr>
        <w:tc>
          <w:tcPr>
            <w:tcW w:w="575" w:type="dxa"/>
            <w:vAlign w:val="center"/>
          </w:tcPr>
          <w:p w14:paraId="580D954C">
            <w:pPr>
              <w:keepNext w:val="0"/>
              <w:keepLines w:val="0"/>
              <w:suppressLineNumbers w:val="0"/>
              <w:snapToGrid w:val="0"/>
              <w:spacing w:before="0" w:beforeAutospacing="0" w:after="0" w:afterAutospacing="0" w:line="360" w:lineRule="auto"/>
              <w:ind w:left="-185" w:leftChars="-88" w:right="0" w:firstLine="0"/>
              <w:jc w:val="center"/>
              <w:rPr>
                <w:rFonts w:hint="default" w:ascii="宋体" w:hAnsi="宋体" w:eastAsia="宋体"/>
                <w:color w:val="000000"/>
                <w:sz w:val="24"/>
                <w:szCs w:val="24"/>
              </w:rPr>
            </w:pPr>
            <w:r>
              <w:rPr>
                <w:rFonts w:hint="eastAsia" w:ascii="宋体" w:hAnsi="宋体" w:eastAsia="宋体"/>
                <w:color w:val="000000"/>
                <w:sz w:val="24"/>
                <w:szCs w:val="24"/>
              </w:rPr>
              <w:t>…</w:t>
            </w:r>
          </w:p>
        </w:tc>
        <w:tc>
          <w:tcPr>
            <w:tcW w:w="1423" w:type="dxa"/>
            <w:vAlign w:val="center"/>
          </w:tcPr>
          <w:p w14:paraId="21998DFA">
            <w:pPr>
              <w:keepNext w:val="0"/>
              <w:keepLines w:val="0"/>
              <w:suppressLineNumbers w:val="0"/>
              <w:snapToGrid w:val="0"/>
              <w:spacing w:before="0" w:beforeAutospacing="0" w:after="0" w:afterAutospacing="0" w:line="360" w:lineRule="auto"/>
              <w:ind w:left="-185" w:leftChars="-88" w:right="0" w:firstLine="0"/>
              <w:jc w:val="center"/>
              <w:rPr>
                <w:rFonts w:hint="default" w:ascii="宋体" w:hAnsi="宋体" w:eastAsia="宋体"/>
                <w:color w:val="000000"/>
                <w:sz w:val="24"/>
                <w:szCs w:val="24"/>
              </w:rPr>
            </w:pPr>
          </w:p>
        </w:tc>
        <w:tc>
          <w:tcPr>
            <w:tcW w:w="851" w:type="dxa"/>
            <w:tcBorders>
              <w:right w:val="single" w:color="auto" w:sz="4" w:space="0"/>
            </w:tcBorders>
            <w:vAlign w:val="top"/>
          </w:tcPr>
          <w:p w14:paraId="1A75C28A">
            <w:pPr>
              <w:keepNext w:val="0"/>
              <w:keepLines w:val="0"/>
              <w:suppressLineNumbers w:val="0"/>
              <w:snapToGrid w:val="0"/>
              <w:spacing w:before="0" w:beforeAutospacing="0" w:after="0" w:afterAutospacing="0" w:line="360" w:lineRule="auto"/>
              <w:ind w:left="0" w:right="0"/>
              <w:jc w:val="center"/>
              <w:rPr>
                <w:rFonts w:hint="default" w:ascii="宋体" w:hAnsi="宋体" w:eastAsia="宋体"/>
                <w:color w:val="000000"/>
                <w:sz w:val="24"/>
                <w:szCs w:val="24"/>
              </w:rPr>
            </w:pPr>
          </w:p>
        </w:tc>
        <w:tc>
          <w:tcPr>
            <w:tcW w:w="923" w:type="dxa"/>
            <w:tcBorders>
              <w:left w:val="single" w:color="auto" w:sz="4" w:space="0"/>
            </w:tcBorders>
            <w:vAlign w:val="top"/>
          </w:tcPr>
          <w:p w14:paraId="48D21506">
            <w:pPr>
              <w:keepNext w:val="0"/>
              <w:keepLines w:val="0"/>
              <w:suppressLineNumbers w:val="0"/>
              <w:snapToGrid w:val="0"/>
              <w:spacing w:before="0" w:beforeAutospacing="0" w:after="0" w:afterAutospacing="0" w:line="360" w:lineRule="auto"/>
              <w:ind w:left="0" w:right="0"/>
              <w:jc w:val="center"/>
              <w:rPr>
                <w:rFonts w:hint="default" w:ascii="宋体" w:hAnsi="宋体" w:eastAsia="宋体"/>
                <w:color w:val="000000"/>
                <w:sz w:val="24"/>
                <w:szCs w:val="24"/>
              </w:rPr>
            </w:pPr>
          </w:p>
        </w:tc>
        <w:tc>
          <w:tcPr>
            <w:tcW w:w="1775" w:type="dxa"/>
            <w:tcBorders>
              <w:right w:val="single" w:color="auto" w:sz="4" w:space="0"/>
            </w:tcBorders>
            <w:vAlign w:val="center"/>
          </w:tcPr>
          <w:p w14:paraId="4B0B53DB">
            <w:pPr>
              <w:keepNext w:val="0"/>
              <w:keepLines w:val="0"/>
              <w:suppressLineNumbers w:val="0"/>
              <w:snapToGrid w:val="0"/>
              <w:spacing w:before="0" w:beforeAutospacing="0" w:after="0" w:afterAutospacing="0" w:line="360" w:lineRule="auto"/>
              <w:ind w:left="0" w:right="0"/>
              <w:jc w:val="center"/>
              <w:rPr>
                <w:rFonts w:hint="default" w:ascii="宋体" w:hAnsi="宋体" w:eastAsia="宋体"/>
                <w:color w:val="000000"/>
                <w:sz w:val="24"/>
                <w:szCs w:val="24"/>
              </w:rPr>
            </w:pPr>
          </w:p>
        </w:tc>
        <w:tc>
          <w:tcPr>
            <w:tcW w:w="1412" w:type="dxa"/>
            <w:tcBorders>
              <w:left w:val="single" w:color="auto" w:sz="4" w:space="0"/>
              <w:right w:val="single" w:color="auto" w:sz="4" w:space="0"/>
            </w:tcBorders>
            <w:vAlign w:val="center"/>
          </w:tcPr>
          <w:p w14:paraId="4060A7A9">
            <w:pPr>
              <w:keepNext w:val="0"/>
              <w:keepLines w:val="0"/>
              <w:suppressLineNumbers w:val="0"/>
              <w:snapToGrid w:val="0"/>
              <w:spacing w:before="0" w:beforeAutospacing="0" w:after="0" w:afterAutospacing="0" w:line="360" w:lineRule="auto"/>
              <w:ind w:left="0" w:right="0"/>
              <w:jc w:val="center"/>
              <w:rPr>
                <w:rFonts w:hint="default" w:ascii="宋体" w:hAnsi="宋体" w:eastAsia="宋体"/>
                <w:color w:val="000000"/>
                <w:sz w:val="24"/>
                <w:szCs w:val="24"/>
              </w:rPr>
            </w:pPr>
          </w:p>
        </w:tc>
        <w:tc>
          <w:tcPr>
            <w:tcW w:w="1337" w:type="dxa"/>
            <w:tcBorders>
              <w:left w:val="single" w:color="auto" w:sz="4" w:space="0"/>
            </w:tcBorders>
            <w:vAlign w:val="top"/>
          </w:tcPr>
          <w:p w14:paraId="02119CDC">
            <w:pPr>
              <w:keepNext w:val="0"/>
              <w:keepLines w:val="0"/>
              <w:suppressLineNumbers w:val="0"/>
              <w:snapToGrid w:val="0"/>
              <w:spacing w:before="0" w:beforeAutospacing="0" w:after="0" w:afterAutospacing="0" w:line="360" w:lineRule="auto"/>
              <w:ind w:left="0" w:right="0"/>
              <w:jc w:val="center"/>
              <w:rPr>
                <w:rFonts w:hint="default" w:ascii="宋体" w:hAnsi="宋体" w:eastAsia="宋体"/>
                <w:color w:val="000000"/>
                <w:sz w:val="24"/>
                <w:szCs w:val="24"/>
              </w:rPr>
            </w:pPr>
          </w:p>
        </w:tc>
      </w:tr>
    </w:tbl>
    <w:p w14:paraId="0C7A4BEB">
      <w:pPr>
        <w:rPr>
          <w:lang w:val="zh-CN"/>
        </w:rPr>
      </w:pPr>
    </w:p>
    <w:p w14:paraId="1B12174E">
      <w:pPr>
        <w:rPr>
          <w:lang w:val="zh-CN"/>
        </w:rPr>
      </w:pPr>
    </w:p>
    <w:p w14:paraId="0A87CDC8">
      <w:pPr>
        <w:rPr>
          <w:lang w:val="zh-CN"/>
        </w:rPr>
      </w:pPr>
    </w:p>
    <w:p w14:paraId="0EE48702">
      <w:pPr>
        <w:rPr>
          <w:lang w:val="zh-CN"/>
        </w:rPr>
      </w:pPr>
    </w:p>
    <w:p w14:paraId="3121646F">
      <w:pPr>
        <w:rPr>
          <w:lang w:val="zh-CN"/>
        </w:rPr>
      </w:pPr>
    </w:p>
    <w:p w14:paraId="09B1DC54">
      <w:pPr>
        <w:rPr>
          <w:lang w:val="zh-CN"/>
        </w:rPr>
      </w:pPr>
    </w:p>
    <w:p w14:paraId="09952F6F">
      <w:pPr>
        <w:rPr>
          <w:lang w:val="zh-CN"/>
        </w:rPr>
      </w:pPr>
    </w:p>
    <w:p w14:paraId="390189C0">
      <w:pPr>
        <w:rPr>
          <w:lang w:val="zh-CN"/>
        </w:rPr>
      </w:pPr>
    </w:p>
    <w:p w14:paraId="5943E5F0">
      <w:pPr>
        <w:rPr>
          <w:lang w:val="zh-CN"/>
        </w:rPr>
      </w:pPr>
    </w:p>
    <w:p w14:paraId="3C04364A">
      <w:pPr>
        <w:rPr>
          <w:lang w:val="zh-CN"/>
        </w:rPr>
      </w:pPr>
    </w:p>
    <w:p w14:paraId="23DE8241">
      <w:pPr>
        <w:rPr>
          <w:lang w:val="zh-CN"/>
        </w:rPr>
      </w:pPr>
    </w:p>
    <w:p w14:paraId="2CC5A1D3">
      <w:pPr>
        <w:rPr>
          <w:lang w:val="zh-CN"/>
        </w:rPr>
      </w:pPr>
    </w:p>
    <w:p w14:paraId="151D3E17">
      <w:pPr>
        <w:rPr>
          <w:lang w:val="zh-CN"/>
        </w:rPr>
      </w:pPr>
    </w:p>
    <w:p w14:paraId="335B4D16">
      <w:pPr>
        <w:rPr>
          <w:lang w:val="zh-CN"/>
        </w:rPr>
      </w:pPr>
    </w:p>
    <w:p w14:paraId="3D294775">
      <w:pPr>
        <w:rPr>
          <w:lang w:val="zh-CN"/>
        </w:rPr>
      </w:pPr>
    </w:p>
    <w:p w14:paraId="2DD44228">
      <w:pPr>
        <w:rPr>
          <w:lang w:val="zh-CN"/>
        </w:rPr>
      </w:pPr>
    </w:p>
    <w:p w14:paraId="3EF48E93">
      <w:pPr>
        <w:rPr>
          <w:lang w:val="zh-CN"/>
        </w:rPr>
      </w:pPr>
    </w:p>
    <w:p w14:paraId="6D409B9B">
      <w:pPr>
        <w:rPr>
          <w:lang w:val="zh-CN"/>
        </w:rPr>
      </w:pPr>
    </w:p>
    <w:p w14:paraId="056FDB59">
      <w:pPr>
        <w:rPr>
          <w:lang w:val="zh-CN"/>
        </w:rPr>
      </w:pPr>
    </w:p>
    <w:p w14:paraId="2479AA71">
      <w:pPr>
        <w:rPr>
          <w:lang w:val="zh-CN"/>
        </w:rPr>
      </w:pPr>
    </w:p>
    <w:p w14:paraId="021BFFCC">
      <w:pPr>
        <w:rPr>
          <w:lang w:val="zh-CN"/>
        </w:rPr>
      </w:pPr>
    </w:p>
    <w:p w14:paraId="4453C7B9">
      <w:pPr>
        <w:rPr>
          <w:lang w:val="zh-CN"/>
        </w:rPr>
      </w:pPr>
    </w:p>
    <w:p w14:paraId="4C8D54C1">
      <w:pPr>
        <w:rPr>
          <w:lang w:val="zh-CN"/>
        </w:rPr>
      </w:pPr>
    </w:p>
    <w:p w14:paraId="7B1D027D">
      <w:pPr>
        <w:rPr>
          <w:lang w:val="zh-CN"/>
        </w:rPr>
      </w:pPr>
    </w:p>
    <w:p w14:paraId="5AF2BCFA">
      <w:pPr>
        <w:rPr>
          <w:lang w:val="zh-CN"/>
        </w:rPr>
      </w:pPr>
    </w:p>
    <w:p w14:paraId="6BB35232">
      <w:pPr>
        <w:numPr>
          <w:ilvl w:val="0"/>
          <w:numId w:val="0"/>
        </w:numPr>
        <w:ind w:leftChars="0"/>
        <w:rPr>
          <w:rFonts w:hint="eastAsia" w:ascii="宋体" w:hAnsi="宋体" w:eastAsia="宋体"/>
          <w:b/>
          <w:bCs/>
          <w:sz w:val="30"/>
          <w:szCs w:val="30"/>
          <w:lang w:val="en-US" w:eastAsia="zh-CN"/>
        </w:rPr>
      </w:pPr>
      <w:r>
        <w:rPr>
          <w:rFonts w:hint="eastAsia" w:ascii="宋体" w:hAnsi="宋体" w:eastAsia="宋体"/>
          <w:b/>
          <w:bCs/>
          <w:sz w:val="30"/>
          <w:szCs w:val="30"/>
          <w:lang w:val="en-US" w:eastAsia="zh-CN"/>
        </w:rPr>
        <w:t>四、法定代表人身份证明</w:t>
      </w:r>
    </w:p>
    <w:p w14:paraId="165C4C85">
      <w:pPr>
        <w:numPr>
          <w:ilvl w:val="0"/>
          <w:numId w:val="0"/>
        </w:numPr>
        <w:ind w:leftChars="0"/>
        <w:rPr>
          <w:rFonts w:hint="default" w:ascii="宋体" w:hAnsi="宋体" w:eastAsia="宋体"/>
          <w:sz w:val="24"/>
          <w:szCs w:val="24"/>
          <w:lang w:val="en-US" w:eastAsia="zh-CN"/>
        </w:rPr>
      </w:pPr>
    </w:p>
    <w:p w14:paraId="7644B3E3">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宋体" w:hAnsi="宋体" w:eastAsia="宋体"/>
          <w:sz w:val="24"/>
          <w:szCs w:val="24"/>
          <w:u w:val="single"/>
          <w:lang w:val="en-US" w:eastAsia="zh-CN"/>
        </w:rPr>
      </w:pPr>
      <w:r>
        <w:rPr>
          <w:rFonts w:hint="eastAsia" w:ascii="宋体" w:hAnsi="宋体" w:eastAsia="宋体"/>
          <w:sz w:val="24"/>
          <w:szCs w:val="24"/>
          <w:lang w:val="en-US" w:eastAsia="zh-CN"/>
        </w:rPr>
        <w:t>供应商名称：</w:t>
      </w:r>
      <w:r>
        <w:rPr>
          <w:rFonts w:hint="eastAsia" w:ascii="宋体" w:hAnsi="宋体" w:eastAsia="宋体"/>
          <w:sz w:val="24"/>
          <w:szCs w:val="24"/>
          <w:u w:val="single"/>
          <w:lang w:val="en-US" w:eastAsia="zh-CN"/>
        </w:rPr>
        <w:t xml:space="preserve">                            </w:t>
      </w:r>
    </w:p>
    <w:p w14:paraId="3A87A166">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宋体" w:hAnsi="宋体" w:eastAsia="宋体"/>
          <w:sz w:val="24"/>
          <w:szCs w:val="24"/>
          <w:u w:val="single"/>
          <w:lang w:val="en-US" w:eastAsia="zh-CN"/>
        </w:rPr>
      </w:pPr>
      <w:r>
        <w:rPr>
          <w:rFonts w:hint="eastAsia" w:ascii="宋体" w:hAnsi="宋体" w:eastAsia="宋体"/>
          <w:sz w:val="24"/>
          <w:szCs w:val="24"/>
          <w:u w:val="none"/>
          <w:lang w:val="en-US" w:eastAsia="zh-CN"/>
        </w:rPr>
        <w:t>姓名：</w:t>
      </w:r>
      <w:r>
        <w:rPr>
          <w:rFonts w:hint="eastAsia" w:ascii="宋体" w:hAnsi="宋体" w:eastAsia="宋体"/>
          <w:sz w:val="24"/>
          <w:szCs w:val="24"/>
          <w:u w:val="single"/>
          <w:lang w:val="en-US" w:eastAsia="zh-CN"/>
        </w:rPr>
        <w:t xml:space="preserve">        </w:t>
      </w:r>
      <w:r>
        <w:rPr>
          <w:rFonts w:hint="eastAsia" w:ascii="宋体" w:hAnsi="宋体" w:eastAsia="宋体"/>
          <w:sz w:val="24"/>
          <w:szCs w:val="24"/>
          <w:u w:val="none"/>
          <w:lang w:val="en-US" w:eastAsia="zh-CN"/>
        </w:rPr>
        <w:t>性别：</w:t>
      </w:r>
      <w:r>
        <w:rPr>
          <w:rFonts w:hint="eastAsia" w:ascii="宋体" w:hAnsi="宋体" w:eastAsia="宋体"/>
          <w:sz w:val="24"/>
          <w:szCs w:val="24"/>
          <w:u w:val="single"/>
          <w:lang w:val="en-US" w:eastAsia="zh-CN"/>
        </w:rPr>
        <w:t xml:space="preserve">       </w:t>
      </w:r>
      <w:r>
        <w:rPr>
          <w:rFonts w:hint="eastAsia" w:ascii="宋体" w:hAnsi="宋体" w:eastAsia="宋体"/>
          <w:sz w:val="24"/>
          <w:szCs w:val="24"/>
          <w:u w:val="none"/>
          <w:lang w:val="en-US" w:eastAsia="zh-CN"/>
        </w:rPr>
        <w:t xml:space="preserve"> 年龄：</w:t>
      </w:r>
      <w:r>
        <w:rPr>
          <w:rFonts w:hint="eastAsia" w:ascii="宋体" w:hAnsi="宋体" w:eastAsia="宋体"/>
          <w:sz w:val="24"/>
          <w:szCs w:val="24"/>
          <w:u w:val="single"/>
          <w:lang w:val="en-US" w:eastAsia="zh-CN"/>
        </w:rPr>
        <w:t xml:space="preserve">       </w:t>
      </w:r>
      <w:r>
        <w:rPr>
          <w:rFonts w:hint="eastAsia" w:ascii="宋体" w:hAnsi="宋体" w:eastAsia="宋体"/>
          <w:sz w:val="24"/>
          <w:szCs w:val="24"/>
          <w:u w:val="none"/>
          <w:lang w:val="en-US" w:eastAsia="zh-CN"/>
        </w:rPr>
        <w:t xml:space="preserve"> 职务： </w:t>
      </w:r>
      <w:r>
        <w:rPr>
          <w:rFonts w:hint="eastAsia" w:ascii="宋体" w:hAnsi="宋体" w:eastAsia="宋体"/>
          <w:sz w:val="24"/>
          <w:szCs w:val="24"/>
          <w:u w:val="single"/>
          <w:lang w:val="en-US" w:eastAsia="zh-CN"/>
        </w:rPr>
        <w:t xml:space="preserve">        </w:t>
      </w:r>
    </w:p>
    <w:p w14:paraId="4755739F">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宋体" w:hAnsi="宋体" w:eastAsia="宋体"/>
          <w:sz w:val="24"/>
          <w:szCs w:val="24"/>
          <w:u w:val="none"/>
          <w:lang w:val="en-US" w:eastAsia="zh-CN"/>
        </w:rPr>
      </w:pPr>
      <w:r>
        <w:rPr>
          <w:rFonts w:hint="eastAsia" w:ascii="宋体" w:hAnsi="宋体" w:eastAsia="宋体"/>
          <w:sz w:val="24"/>
          <w:szCs w:val="24"/>
          <w:u w:val="none"/>
          <w:lang w:val="en-US" w:eastAsia="zh-CN"/>
        </w:rPr>
        <w:t xml:space="preserve">系 </w:t>
      </w:r>
      <w:r>
        <w:rPr>
          <w:rFonts w:hint="eastAsia" w:ascii="宋体" w:hAnsi="宋体" w:eastAsia="宋体"/>
          <w:sz w:val="24"/>
          <w:szCs w:val="24"/>
          <w:u w:val="single"/>
          <w:lang w:val="en-US" w:eastAsia="zh-CN"/>
        </w:rPr>
        <w:t xml:space="preserve">                              </w:t>
      </w:r>
      <w:r>
        <w:rPr>
          <w:rFonts w:hint="eastAsia" w:ascii="宋体" w:hAnsi="宋体" w:eastAsia="宋体"/>
          <w:sz w:val="24"/>
          <w:szCs w:val="24"/>
          <w:u w:val="none"/>
          <w:lang w:val="en-US" w:eastAsia="zh-CN"/>
        </w:rPr>
        <w:t>（供应商名称）的法定代表人。</w:t>
      </w:r>
    </w:p>
    <w:p w14:paraId="5841B001">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宋体" w:hAnsi="宋体" w:eastAsia="宋体"/>
          <w:sz w:val="24"/>
          <w:szCs w:val="24"/>
          <w:u w:val="none"/>
          <w:lang w:val="en-US" w:eastAsia="zh-CN"/>
        </w:rPr>
      </w:pPr>
      <w:r>
        <w:rPr>
          <w:rFonts w:hint="eastAsia" w:ascii="宋体" w:hAnsi="宋体" w:eastAsia="宋体"/>
          <w:sz w:val="24"/>
          <w:szCs w:val="24"/>
          <w:u w:val="none"/>
          <w:lang w:val="en-US" w:eastAsia="zh-CN"/>
        </w:rPr>
        <w:t>特此证明</w:t>
      </w:r>
    </w:p>
    <w:p w14:paraId="3D7DB1F9">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宋体" w:hAnsi="宋体" w:eastAsia="宋体"/>
          <w:sz w:val="24"/>
          <w:szCs w:val="24"/>
          <w:u w:val="none"/>
          <w:lang w:val="en-US" w:eastAsia="zh-CN"/>
        </w:rPr>
      </w:pPr>
      <w:r>
        <w:rPr>
          <w:rFonts w:hint="eastAsia" w:ascii="宋体" w:hAnsi="宋体" w:eastAsia="宋体"/>
          <w:sz w:val="24"/>
          <w:szCs w:val="24"/>
          <w:u w:val="none"/>
          <w:lang w:val="en-US" w:eastAsia="zh-CN"/>
        </w:rPr>
        <w:t>附：法定代表人身份证复印件</w:t>
      </w:r>
    </w:p>
    <w:p w14:paraId="3A0006E6">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宋体" w:hAnsi="宋体" w:eastAsia="宋体"/>
          <w:sz w:val="24"/>
          <w:szCs w:val="24"/>
          <w:u w:val="none"/>
          <w:lang w:val="en-US" w:eastAsia="zh-CN"/>
        </w:rPr>
      </w:pPr>
      <w:r>
        <w:rPr>
          <w:rFonts w:hint="eastAsia" w:ascii="宋体" w:hAnsi="宋体" w:eastAsia="宋体"/>
          <w:sz w:val="24"/>
          <w:szCs w:val="24"/>
          <w:u w:val="none"/>
          <w:lang w:val="en-US" w:eastAsia="zh-CN"/>
        </w:rPr>
        <w:t>注：本身份证明需由供应商加盖单位公章。</w:t>
      </w:r>
    </w:p>
    <w:p w14:paraId="0549BB04">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宋体" w:hAnsi="宋体" w:eastAsia="宋体"/>
          <w:sz w:val="24"/>
          <w:szCs w:val="24"/>
          <w:u w:val="none"/>
          <w:lang w:val="en-US" w:eastAsia="zh-CN"/>
        </w:rPr>
      </w:pPr>
    </w:p>
    <w:p w14:paraId="0E2F5F7E">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宋体" w:hAnsi="宋体" w:eastAsia="宋体"/>
          <w:sz w:val="24"/>
          <w:szCs w:val="24"/>
          <w:u w:val="none"/>
          <w:lang w:val="en-US" w:eastAsia="zh-CN"/>
        </w:rPr>
      </w:pPr>
    </w:p>
    <w:tbl>
      <w:tblPr>
        <w:tblStyle w:val="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1"/>
        <w:gridCol w:w="4261"/>
      </w:tblGrid>
      <w:tr w14:paraId="21A0ED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631" w:hRule="atLeast"/>
        </w:trPr>
        <w:tc>
          <w:tcPr>
            <w:tcW w:w="4261" w:type="dxa"/>
          </w:tcPr>
          <w:p w14:paraId="6C4FB397">
            <w:pPr>
              <w:keepNext w:val="0"/>
              <w:keepLines w:val="0"/>
              <w:suppressLineNumbers w:val="0"/>
              <w:spacing w:before="0" w:beforeAutospacing="0" w:after="0" w:afterAutospacing="0"/>
              <w:ind w:left="0" w:right="0"/>
              <w:jc w:val="center"/>
              <w:rPr>
                <w:rFonts w:hint="eastAsia" w:ascii="宋体" w:hAnsi="宋体" w:eastAsia="宋体"/>
                <w:sz w:val="24"/>
                <w:szCs w:val="24"/>
                <w:u w:val="none"/>
                <w:vertAlign w:val="baseline"/>
                <w:lang w:val="en-US" w:eastAsia="zh-CN"/>
              </w:rPr>
            </w:pPr>
          </w:p>
          <w:p w14:paraId="4DEAF292">
            <w:pPr>
              <w:keepNext w:val="0"/>
              <w:keepLines w:val="0"/>
              <w:suppressLineNumbers w:val="0"/>
              <w:spacing w:before="0" w:beforeAutospacing="0" w:after="0" w:afterAutospacing="0"/>
              <w:ind w:left="0" w:right="0"/>
              <w:jc w:val="center"/>
              <w:rPr>
                <w:rFonts w:hint="eastAsia" w:ascii="宋体" w:hAnsi="宋体" w:eastAsia="宋体"/>
                <w:sz w:val="24"/>
                <w:szCs w:val="24"/>
                <w:u w:val="none"/>
                <w:vertAlign w:val="baseline"/>
                <w:lang w:val="en-US" w:eastAsia="zh-CN"/>
              </w:rPr>
            </w:pPr>
          </w:p>
          <w:p w14:paraId="5D29D4A6">
            <w:pPr>
              <w:keepNext w:val="0"/>
              <w:keepLines w:val="0"/>
              <w:suppressLineNumbers w:val="0"/>
              <w:spacing w:before="0" w:beforeAutospacing="0" w:after="0" w:afterAutospacing="0"/>
              <w:ind w:left="0" w:right="0"/>
              <w:jc w:val="center"/>
              <w:rPr>
                <w:rFonts w:hint="default" w:ascii="宋体" w:hAnsi="宋体" w:eastAsia="宋体"/>
                <w:sz w:val="24"/>
                <w:szCs w:val="24"/>
                <w:u w:val="none"/>
                <w:vertAlign w:val="baseline"/>
                <w:lang w:val="en-US" w:eastAsia="zh-CN"/>
              </w:rPr>
            </w:pPr>
            <w:r>
              <w:rPr>
                <w:rFonts w:hint="eastAsia" w:ascii="宋体" w:hAnsi="宋体" w:eastAsia="宋体"/>
                <w:sz w:val="24"/>
                <w:szCs w:val="24"/>
                <w:u w:val="none"/>
                <w:vertAlign w:val="baseline"/>
                <w:lang w:val="en-US" w:eastAsia="zh-CN"/>
              </w:rPr>
              <w:t>身份证正面</w:t>
            </w:r>
          </w:p>
        </w:tc>
        <w:tc>
          <w:tcPr>
            <w:tcW w:w="4261" w:type="dxa"/>
          </w:tcPr>
          <w:p w14:paraId="5475F978">
            <w:pPr>
              <w:keepNext w:val="0"/>
              <w:keepLines w:val="0"/>
              <w:suppressLineNumbers w:val="0"/>
              <w:spacing w:before="0" w:beforeAutospacing="0" w:after="0" w:afterAutospacing="0"/>
              <w:ind w:left="0" w:right="0"/>
              <w:jc w:val="center"/>
              <w:rPr>
                <w:rFonts w:hint="eastAsia" w:ascii="宋体" w:hAnsi="宋体" w:eastAsia="宋体"/>
                <w:sz w:val="24"/>
                <w:szCs w:val="24"/>
                <w:u w:val="none"/>
                <w:vertAlign w:val="baseline"/>
                <w:lang w:val="en-US" w:eastAsia="zh-CN"/>
              </w:rPr>
            </w:pPr>
          </w:p>
          <w:p w14:paraId="42C8044C">
            <w:pPr>
              <w:keepNext w:val="0"/>
              <w:keepLines w:val="0"/>
              <w:suppressLineNumbers w:val="0"/>
              <w:spacing w:before="0" w:beforeAutospacing="0" w:after="0" w:afterAutospacing="0"/>
              <w:ind w:left="0" w:right="0"/>
              <w:jc w:val="center"/>
              <w:rPr>
                <w:rFonts w:hint="eastAsia" w:ascii="宋体" w:hAnsi="宋体" w:eastAsia="宋体"/>
                <w:sz w:val="24"/>
                <w:szCs w:val="24"/>
                <w:u w:val="none"/>
                <w:vertAlign w:val="baseline"/>
                <w:lang w:val="en-US" w:eastAsia="zh-CN"/>
              </w:rPr>
            </w:pPr>
          </w:p>
          <w:p w14:paraId="61D6FE66">
            <w:pPr>
              <w:keepNext w:val="0"/>
              <w:keepLines w:val="0"/>
              <w:suppressLineNumbers w:val="0"/>
              <w:spacing w:before="0" w:beforeAutospacing="0" w:after="0" w:afterAutospacing="0"/>
              <w:ind w:left="0" w:right="0"/>
              <w:jc w:val="center"/>
              <w:rPr>
                <w:rFonts w:hint="default" w:ascii="宋体" w:hAnsi="宋体" w:eastAsia="宋体"/>
                <w:sz w:val="24"/>
                <w:szCs w:val="24"/>
                <w:u w:val="none"/>
                <w:vertAlign w:val="baseline"/>
                <w:lang w:val="en-US" w:eastAsia="zh-CN"/>
              </w:rPr>
            </w:pPr>
            <w:r>
              <w:rPr>
                <w:rFonts w:hint="eastAsia" w:ascii="宋体" w:hAnsi="宋体" w:eastAsia="宋体"/>
                <w:sz w:val="24"/>
                <w:szCs w:val="24"/>
                <w:u w:val="none"/>
                <w:vertAlign w:val="baseline"/>
                <w:lang w:val="en-US" w:eastAsia="zh-CN"/>
              </w:rPr>
              <w:t>身份证反面</w:t>
            </w:r>
          </w:p>
        </w:tc>
      </w:tr>
    </w:tbl>
    <w:p w14:paraId="7F221E50">
      <w:pPr>
        <w:jc w:val="center"/>
        <w:rPr>
          <w:rFonts w:hint="eastAsia" w:ascii="宋体" w:hAnsi="宋体" w:eastAsia="宋体"/>
          <w:sz w:val="24"/>
          <w:szCs w:val="24"/>
          <w:u w:val="none"/>
          <w:lang w:val="en-US" w:eastAsia="zh-CN"/>
        </w:rPr>
      </w:pPr>
    </w:p>
    <w:p w14:paraId="49AF7BAE">
      <w:pPr>
        <w:jc w:val="center"/>
        <w:rPr>
          <w:rFonts w:hint="eastAsia" w:ascii="宋体" w:hAnsi="宋体" w:eastAsia="宋体"/>
          <w:sz w:val="24"/>
          <w:szCs w:val="24"/>
          <w:u w:val="none"/>
          <w:lang w:val="en-US" w:eastAsia="zh-CN"/>
        </w:rPr>
      </w:pPr>
    </w:p>
    <w:p w14:paraId="0E80B373">
      <w:pPr>
        <w:rPr>
          <w:rFonts w:hint="default" w:ascii="宋体" w:hAnsi="宋体" w:eastAsia="宋体"/>
          <w:sz w:val="24"/>
          <w:szCs w:val="24"/>
          <w:u w:val="none"/>
          <w:lang w:val="en-US" w:eastAsia="zh-CN"/>
        </w:rPr>
      </w:pPr>
      <w:r>
        <w:rPr>
          <w:rFonts w:hint="eastAsia" w:ascii="宋体" w:hAnsi="宋体" w:eastAsia="宋体"/>
          <w:sz w:val="24"/>
          <w:szCs w:val="24"/>
          <w:u w:val="none"/>
          <w:lang w:val="en-US" w:eastAsia="zh-CN"/>
        </w:rPr>
        <w:t xml:space="preserve"> </w:t>
      </w:r>
    </w:p>
    <w:p w14:paraId="18C58E97">
      <w:pPr>
        <w:rPr>
          <w:rFonts w:hint="eastAsia" w:ascii="宋体" w:hAnsi="宋体" w:eastAsia="宋体"/>
          <w:sz w:val="24"/>
          <w:szCs w:val="24"/>
          <w:u w:val="none"/>
          <w:lang w:val="en-US" w:eastAsia="zh-CN"/>
        </w:rPr>
      </w:pPr>
    </w:p>
    <w:p w14:paraId="3145EB53">
      <w:pPr>
        <w:ind w:firstLine="2400" w:firstLineChars="1000"/>
        <w:rPr>
          <w:rFonts w:hint="eastAsia" w:ascii="宋体" w:hAnsi="宋体" w:eastAsia="宋体"/>
          <w:sz w:val="24"/>
          <w:szCs w:val="24"/>
          <w:u w:val="none"/>
          <w:lang w:val="en-US" w:eastAsia="zh-CN"/>
        </w:rPr>
      </w:pPr>
      <w:r>
        <w:rPr>
          <w:rFonts w:hint="eastAsia" w:ascii="宋体" w:hAnsi="宋体" w:eastAsia="宋体"/>
          <w:sz w:val="24"/>
          <w:szCs w:val="24"/>
          <w:u w:val="none"/>
          <w:lang w:val="en-US" w:eastAsia="zh-CN"/>
        </w:rPr>
        <w:t>供应商：</w:t>
      </w:r>
      <w:r>
        <w:rPr>
          <w:rFonts w:hint="eastAsia" w:ascii="宋体" w:hAnsi="宋体" w:eastAsia="宋体"/>
          <w:sz w:val="24"/>
          <w:szCs w:val="24"/>
          <w:u w:val="single"/>
          <w:lang w:val="en-US" w:eastAsia="zh-CN"/>
        </w:rPr>
        <w:t xml:space="preserve">                       </w:t>
      </w:r>
      <w:r>
        <w:rPr>
          <w:rFonts w:hint="eastAsia" w:ascii="宋体" w:hAnsi="宋体" w:eastAsia="宋体"/>
          <w:sz w:val="24"/>
          <w:szCs w:val="24"/>
          <w:u w:val="none"/>
          <w:lang w:val="en-US" w:eastAsia="zh-CN"/>
        </w:rPr>
        <w:t>（单位公章）</w:t>
      </w:r>
    </w:p>
    <w:p w14:paraId="48567A9B">
      <w:pPr>
        <w:ind w:firstLine="2400" w:firstLineChars="1000"/>
        <w:rPr>
          <w:rFonts w:hint="eastAsia" w:ascii="宋体" w:hAnsi="宋体" w:eastAsia="宋体"/>
          <w:sz w:val="24"/>
          <w:szCs w:val="24"/>
          <w:u w:val="none"/>
          <w:lang w:val="en-US" w:eastAsia="zh-CN"/>
        </w:rPr>
      </w:pPr>
    </w:p>
    <w:p w14:paraId="277FE338">
      <w:pPr>
        <w:rPr>
          <w:rFonts w:hint="eastAsia" w:ascii="宋体" w:hAnsi="宋体" w:eastAsia="宋体"/>
          <w:sz w:val="24"/>
          <w:szCs w:val="24"/>
          <w:u w:val="none"/>
          <w:lang w:val="en-US" w:eastAsia="zh-CN"/>
        </w:rPr>
      </w:pPr>
    </w:p>
    <w:p w14:paraId="262A3B13">
      <w:pPr>
        <w:ind w:firstLine="3840" w:firstLineChars="1600"/>
        <w:rPr>
          <w:rFonts w:hint="default" w:ascii="宋体" w:hAnsi="宋体" w:eastAsia="宋体"/>
          <w:sz w:val="24"/>
          <w:szCs w:val="24"/>
          <w:u w:val="none"/>
          <w:lang w:val="en-US" w:eastAsia="zh-CN"/>
        </w:rPr>
      </w:pPr>
      <w:r>
        <w:rPr>
          <w:rFonts w:hint="eastAsia" w:ascii="宋体" w:hAnsi="宋体" w:eastAsia="宋体"/>
          <w:sz w:val="24"/>
          <w:szCs w:val="24"/>
          <w:u w:val="single"/>
          <w:lang w:val="en-US" w:eastAsia="zh-CN"/>
        </w:rPr>
        <w:t xml:space="preserve">      </w:t>
      </w:r>
      <w:r>
        <w:rPr>
          <w:rFonts w:hint="eastAsia" w:ascii="宋体" w:hAnsi="宋体" w:eastAsia="宋体"/>
          <w:sz w:val="24"/>
          <w:szCs w:val="24"/>
          <w:u w:val="none"/>
          <w:lang w:val="en-US" w:eastAsia="zh-CN"/>
        </w:rPr>
        <w:t>年</w:t>
      </w:r>
      <w:r>
        <w:rPr>
          <w:rFonts w:hint="eastAsia" w:ascii="宋体" w:hAnsi="宋体" w:eastAsia="宋体"/>
          <w:sz w:val="24"/>
          <w:szCs w:val="24"/>
          <w:u w:val="single"/>
          <w:lang w:val="en-US" w:eastAsia="zh-CN"/>
        </w:rPr>
        <w:t xml:space="preserve">      </w:t>
      </w:r>
      <w:r>
        <w:rPr>
          <w:rFonts w:hint="eastAsia" w:ascii="宋体" w:hAnsi="宋体" w:eastAsia="宋体"/>
          <w:sz w:val="24"/>
          <w:szCs w:val="24"/>
          <w:u w:val="none"/>
          <w:lang w:val="en-US" w:eastAsia="zh-CN"/>
        </w:rPr>
        <w:t>月</w:t>
      </w:r>
      <w:r>
        <w:rPr>
          <w:rFonts w:hint="eastAsia" w:ascii="宋体" w:hAnsi="宋体" w:eastAsia="宋体"/>
          <w:sz w:val="24"/>
          <w:szCs w:val="24"/>
          <w:u w:val="single"/>
          <w:lang w:val="en-US" w:eastAsia="zh-CN"/>
        </w:rPr>
        <w:t xml:space="preserve">      </w:t>
      </w:r>
      <w:r>
        <w:rPr>
          <w:rFonts w:hint="eastAsia" w:ascii="宋体" w:hAnsi="宋体" w:eastAsia="宋体"/>
          <w:sz w:val="24"/>
          <w:szCs w:val="24"/>
          <w:u w:val="none"/>
          <w:lang w:val="en-US" w:eastAsia="zh-CN"/>
        </w:rPr>
        <w:t xml:space="preserve"> 日</w:t>
      </w:r>
    </w:p>
    <w:p w14:paraId="7E23FBDC">
      <w:pPr>
        <w:rPr>
          <w:rFonts w:hint="default" w:ascii="宋体" w:hAnsi="宋体" w:eastAsia="宋体"/>
          <w:sz w:val="24"/>
          <w:szCs w:val="24"/>
          <w:lang w:val="en-US" w:eastAsia="zh-CN"/>
        </w:rPr>
      </w:pPr>
      <w:r>
        <w:rPr>
          <w:rFonts w:hint="eastAsia" w:ascii="宋体" w:hAnsi="宋体" w:eastAsia="宋体"/>
          <w:sz w:val="24"/>
          <w:szCs w:val="24"/>
          <w:lang w:val="en-US" w:eastAsia="zh-CN"/>
        </w:rPr>
        <w:t xml:space="preserve">   </w:t>
      </w:r>
    </w:p>
    <w:p w14:paraId="0D521EE4">
      <w:pPr>
        <w:rPr>
          <w:rFonts w:ascii="宋体" w:hAnsi="宋体" w:eastAsia="宋体"/>
          <w:sz w:val="24"/>
          <w:szCs w:val="24"/>
          <w:lang w:val="zh-CN"/>
        </w:rPr>
      </w:pPr>
    </w:p>
    <w:p w14:paraId="4D81CE9D">
      <w:pPr>
        <w:rPr>
          <w:rFonts w:ascii="宋体" w:hAnsi="宋体" w:eastAsia="宋体"/>
          <w:sz w:val="24"/>
          <w:szCs w:val="24"/>
          <w:lang w:val="zh-CN"/>
        </w:rPr>
      </w:pPr>
    </w:p>
    <w:p w14:paraId="5501410E">
      <w:pPr>
        <w:rPr>
          <w:rFonts w:ascii="宋体" w:hAnsi="宋体" w:eastAsia="宋体"/>
          <w:sz w:val="24"/>
          <w:szCs w:val="24"/>
          <w:lang w:val="zh-CN"/>
        </w:rPr>
      </w:pPr>
    </w:p>
    <w:p w14:paraId="5E46E956">
      <w:pPr>
        <w:rPr>
          <w:rFonts w:ascii="宋体" w:hAnsi="宋体" w:eastAsia="宋体"/>
          <w:sz w:val="24"/>
          <w:szCs w:val="24"/>
          <w:lang w:val="zh-CN"/>
        </w:rPr>
      </w:pPr>
    </w:p>
    <w:p w14:paraId="1D8C86ED">
      <w:pPr>
        <w:rPr>
          <w:rFonts w:ascii="宋体" w:hAnsi="宋体" w:eastAsia="宋体"/>
          <w:sz w:val="24"/>
          <w:szCs w:val="24"/>
          <w:lang w:val="zh-CN"/>
        </w:rPr>
      </w:pPr>
    </w:p>
    <w:p w14:paraId="4CFD481A">
      <w:pPr>
        <w:numPr>
          <w:ilvl w:val="0"/>
          <w:numId w:val="4"/>
        </w:numPr>
        <w:spacing w:line="360" w:lineRule="auto"/>
        <w:jc w:val="both"/>
        <w:rPr>
          <w:rFonts w:hint="eastAsia" w:ascii="宋体" w:hAnsi="宋体" w:eastAsia="宋体" w:cs="宋体"/>
          <w:b/>
          <w:bCs/>
          <w:color w:val="000000"/>
          <w:kern w:val="2"/>
          <w:sz w:val="30"/>
          <w:szCs w:val="30"/>
          <w:lang w:val="en-US" w:eastAsia="zh-CN" w:bidi="ar-SA"/>
        </w:rPr>
      </w:pPr>
      <w:r>
        <w:rPr>
          <w:rFonts w:hint="eastAsia" w:ascii="宋体" w:hAnsi="宋体" w:eastAsia="宋体" w:cs="宋体"/>
          <w:b/>
          <w:bCs/>
          <w:color w:val="000000"/>
          <w:kern w:val="2"/>
          <w:sz w:val="30"/>
          <w:szCs w:val="30"/>
          <w:lang w:val="en-US" w:eastAsia="zh-CN" w:bidi="ar-SA"/>
        </w:rPr>
        <w:t>授权委托书</w:t>
      </w:r>
    </w:p>
    <w:p w14:paraId="13617A08">
      <w:pPr>
        <w:numPr>
          <w:ilvl w:val="0"/>
          <w:numId w:val="0"/>
        </w:numPr>
        <w:spacing w:line="360" w:lineRule="auto"/>
        <w:jc w:val="both"/>
        <w:rPr>
          <w:rFonts w:hint="eastAsia" w:ascii="宋体" w:hAnsi="宋体" w:eastAsia="宋体" w:cs="宋体"/>
          <w:b/>
          <w:bCs/>
          <w:color w:val="000000"/>
          <w:kern w:val="2"/>
          <w:sz w:val="30"/>
          <w:szCs w:val="30"/>
          <w:lang w:val="en-US" w:eastAsia="zh-CN" w:bidi="ar-SA"/>
        </w:rPr>
      </w:pPr>
    </w:p>
    <w:p w14:paraId="6678B273">
      <w:pPr>
        <w:spacing w:line="360" w:lineRule="auto"/>
        <w:ind w:firstLine="420"/>
        <w:jc w:val="center"/>
        <w:rPr>
          <w:rFonts w:ascii="宋体" w:hAnsi="宋体" w:eastAsia="宋体"/>
          <w:sz w:val="24"/>
          <w:szCs w:val="24"/>
        </w:rPr>
      </w:pPr>
      <w:r>
        <w:rPr>
          <w:rFonts w:ascii="宋体" w:hAnsi="宋体" w:eastAsia="宋体"/>
          <w:sz w:val="24"/>
          <w:szCs w:val="24"/>
        </w:rPr>
        <w:t>授权委托人身份证明</w:t>
      </w:r>
    </w:p>
    <w:p w14:paraId="6B9B8080">
      <w:pPr>
        <w:spacing w:line="360" w:lineRule="auto"/>
        <w:rPr>
          <w:rFonts w:hint="default" w:ascii="宋体" w:hAnsi="宋体" w:eastAsia="宋体"/>
          <w:sz w:val="24"/>
          <w:szCs w:val="24"/>
          <w:lang w:val="en-US" w:eastAsia="zh-CN"/>
        </w:rPr>
      </w:pPr>
      <w:r>
        <w:rPr>
          <w:rFonts w:hint="eastAsia" w:ascii="宋体" w:hAnsi="宋体" w:eastAsia="宋体"/>
          <w:sz w:val="24"/>
          <w:szCs w:val="24"/>
          <w:lang w:val="en-US" w:eastAsia="zh-CN"/>
        </w:rPr>
        <w:t>鄂尔多斯市中心医院：</w:t>
      </w:r>
    </w:p>
    <w:p w14:paraId="5D0F4611">
      <w:pPr>
        <w:spacing w:line="360" w:lineRule="auto"/>
        <w:ind w:firstLine="480" w:firstLineChars="200"/>
        <w:rPr>
          <w:rFonts w:hint="default" w:ascii="宋体" w:hAnsi="宋体" w:eastAsia="宋体"/>
          <w:sz w:val="24"/>
          <w:szCs w:val="24"/>
          <w:lang w:val="en-US" w:eastAsia="zh-CN"/>
        </w:rPr>
      </w:pPr>
      <w:r>
        <w:rPr>
          <w:rFonts w:hint="eastAsia" w:ascii="宋体" w:hAnsi="宋体" w:eastAsia="宋体"/>
          <w:sz w:val="24"/>
          <w:szCs w:val="24"/>
          <w:lang w:val="en-US" w:eastAsia="zh-CN"/>
        </w:rPr>
        <w:t>兹委托我单位</w:t>
      </w:r>
      <w:r>
        <w:rPr>
          <w:rFonts w:hint="eastAsia" w:ascii="宋体" w:hAnsi="宋体" w:eastAsia="宋体"/>
          <w:sz w:val="24"/>
          <w:szCs w:val="24"/>
          <w:u w:val="single"/>
          <w:lang w:val="en-US" w:eastAsia="zh-CN"/>
        </w:rPr>
        <w:t xml:space="preserve">    姓名    </w:t>
      </w:r>
      <w:r>
        <w:rPr>
          <w:rFonts w:hint="eastAsia" w:ascii="宋体" w:hAnsi="宋体" w:eastAsia="宋体"/>
          <w:sz w:val="24"/>
          <w:szCs w:val="24"/>
          <w:lang w:val="en-US" w:eastAsia="zh-CN"/>
        </w:rPr>
        <w:t>参加贵单位组织的</w:t>
      </w:r>
      <w:r>
        <w:rPr>
          <w:rFonts w:hint="eastAsia" w:ascii="宋体" w:hAnsi="宋体" w:eastAsia="宋体"/>
          <w:sz w:val="24"/>
          <w:szCs w:val="24"/>
          <w:u w:val="single"/>
          <w:lang w:val="en-US" w:eastAsia="zh-CN"/>
        </w:rPr>
        <w:t xml:space="preserve"> </w:t>
      </w:r>
      <w:r>
        <w:rPr>
          <w:rFonts w:hint="eastAsia" w:ascii="宋体" w:hAnsi="宋体" w:eastAsia="宋体" w:cs="宋体"/>
          <w:b w:val="0"/>
          <w:bCs w:val="0"/>
          <w:i w:val="0"/>
          <w:caps w:val="0"/>
          <w:color w:val="auto"/>
          <w:spacing w:val="0"/>
          <w:sz w:val="24"/>
          <w:szCs w:val="24"/>
          <w:u w:val="single"/>
          <w:lang w:val="en-US" w:eastAsia="zh-CN"/>
        </w:rPr>
        <w:t>项目名称</w:t>
      </w:r>
      <w:r>
        <w:rPr>
          <w:rFonts w:hint="eastAsia" w:ascii="宋体" w:hAnsi="宋体" w:eastAsia="宋体"/>
          <w:sz w:val="24"/>
          <w:szCs w:val="24"/>
          <w:lang w:val="en-US" w:eastAsia="zh-CN"/>
        </w:rPr>
        <w:t>,委托人全权代表我单位处理本项目的报名、投标等工作。我单位对委托代理人签署的内容负全部责任。签署的文件等内容不因授权的撤销而失效，委托人无转委托权。特此委托。</w:t>
      </w:r>
    </w:p>
    <w:p w14:paraId="0024B2E7">
      <w:pPr>
        <w:spacing w:line="360" w:lineRule="auto"/>
        <w:rPr>
          <w:rFonts w:hint="default" w:ascii="宋体" w:hAnsi="宋体" w:eastAsia="宋体"/>
          <w:sz w:val="24"/>
          <w:szCs w:val="24"/>
          <w:lang w:val="en-US" w:eastAsia="zh-CN"/>
        </w:rPr>
      </w:pPr>
      <w:r>
        <w:rPr>
          <w:rFonts w:hint="eastAsia" w:ascii="宋体" w:hAnsi="宋体" w:eastAsia="宋体"/>
          <w:sz w:val="24"/>
          <w:szCs w:val="24"/>
          <w:lang w:val="en-US" w:eastAsia="zh-CN"/>
        </w:rPr>
        <w:t xml:space="preserve">    </w:t>
      </w:r>
    </w:p>
    <w:p w14:paraId="7DA79799">
      <w:pPr>
        <w:tabs>
          <w:tab w:val="left" w:pos="5046"/>
        </w:tabs>
        <w:spacing w:line="360" w:lineRule="auto"/>
        <w:rPr>
          <w:rFonts w:hint="eastAsia" w:ascii="宋体" w:hAnsi="宋体" w:eastAsia="宋体"/>
          <w:sz w:val="24"/>
          <w:szCs w:val="24"/>
          <w:lang w:eastAsia="zh-CN"/>
        </w:rPr>
      </w:pPr>
      <w:r>
        <w:rPr>
          <w:sz w:val="24"/>
        </w:rPr>
        <mc:AlternateContent>
          <mc:Choice Requires="wps">
            <w:drawing>
              <wp:anchor distT="0" distB="0" distL="114300" distR="114300" simplePos="0" relativeHeight="251661312" behindDoc="0" locked="0" layoutInCell="1" allowOverlap="1">
                <wp:simplePos x="0" y="0"/>
                <wp:positionH relativeFrom="column">
                  <wp:posOffset>3042285</wp:posOffset>
                </wp:positionH>
                <wp:positionV relativeFrom="paragraph">
                  <wp:posOffset>40005</wp:posOffset>
                </wp:positionV>
                <wp:extent cx="2343150" cy="1447165"/>
                <wp:effectExtent l="4445" t="5080" r="14605" b="14605"/>
                <wp:wrapNone/>
                <wp:docPr id="3" name="文本框 3"/>
                <wp:cNvGraphicFramePr/>
                <a:graphic xmlns:a="http://schemas.openxmlformats.org/drawingml/2006/main">
                  <a:graphicData uri="http://schemas.microsoft.com/office/word/2010/wordprocessingShape">
                    <wps:wsp>
                      <wps:cNvSpPr txBox="1"/>
                      <wps:spPr>
                        <a:xfrm>
                          <a:off x="4366260" y="3373120"/>
                          <a:ext cx="2343150" cy="1447165"/>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14:paraId="75A2B951">
                            <w:pPr>
                              <w:rPr>
                                <w:rFonts w:hint="eastAsia"/>
                                <w:lang w:val="en-US" w:eastAsia="zh-CN"/>
                              </w:rPr>
                            </w:pPr>
                          </w:p>
                          <w:p w14:paraId="66A9F433">
                            <w:pPr>
                              <w:rPr>
                                <w:rFonts w:hint="eastAsia"/>
                                <w:lang w:val="en-US" w:eastAsia="zh-CN"/>
                              </w:rPr>
                            </w:pPr>
                          </w:p>
                          <w:p w14:paraId="32CFCCCE">
                            <w:pPr>
                              <w:rPr>
                                <w:rFonts w:hint="eastAsia"/>
                                <w:lang w:val="en-US" w:eastAsia="zh-CN"/>
                              </w:rPr>
                            </w:pPr>
                          </w:p>
                          <w:p w14:paraId="2A4DFF5C">
                            <w:pPr>
                              <w:ind w:firstLine="960" w:firstLineChars="4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委托人身份证正面</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39.55pt;margin-top:3.15pt;height:113.95pt;width:184.5pt;z-index:251661312;mso-width-relative:page;mso-height-relative:page;" fillcolor="#FFFFFF [3201]" filled="t" stroked="t" coordsize="21600,21600" o:gfxdata="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">
                <v:fill on="t" focussize="0,0"/>
                <v:stroke weight="0.5pt" color="#000000 [3204]" joinstyle="round"/>
                <v:imagedata o:title=""/>
                <o:lock v:ext="edit" aspectratio="f"/>
                <v:textbox>
                  <w:txbxContent>
                    <w:p w14:paraId="75A2B951">
                      <w:pPr>
                        <w:rPr>
                          <w:rFonts w:hint="eastAsia"/>
                          <w:lang w:val="en-US" w:eastAsia="zh-CN"/>
                        </w:rPr>
                      </w:pPr>
                    </w:p>
                    <w:p w14:paraId="66A9F433">
                      <w:pPr>
                        <w:rPr>
                          <w:rFonts w:hint="eastAsia"/>
                          <w:lang w:val="en-US" w:eastAsia="zh-CN"/>
                        </w:rPr>
                      </w:pPr>
                    </w:p>
                    <w:p w14:paraId="32CFCCCE">
                      <w:pPr>
                        <w:rPr>
                          <w:rFonts w:hint="eastAsia"/>
                          <w:lang w:val="en-US" w:eastAsia="zh-CN"/>
                        </w:rPr>
                      </w:pPr>
                    </w:p>
                    <w:p w14:paraId="2A4DFF5C">
                      <w:pPr>
                        <w:ind w:firstLine="960" w:firstLineChars="4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委托人身份证正面</w:t>
                      </w:r>
                    </w:p>
                  </w:txbxContent>
                </v:textbox>
              </v:shape>
            </w:pict>
          </mc:Fallback>
        </mc:AlternateContent>
      </w:r>
      <w:r>
        <w:rPr>
          <w:sz w:val="24"/>
        </w:rPr>
        <mc:AlternateContent>
          <mc:Choice Requires="wps">
            <w:drawing>
              <wp:anchor distT="0" distB="0" distL="114300" distR="114300" simplePos="0" relativeHeight="251659264" behindDoc="0" locked="0" layoutInCell="1" allowOverlap="1">
                <wp:simplePos x="0" y="0"/>
                <wp:positionH relativeFrom="column">
                  <wp:posOffset>-24765</wp:posOffset>
                </wp:positionH>
                <wp:positionV relativeFrom="paragraph">
                  <wp:posOffset>27940</wp:posOffset>
                </wp:positionV>
                <wp:extent cx="2428240" cy="1486535"/>
                <wp:effectExtent l="4445" t="4445" r="5715" b="13970"/>
                <wp:wrapNone/>
                <wp:docPr id="6" name="文本框 6"/>
                <wp:cNvGraphicFramePr/>
                <a:graphic xmlns:a="http://schemas.openxmlformats.org/drawingml/2006/main">
                  <a:graphicData uri="http://schemas.microsoft.com/office/word/2010/wordprocessingShape">
                    <wps:wsp>
                      <wps:cNvSpPr txBox="1"/>
                      <wps:spPr>
                        <a:xfrm>
                          <a:off x="1375410" y="3209290"/>
                          <a:ext cx="2428240" cy="1486535"/>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14:paraId="5C911E43">
                            <w:pPr>
                              <w:jc w:val="center"/>
                              <w:rPr>
                                <w:rFonts w:hint="eastAsia"/>
                                <w:lang w:val="en-US" w:eastAsia="zh-CN"/>
                              </w:rPr>
                            </w:pPr>
                          </w:p>
                          <w:p w14:paraId="34DB5572">
                            <w:pPr>
                              <w:jc w:val="center"/>
                              <w:rPr>
                                <w:rFonts w:hint="eastAsia"/>
                                <w:lang w:val="en-US" w:eastAsia="zh-CN"/>
                              </w:rPr>
                            </w:pPr>
                          </w:p>
                          <w:p w14:paraId="16C539E1">
                            <w:pPr>
                              <w:jc w:val="center"/>
                              <w:rPr>
                                <w:rFonts w:hint="eastAsia"/>
                                <w:lang w:val="en-US" w:eastAsia="zh-CN"/>
                              </w:rPr>
                            </w:pPr>
                          </w:p>
                          <w:p w14:paraId="41EA9FBC">
                            <w:pPr>
                              <w:jc w:val="center"/>
                              <w:rPr>
                                <w:rFonts w:hint="eastAsia" w:ascii="宋体" w:hAnsi="宋体" w:eastAsia="宋体" w:cs="宋体"/>
                                <w:sz w:val="24"/>
                                <w:szCs w:val="28"/>
                                <w:lang w:val="en-US" w:eastAsia="zh-CN"/>
                              </w:rPr>
                            </w:pPr>
                            <w:r>
                              <w:rPr>
                                <w:rFonts w:hint="eastAsia" w:ascii="宋体" w:hAnsi="宋体" w:eastAsia="宋体" w:cs="宋体"/>
                                <w:sz w:val="24"/>
                                <w:szCs w:val="28"/>
                                <w:lang w:val="en-US" w:eastAsia="zh-CN"/>
                              </w:rPr>
                              <w:t>授权人身份证正面</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95pt;margin-top:2.2pt;height:117.05pt;width:191.2pt;z-index:251659264;mso-width-relative:page;mso-height-relative:page;" fillcolor="#FFFFFF [3201]" filled="t" stroked="t" coordsize="21600,21600" o:gfxdata="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">
                <v:fill on="t" focussize="0,0"/>
                <v:stroke weight="0.5pt" color="#000000 [3204]" joinstyle="round"/>
                <v:imagedata o:title=""/>
                <o:lock v:ext="edit" aspectratio="f"/>
                <v:textbox>
                  <w:txbxContent>
                    <w:p w14:paraId="5C911E43">
                      <w:pPr>
                        <w:jc w:val="center"/>
                        <w:rPr>
                          <w:rFonts w:hint="eastAsia"/>
                          <w:lang w:val="en-US" w:eastAsia="zh-CN"/>
                        </w:rPr>
                      </w:pPr>
                    </w:p>
                    <w:p w14:paraId="34DB5572">
                      <w:pPr>
                        <w:jc w:val="center"/>
                        <w:rPr>
                          <w:rFonts w:hint="eastAsia"/>
                          <w:lang w:val="en-US" w:eastAsia="zh-CN"/>
                        </w:rPr>
                      </w:pPr>
                    </w:p>
                    <w:p w14:paraId="16C539E1">
                      <w:pPr>
                        <w:jc w:val="center"/>
                        <w:rPr>
                          <w:rFonts w:hint="eastAsia"/>
                          <w:lang w:val="en-US" w:eastAsia="zh-CN"/>
                        </w:rPr>
                      </w:pPr>
                    </w:p>
                    <w:p w14:paraId="41EA9FBC">
                      <w:pPr>
                        <w:jc w:val="center"/>
                        <w:rPr>
                          <w:rFonts w:hint="eastAsia" w:ascii="宋体" w:hAnsi="宋体" w:eastAsia="宋体" w:cs="宋体"/>
                          <w:sz w:val="24"/>
                          <w:szCs w:val="28"/>
                          <w:lang w:val="en-US" w:eastAsia="zh-CN"/>
                        </w:rPr>
                      </w:pPr>
                      <w:r>
                        <w:rPr>
                          <w:rFonts w:hint="eastAsia" w:ascii="宋体" w:hAnsi="宋体" w:eastAsia="宋体" w:cs="宋体"/>
                          <w:sz w:val="24"/>
                          <w:szCs w:val="28"/>
                          <w:lang w:val="en-US" w:eastAsia="zh-CN"/>
                        </w:rPr>
                        <w:t>授权人身份证正面</w:t>
                      </w:r>
                    </w:p>
                  </w:txbxContent>
                </v:textbox>
              </v:shape>
            </w:pict>
          </mc:Fallback>
        </mc:AlternateContent>
      </w:r>
      <w:r>
        <w:rPr>
          <w:rFonts w:hint="eastAsia" w:ascii="宋体" w:hAnsi="宋体" w:eastAsia="宋体"/>
          <w:sz w:val="24"/>
          <w:szCs w:val="24"/>
          <w:lang w:eastAsia="zh-CN"/>
        </w:rPr>
        <w:tab/>
      </w:r>
    </w:p>
    <w:p w14:paraId="76550F55">
      <w:pPr>
        <w:spacing w:line="360" w:lineRule="auto"/>
        <w:rPr>
          <w:rFonts w:ascii="宋体" w:hAnsi="宋体" w:eastAsia="宋体"/>
          <w:sz w:val="24"/>
          <w:szCs w:val="24"/>
        </w:rPr>
      </w:pPr>
    </w:p>
    <w:p w14:paraId="0A9C024F">
      <w:pPr>
        <w:spacing w:line="360" w:lineRule="auto"/>
        <w:rPr>
          <w:rFonts w:hint="eastAsia" w:ascii="宋体" w:hAnsi="宋体" w:eastAsia="宋体"/>
          <w:sz w:val="24"/>
          <w:szCs w:val="24"/>
          <w:lang w:val="en-US" w:eastAsia="zh-CN"/>
        </w:rPr>
      </w:pPr>
    </w:p>
    <w:p w14:paraId="06B651A5">
      <w:pPr>
        <w:spacing w:line="360" w:lineRule="auto"/>
        <w:rPr>
          <w:rFonts w:hint="eastAsia" w:ascii="宋体" w:hAnsi="宋体" w:eastAsia="宋体"/>
          <w:sz w:val="24"/>
          <w:szCs w:val="24"/>
          <w:lang w:val="en-US" w:eastAsia="zh-CN"/>
        </w:rPr>
      </w:pPr>
    </w:p>
    <w:p w14:paraId="67FC09C9">
      <w:pPr>
        <w:spacing w:line="360" w:lineRule="auto"/>
        <w:rPr>
          <w:rFonts w:hint="eastAsia" w:ascii="宋体" w:hAnsi="宋体" w:eastAsia="宋体"/>
          <w:sz w:val="24"/>
          <w:szCs w:val="24"/>
          <w:lang w:val="en-US" w:eastAsia="zh-CN"/>
        </w:rPr>
      </w:pPr>
    </w:p>
    <w:p w14:paraId="080BD170">
      <w:pPr>
        <w:spacing w:line="360" w:lineRule="auto"/>
        <w:rPr>
          <w:rFonts w:hint="eastAsia" w:ascii="宋体" w:hAnsi="宋体" w:eastAsia="宋体"/>
          <w:sz w:val="24"/>
          <w:szCs w:val="24"/>
          <w:lang w:val="en-US" w:eastAsia="zh-CN"/>
        </w:rPr>
      </w:pPr>
    </w:p>
    <w:p w14:paraId="5A19CC48">
      <w:pPr>
        <w:spacing w:line="360" w:lineRule="auto"/>
        <w:rPr>
          <w:rFonts w:hint="eastAsia" w:ascii="宋体" w:hAnsi="宋体" w:eastAsia="宋体"/>
          <w:sz w:val="24"/>
          <w:szCs w:val="24"/>
          <w:lang w:val="en-US" w:eastAsia="zh-CN"/>
        </w:rPr>
      </w:pPr>
    </w:p>
    <w:p w14:paraId="3EDCE123">
      <w:pPr>
        <w:spacing w:line="360" w:lineRule="auto"/>
        <w:rPr>
          <w:rFonts w:hint="eastAsia" w:ascii="宋体" w:hAnsi="宋体" w:eastAsia="宋体"/>
          <w:sz w:val="24"/>
          <w:szCs w:val="24"/>
          <w:lang w:val="en-US" w:eastAsia="zh-CN"/>
        </w:rPr>
      </w:pPr>
      <w:r>
        <w:rPr>
          <w:sz w:val="24"/>
        </w:rPr>
        <mc:AlternateContent>
          <mc:Choice Requires="wps">
            <w:drawing>
              <wp:anchor distT="0" distB="0" distL="114300" distR="114300" simplePos="0" relativeHeight="251662336" behindDoc="0" locked="0" layoutInCell="1" allowOverlap="1">
                <wp:simplePos x="0" y="0"/>
                <wp:positionH relativeFrom="column">
                  <wp:posOffset>3032760</wp:posOffset>
                </wp:positionH>
                <wp:positionV relativeFrom="paragraph">
                  <wp:posOffset>45085</wp:posOffset>
                </wp:positionV>
                <wp:extent cx="2371725" cy="1476375"/>
                <wp:effectExtent l="4445" t="4445" r="5080" b="5080"/>
                <wp:wrapNone/>
                <wp:docPr id="4" name="文本框 4"/>
                <wp:cNvGraphicFramePr/>
                <a:graphic xmlns:a="http://schemas.openxmlformats.org/drawingml/2006/main">
                  <a:graphicData uri="http://schemas.microsoft.com/office/word/2010/wordprocessingShape">
                    <wps:wsp>
                      <wps:cNvSpPr txBox="1"/>
                      <wps:spPr>
                        <a:xfrm>
                          <a:off x="4318635" y="5201920"/>
                          <a:ext cx="2371725" cy="1476375"/>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14:paraId="01F4C60F">
                            <w:pPr>
                              <w:rPr>
                                <w:rFonts w:hint="eastAsia"/>
                                <w:lang w:val="en-US" w:eastAsia="zh-CN"/>
                              </w:rPr>
                            </w:pPr>
                          </w:p>
                          <w:p w14:paraId="07D47AF8">
                            <w:pPr>
                              <w:rPr>
                                <w:rFonts w:hint="eastAsia"/>
                                <w:lang w:val="en-US" w:eastAsia="zh-CN"/>
                              </w:rPr>
                            </w:pPr>
                          </w:p>
                          <w:p w14:paraId="62BD0D05">
                            <w:pPr>
                              <w:rPr>
                                <w:rFonts w:hint="eastAsia"/>
                                <w:lang w:val="en-US" w:eastAsia="zh-CN"/>
                              </w:rPr>
                            </w:pPr>
                          </w:p>
                          <w:p w14:paraId="2C538664">
                            <w:pPr>
                              <w:ind w:firstLine="960" w:firstLineChars="400"/>
                              <w:rPr>
                                <w:rFonts w:hint="default" w:eastAsiaTheme="minorEastAsia"/>
                                <w:lang w:val="en-US" w:eastAsia="zh-CN"/>
                              </w:rPr>
                            </w:pPr>
                            <w:r>
                              <w:rPr>
                                <w:rFonts w:hint="eastAsia" w:ascii="宋体" w:hAnsi="宋体" w:eastAsia="宋体" w:cs="宋体"/>
                                <w:sz w:val="24"/>
                                <w:szCs w:val="24"/>
                                <w:lang w:val="en-US" w:eastAsia="zh-CN"/>
                              </w:rPr>
                              <w:t>委托人身份证反面</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38.8pt;margin-top:3.55pt;height:116.25pt;width:186.75pt;z-index:251662336;mso-width-relative:page;mso-height-relative:page;" fillcolor="#FFFFFF [3201]" filled="t" stroked="t" coordsize="21600,21600" o:gfxdata="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">
                <v:fill on="t" focussize="0,0"/>
                <v:stroke weight="0.5pt" color="#000000 [3204]" joinstyle="round"/>
                <v:imagedata o:title=""/>
                <o:lock v:ext="edit" aspectratio="f"/>
                <v:textbox>
                  <w:txbxContent>
                    <w:p w14:paraId="01F4C60F">
                      <w:pPr>
                        <w:rPr>
                          <w:rFonts w:hint="eastAsia"/>
                          <w:lang w:val="en-US" w:eastAsia="zh-CN"/>
                        </w:rPr>
                      </w:pPr>
                    </w:p>
                    <w:p w14:paraId="07D47AF8">
                      <w:pPr>
                        <w:rPr>
                          <w:rFonts w:hint="eastAsia"/>
                          <w:lang w:val="en-US" w:eastAsia="zh-CN"/>
                        </w:rPr>
                      </w:pPr>
                    </w:p>
                    <w:p w14:paraId="62BD0D05">
                      <w:pPr>
                        <w:rPr>
                          <w:rFonts w:hint="eastAsia"/>
                          <w:lang w:val="en-US" w:eastAsia="zh-CN"/>
                        </w:rPr>
                      </w:pPr>
                    </w:p>
                    <w:p w14:paraId="2C538664">
                      <w:pPr>
                        <w:ind w:firstLine="960" w:firstLineChars="400"/>
                        <w:rPr>
                          <w:rFonts w:hint="default" w:eastAsiaTheme="minorEastAsia"/>
                          <w:lang w:val="en-US" w:eastAsia="zh-CN"/>
                        </w:rPr>
                      </w:pPr>
                      <w:r>
                        <w:rPr>
                          <w:rFonts w:hint="eastAsia" w:ascii="宋体" w:hAnsi="宋体" w:eastAsia="宋体" w:cs="宋体"/>
                          <w:sz w:val="24"/>
                          <w:szCs w:val="24"/>
                          <w:lang w:val="en-US" w:eastAsia="zh-CN"/>
                        </w:rPr>
                        <w:t>委托人身份证反面</w:t>
                      </w:r>
                    </w:p>
                  </w:txbxContent>
                </v:textbox>
              </v:shape>
            </w:pict>
          </mc:Fallback>
        </mc:AlternateContent>
      </w:r>
      <w:r>
        <w:rPr>
          <w:sz w:val="24"/>
        </w:rPr>
        <mc:AlternateContent>
          <mc:Choice Requires="wps">
            <w:drawing>
              <wp:anchor distT="0" distB="0" distL="114300" distR="114300" simplePos="0" relativeHeight="251660288" behindDoc="0" locked="0" layoutInCell="1" allowOverlap="1">
                <wp:simplePos x="0" y="0"/>
                <wp:positionH relativeFrom="column">
                  <wp:posOffset>-24765</wp:posOffset>
                </wp:positionH>
                <wp:positionV relativeFrom="paragraph">
                  <wp:posOffset>24130</wp:posOffset>
                </wp:positionV>
                <wp:extent cx="2419350" cy="1486535"/>
                <wp:effectExtent l="4445" t="4445" r="14605" b="13970"/>
                <wp:wrapNone/>
                <wp:docPr id="2" name="文本框 2"/>
                <wp:cNvGraphicFramePr/>
                <a:graphic xmlns:a="http://schemas.openxmlformats.org/drawingml/2006/main">
                  <a:graphicData uri="http://schemas.microsoft.com/office/word/2010/wordprocessingShape">
                    <wps:wsp>
                      <wps:cNvSpPr txBox="1"/>
                      <wps:spPr>
                        <a:xfrm>
                          <a:off x="0" y="0"/>
                          <a:ext cx="2419350" cy="1486535"/>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14:paraId="174851FA">
                            <w:pPr>
                              <w:rPr>
                                <w:rFonts w:hint="eastAsia"/>
                                <w:lang w:val="en-US" w:eastAsia="zh-CN"/>
                              </w:rPr>
                            </w:pPr>
                          </w:p>
                          <w:p w14:paraId="2E9C02B2">
                            <w:pPr>
                              <w:rPr>
                                <w:rFonts w:hint="eastAsia"/>
                                <w:lang w:val="en-US" w:eastAsia="zh-CN"/>
                              </w:rPr>
                            </w:pPr>
                          </w:p>
                          <w:p w14:paraId="63F0E9D9">
                            <w:pPr>
                              <w:rPr>
                                <w:rFonts w:hint="eastAsia"/>
                                <w:lang w:val="en-US" w:eastAsia="zh-CN"/>
                              </w:rPr>
                            </w:pPr>
                          </w:p>
                          <w:p w14:paraId="7CA1D686">
                            <w:pPr>
                              <w:ind w:firstLine="720" w:firstLineChars="3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授权人身份证反面</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95pt;margin-top:1.9pt;height:117.05pt;width:190.5pt;z-index:251660288;mso-width-relative:page;mso-height-relative:page;" fillcolor="#FFFFFF [3201]" filled="t" stroked="t" coordsize="21600,21600" o:gfxdata="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">
                <v:fill on="t" focussize="0,0"/>
                <v:stroke weight="0.5pt" color="#000000 [3204]" joinstyle="round"/>
                <v:imagedata o:title=""/>
                <o:lock v:ext="edit" aspectratio="f"/>
                <v:textbox>
                  <w:txbxContent>
                    <w:p w14:paraId="174851FA">
                      <w:pPr>
                        <w:rPr>
                          <w:rFonts w:hint="eastAsia"/>
                          <w:lang w:val="en-US" w:eastAsia="zh-CN"/>
                        </w:rPr>
                      </w:pPr>
                    </w:p>
                    <w:p w14:paraId="2E9C02B2">
                      <w:pPr>
                        <w:rPr>
                          <w:rFonts w:hint="eastAsia"/>
                          <w:lang w:val="en-US" w:eastAsia="zh-CN"/>
                        </w:rPr>
                      </w:pPr>
                    </w:p>
                    <w:p w14:paraId="63F0E9D9">
                      <w:pPr>
                        <w:rPr>
                          <w:rFonts w:hint="eastAsia"/>
                          <w:lang w:val="en-US" w:eastAsia="zh-CN"/>
                        </w:rPr>
                      </w:pPr>
                    </w:p>
                    <w:p w14:paraId="7CA1D686">
                      <w:pPr>
                        <w:ind w:firstLine="720" w:firstLineChars="3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授权人身份证反面</w:t>
                      </w:r>
                    </w:p>
                  </w:txbxContent>
                </v:textbox>
              </v:shape>
            </w:pict>
          </mc:Fallback>
        </mc:AlternateContent>
      </w:r>
    </w:p>
    <w:p w14:paraId="5E4C12C6">
      <w:pPr>
        <w:spacing w:line="360" w:lineRule="auto"/>
        <w:rPr>
          <w:rFonts w:hint="eastAsia" w:ascii="宋体" w:hAnsi="宋体" w:eastAsia="宋体"/>
          <w:sz w:val="24"/>
          <w:szCs w:val="24"/>
          <w:lang w:val="en-US" w:eastAsia="zh-CN"/>
        </w:rPr>
      </w:pPr>
    </w:p>
    <w:p w14:paraId="3F4C08EC">
      <w:pPr>
        <w:spacing w:line="360" w:lineRule="auto"/>
        <w:rPr>
          <w:rFonts w:hint="eastAsia" w:ascii="宋体" w:hAnsi="宋体" w:eastAsia="宋体"/>
          <w:sz w:val="24"/>
          <w:szCs w:val="24"/>
          <w:lang w:val="en-US" w:eastAsia="zh-CN"/>
        </w:rPr>
      </w:pPr>
    </w:p>
    <w:p w14:paraId="508A5648">
      <w:pPr>
        <w:spacing w:line="360" w:lineRule="auto"/>
        <w:rPr>
          <w:rFonts w:hint="eastAsia" w:ascii="宋体" w:hAnsi="宋体" w:eastAsia="宋体"/>
          <w:sz w:val="24"/>
          <w:szCs w:val="24"/>
          <w:lang w:val="en-US" w:eastAsia="zh-CN"/>
        </w:rPr>
      </w:pPr>
    </w:p>
    <w:p w14:paraId="4E66DBE9">
      <w:pPr>
        <w:spacing w:line="360" w:lineRule="auto"/>
        <w:rPr>
          <w:rFonts w:hint="eastAsia" w:ascii="宋体" w:hAnsi="宋体" w:eastAsia="宋体"/>
          <w:sz w:val="24"/>
          <w:szCs w:val="24"/>
          <w:lang w:val="en-US" w:eastAsia="zh-CN"/>
        </w:rPr>
      </w:pPr>
    </w:p>
    <w:p w14:paraId="73DD0E00">
      <w:pPr>
        <w:spacing w:line="360" w:lineRule="auto"/>
        <w:rPr>
          <w:rFonts w:hint="eastAsia" w:ascii="宋体" w:hAnsi="宋体" w:eastAsia="宋体"/>
          <w:sz w:val="24"/>
          <w:szCs w:val="24"/>
          <w:lang w:val="en-US" w:eastAsia="zh-CN"/>
        </w:rPr>
      </w:pPr>
    </w:p>
    <w:p w14:paraId="69E81067">
      <w:pPr>
        <w:spacing w:line="360" w:lineRule="auto"/>
        <w:rPr>
          <w:rFonts w:ascii="宋体" w:hAnsi="宋体" w:eastAsia="宋体"/>
          <w:sz w:val="24"/>
          <w:szCs w:val="24"/>
        </w:rPr>
      </w:pPr>
      <w:r>
        <w:rPr>
          <w:rFonts w:hint="eastAsia" w:ascii="宋体" w:hAnsi="宋体" w:eastAsia="宋体"/>
          <w:sz w:val="24"/>
          <w:szCs w:val="24"/>
          <w:lang w:val="en-US" w:eastAsia="zh-CN"/>
        </w:rPr>
        <w:t>投标人</w:t>
      </w:r>
      <w:r>
        <w:rPr>
          <w:rFonts w:ascii="宋体" w:hAnsi="宋体" w:eastAsia="宋体"/>
          <w:sz w:val="24"/>
          <w:szCs w:val="24"/>
        </w:rPr>
        <w:t>：</w:t>
      </w:r>
      <w:r>
        <w:rPr>
          <w:rFonts w:hint="eastAsia" w:ascii="宋体" w:hAnsi="宋体" w:eastAsia="宋体"/>
          <w:sz w:val="24"/>
          <w:szCs w:val="24"/>
        </w:rPr>
        <w:t>_____</w:t>
      </w:r>
      <w:r>
        <w:rPr>
          <w:rFonts w:ascii="宋体" w:hAnsi="宋体" w:eastAsia="宋体"/>
          <w:sz w:val="24"/>
          <w:szCs w:val="24"/>
        </w:rPr>
        <w:t>（盖单位章）</w:t>
      </w:r>
    </w:p>
    <w:p w14:paraId="0DC96716">
      <w:pPr>
        <w:spacing w:line="360" w:lineRule="auto"/>
        <w:rPr>
          <w:rFonts w:hint="eastAsia" w:ascii="宋体" w:hAnsi="宋体" w:eastAsia="宋体"/>
          <w:sz w:val="24"/>
          <w:szCs w:val="24"/>
          <w:lang w:val="en-US" w:eastAsia="zh-CN"/>
        </w:rPr>
      </w:pPr>
    </w:p>
    <w:p w14:paraId="37B95C99">
      <w:pPr>
        <w:spacing w:line="360" w:lineRule="auto"/>
        <w:rPr>
          <w:rFonts w:hint="default" w:ascii="宋体" w:hAnsi="宋体" w:eastAsia="宋体"/>
          <w:sz w:val="24"/>
          <w:szCs w:val="24"/>
          <w:u w:val="single"/>
          <w:lang w:val="en-US" w:eastAsia="zh-CN"/>
        </w:rPr>
      </w:pPr>
      <w:r>
        <w:rPr>
          <w:rFonts w:hint="eastAsia" w:ascii="宋体" w:hAnsi="宋体" w:eastAsia="宋体"/>
          <w:sz w:val="24"/>
          <w:szCs w:val="24"/>
          <w:lang w:val="en-US" w:eastAsia="zh-CN"/>
        </w:rPr>
        <w:t>法定代表人签字：</w:t>
      </w:r>
      <w:r>
        <w:rPr>
          <w:rFonts w:hint="eastAsia" w:ascii="宋体" w:hAnsi="宋体" w:eastAsia="宋体"/>
          <w:sz w:val="24"/>
          <w:szCs w:val="24"/>
          <w:u w:val="single"/>
          <w:lang w:val="en-US" w:eastAsia="zh-CN"/>
        </w:rPr>
        <w:t xml:space="preserve">             </w:t>
      </w:r>
    </w:p>
    <w:p w14:paraId="79A511CC">
      <w:pPr>
        <w:spacing w:line="360" w:lineRule="auto"/>
        <w:rPr>
          <w:rFonts w:hint="eastAsia" w:ascii="宋体" w:hAnsi="宋体" w:eastAsia="宋体"/>
          <w:sz w:val="24"/>
          <w:szCs w:val="24"/>
          <w:lang w:val="en-US" w:eastAsia="zh-CN"/>
        </w:rPr>
      </w:pPr>
    </w:p>
    <w:p w14:paraId="3BA97B31">
      <w:pPr>
        <w:spacing w:line="360" w:lineRule="auto"/>
        <w:rPr>
          <w:rFonts w:hint="eastAsia" w:ascii="宋体" w:hAnsi="宋体" w:eastAsia="宋体"/>
          <w:sz w:val="24"/>
          <w:szCs w:val="24"/>
          <w:u w:val="single"/>
          <w:lang w:val="en-US" w:eastAsia="zh-CN"/>
        </w:rPr>
      </w:pPr>
      <w:r>
        <w:rPr>
          <w:rFonts w:hint="eastAsia" w:ascii="宋体" w:hAnsi="宋体" w:eastAsia="宋体"/>
          <w:sz w:val="24"/>
          <w:szCs w:val="24"/>
          <w:lang w:val="en-US" w:eastAsia="zh-CN"/>
        </w:rPr>
        <w:t>委托代理人签字：</w:t>
      </w:r>
      <w:r>
        <w:rPr>
          <w:rFonts w:hint="eastAsia" w:ascii="宋体" w:hAnsi="宋体" w:eastAsia="宋体"/>
          <w:sz w:val="24"/>
          <w:szCs w:val="24"/>
          <w:u w:val="single"/>
          <w:lang w:val="en-US" w:eastAsia="zh-CN"/>
        </w:rPr>
        <w:t xml:space="preserve">             </w:t>
      </w:r>
    </w:p>
    <w:p w14:paraId="0B27497B">
      <w:pPr>
        <w:spacing w:line="360" w:lineRule="auto"/>
        <w:rPr>
          <w:rFonts w:hint="default" w:ascii="宋体" w:hAnsi="宋体" w:eastAsia="宋体"/>
          <w:sz w:val="24"/>
          <w:szCs w:val="24"/>
          <w:u w:val="single"/>
          <w:lang w:val="en-US" w:eastAsia="zh-CN"/>
        </w:rPr>
      </w:pPr>
    </w:p>
    <w:p w14:paraId="402ABA12">
      <w:pPr>
        <w:spacing w:line="360" w:lineRule="auto"/>
        <w:rPr>
          <w:rFonts w:ascii="宋体" w:hAnsi="宋体" w:eastAsia="宋体"/>
          <w:sz w:val="24"/>
          <w:szCs w:val="24"/>
        </w:rPr>
      </w:pPr>
      <w:r>
        <w:rPr>
          <w:rFonts w:hint="eastAsia" w:ascii="宋体" w:hAnsi="宋体" w:eastAsia="宋体"/>
          <w:sz w:val="24"/>
          <w:szCs w:val="24"/>
        </w:rPr>
        <w:t>______</w:t>
      </w:r>
      <w:r>
        <w:rPr>
          <w:rFonts w:ascii="宋体" w:hAnsi="宋体" w:eastAsia="宋体"/>
          <w:sz w:val="24"/>
          <w:szCs w:val="24"/>
        </w:rPr>
        <w:t>年</w:t>
      </w:r>
      <w:r>
        <w:rPr>
          <w:rFonts w:hint="eastAsia" w:ascii="宋体" w:hAnsi="宋体" w:eastAsia="宋体"/>
          <w:sz w:val="24"/>
          <w:szCs w:val="24"/>
        </w:rPr>
        <w:t>_____</w:t>
      </w:r>
      <w:r>
        <w:rPr>
          <w:rFonts w:ascii="宋体" w:hAnsi="宋体" w:eastAsia="宋体"/>
          <w:sz w:val="24"/>
          <w:szCs w:val="24"/>
        </w:rPr>
        <w:t>月</w:t>
      </w:r>
      <w:r>
        <w:rPr>
          <w:rFonts w:hint="eastAsia" w:ascii="宋体" w:hAnsi="宋体" w:eastAsia="宋体"/>
          <w:sz w:val="24"/>
          <w:szCs w:val="24"/>
        </w:rPr>
        <w:t>_____</w:t>
      </w:r>
      <w:r>
        <w:rPr>
          <w:rFonts w:ascii="宋体" w:hAnsi="宋体" w:eastAsia="宋体"/>
          <w:sz w:val="24"/>
          <w:szCs w:val="24"/>
        </w:rPr>
        <w:t>日</w:t>
      </w:r>
    </w:p>
    <w:p w14:paraId="07251D4E">
      <w:pPr>
        <w:tabs>
          <w:tab w:val="left" w:pos="1326"/>
        </w:tabs>
        <w:bidi w:val="0"/>
        <w:jc w:val="left"/>
        <w:rPr>
          <w:rFonts w:hint="eastAsia" w:ascii="宋体" w:hAnsi="宋体" w:eastAsia="宋体" w:cs="宋体"/>
          <w:sz w:val="24"/>
          <w:szCs w:val="24"/>
          <w:lang w:val="en-US" w:eastAsia="zh-CN"/>
        </w:rPr>
      </w:pPr>
    </w:p>
    <w:p w14:paraId="42A1FC55">
      <w:pPr>
        <w:numPr>
          <w:ilvl w:val="0"/>
          <w:numId w:val="0"/>
        </w:numPr>
        <w:tabs>
          <w:tab w:val="left" w:pos="1326"/>
        </w:tabs>
        <w:bidi w:val="0"/>
        <w:jc w:val="left"/>
        <w:rPr>
          <w:rFonts w:hint="eastAsia" w:ascii="宋体" w:hAnsi="宋体" w:eastAsia="宋体" w:cs="宋体"/>
          <w:b/>
          <w:bCs/>
          <w:sz w:val="28"/>
          <w:szCs w:val="28"/>
          <w:lang w:val="en-US" w:eastAsia="zh-CN"/>
        </w:rPr>
      </w:pPr>
      <w:r>
        <w:rPr>
          <w:rFonts w:hint="eastAsia" w:ascii="宋体" w:hAnsi="宋体" w:eastAsia="宋体" w:cs="宋体"/>
          <w:b/>
          <w:bCs/>
          <w:sz w:val="30"/>
          <w:szCs w:val="30"/>
          <w:lang w:val="en-US" w:eastAsia="zh-CN"/>
        </w:rPr>
        <w:t>六、投标人基本情况表</w:t>
      </w:r>
    </w:p>
    <w:p w14:paraId="576C3D78">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（营业执照及相关资质复印件）</w:t>
      </w:r>
    </w:p>
    <w:p w14:paraId="06958B2E">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lang w:val="en-US" w:eastAsia="zh-CN"/>
        </w:rPr>
      </w:pPr>
    </w:p>
    <w:p w14:paraId="4ADDD6B1">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lang w:val="en-US" w:eastAsia="zh-CN"/>
        </w:rPr>
      </w:pPr>
    </w:p>
    <w:p w14:paraId="168A6BD3">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lang w:val="en-US" w:eastAsia="zh-CN"/>
        </w:rPr>
      </w:pPr>
    </w:p>
    <w:p w14:paraId="0BBAA6B8">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lang w:val="en-US" w:eastAsia="zh-CN"/>
        </w:rPr>
      </w:pPr>
    </w:p>
    <w:p w14:paraId="1A58D276">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lang w:val="en-US" w:eastAsia="zh-CN"/>
        </w:rPr>
      </w:pPr>
    </w:p>
    <w:p w14:paraId="4D241D4C">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lang w:val="en-US" w:eastAsia="zh-CN"/>
        </w:rPr>
      </w:pPr>
    </w:p>
    <w:p w14:paraId="3E0832C2">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lang w:val="en-US" w:eastAsia="zh-CN"/>
        </w:rPr>
      </w:pPr>
    </w:p>
    <w:p w14:paraId="08B29189">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lang w:val="en-US" w:eastAsia="zh-CN"/>
        </w:rPr>
      </w:pPr>
    </w:p>
    <w:p w14:paraId="11077D0B">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lang w:val="en-US" w:eastAsia="zh-CN"/>
        </w:rPr>
      </w:pPr>
    </w:p>
    <w:p w14:paraId="5A4B95A9">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lang w:val="en-US" w:eastAsia="zh-CN"/>
        </w:rPr>
      </w:pPr>
    </w:p>
    <w:p w14:paraId="66C47C48">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lang w:val="en-US" w:eastAsia="zh-CN"/>
        </w:rPr>
      </w:pPr>
    </w:p>
    <w:p w14:paraId="7F710FE3">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lang w:val="en-US" w:eastAsia="zh-CN"/>
        </w:rPr>
      </w:pPr>
    </w:p>
    <w:p w14:paraId="3F8FFB9C">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lang w:val="en-US" w:eastAsia="zh-CN"/>
        </w:rPr>
      </w:pPr>
    </w:p>
    <w:p w14:paraId="165D8CDB">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lang w:val="en-US" w:eastAsia="zh-CN"/>
        </w:rPr>
      </w:pPr>
    </w:p>
    <w:p w14:paraId="72F670FD">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lang w:val="en-US" w:eastAsia="zh-CN"/>
        </w:rPr>
      </w:pPr>
    </w:p>
    <w:p w14:paraId="0FDBD334">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lang w:val="en-US" w:eastAsia="zh-CN"/>
        </w:rPr>
      </w:pPr>
    </w:p>
    <w:p w14:paraId="78420C44">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lang w:val="en-US" w:eastAsia="zh-CN"/>
        </w:rPr>
      </w:pPr>
    </w:p>
    <w:p w14:paraId="2719CD24">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lang w:val="en-US" w:eastAsia="zh-CN"/>
        </w:rPr>
      </w:pPr>
    </w:p>
    <w:p w14:paraId="42DC1650">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lang w:val="en-US" w:eastAsia="zh-CN"/>
        </w:rPr>
      </w:pPr>
    </w:p>
    <w:p w14:paraId="46723128">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lang w:val="en-US" w:eastAsia="zh-CN"/>
        </w:rPr>
      </w:pPr>
    </w:p>
    <w:p w14:paraId="46826D29">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lang w:val="en-US" w:eastAsia="zh-CN"/>
        </w:rPr>
      </w:pPr>
    </w:p>
    <w:p w14:paraId="33257B26">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lang w:val="en-US" w:eastAsia="zh-CN"/>
        </w:rPr>
      </w:pPr>
    </w:p>
    <w:p w14:paraId="67AAD093">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lang w:val="en-US" w:eastAsia="zh-CN"/>
        </w:rPr>
      </w:pPr>
    </w:p>
    <w:p w14:paraId="2CC12B90">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lang w:val="en-US" w:eastAsia="zh-CN"/>
        </w:rPr>
      </w:pPr>
    </w:p>
    <w:p w14:paraId="3986D8A6">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lang w:val="en-US" w:eastAsia="zh-CN"/>
        </w:rPr>
      </w:pPr>
    </w:p>
    <w:p w14:paraId="37B84CEB">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ind w:leftChars="0"/>
        <w:jc w:val="left"/>
        <w:textAlignment w:val="auto"/>
        <w:rPr>
          <w:rFonts w:hint="eastAsia" w:ascii="宋体" w:hAnsi="宋体" w:eastAsia="宋体" w:cs="宋体"/>
          <w:b/>
          <w:bCs/>
          <w:sz w:val="28"/>
          <w:szCs w:val="28"/>
          <w:lang w:val="en-US" w:eastAsia="zh-CN"/>
        </w:rPr>
      </w:pPr>
    </w:p>
    <w:p w14:paraId="39F31975">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ind w:leftChars="0"/>
        <w:jc w:val="left"/>
        <w:textAlignment w:val="auto"/>
        <w:rPr>
          <w:rFonts w:hint="eastAsia" w:ascii="宋体" w:hAnsi="宋体" w:eastAsia="宋体" w:cs="宋体"/>
          <w:b/>
          <w:bCs/>
          <w:sz w:val="28"/>
          <w:szCs w:val="28"/>
          <w:lang w:val="en-US" w:eastAsia="zh-CN"/>
        </w:rPr>
      </w:pPr>
    </w:p>
    <w:p w14:paraId="29AA9173">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ind w:leftChars="0"/>
        <w:jc w:val="left"/>
        <w:textAlignment w:val="auto"/>
        <w:rPr>
          <w:rFonts w:hint="eastAsia" w:ascii="宋体" w:hAnsi="宋体" w:eastAsia="宋体" w:cs="宋体"/>
          <w:b/>
          <w:i w:val="0"/>
          <w:sz w:val="28"/>
          <w:szCs w:val="28"/>
          <w:lang w:val="en-US" w:eastAsia="zh-CN"/>
        </w:rPr>
      </w:pPr>
      <w:r>
        <w:rPr>
          <w:rFonts w:hint="eastAsia" w:ascii="宋体" w:hAnsi="宋体" w:eastAsia="宋体" w:cs="宋体"/>
          <w:b/>
          <w:i w:val="0"/>
          <w:sz w:val="30"/>
          <w:szCs w:val="30"/>
          <w:lang w:val="en-US" w:eastAsia="zh-CN"/>
        </w:rPr>
        <w:t>七、主要商务要求承诺书</w:t>
      </w:r>
      <w:r>
        <w:rPr>
          <w:rFonts w:hint="eastAsia" w:ascii="宋体" w:hAnsi="宋体" w:eastAsia="宋体" w:cs="宋体"/>
          <w:b/>
          <w:i w:val="0"/>
          <w:sz w:val="28"/>
          <w:szCs w:val="28"/>
          <w:lang w:val="en-US" w:eastAsia="zh-CN"/>
        </w:rPr>
        <w:t xml:space="preserve"> </w:t>
      </w:r>
    </w:p>
    <w:p w14:paraId="6549E1D5">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ind w:leftChars="0"/>
        <w:jc w:val="left"/>
        <w:textAlignment w:val="auto"/>
        <w:rPr>
          <w:rFonts w:hint="eastAsia" w:ascii="宋体" w:hAnsi="宋体" w:eastAsia="宋体" w:cs="宋体"/>
          <w:b/>
          <w:i w:val="0"/>
          <w:sz w:val="28"/>
          <w:szCs w:val="28"/>
          <w:lang w:val="en-US" w:eastAsia="zh-CN"/>
        </w:rPr>
      </w:pPr>
    </w:p>
    <w:p w14:paraId="2934D054">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我公司承诺可以完全满足本次采购项目的所有主要商务条款要求（如标的提供的时间、标的提供的地点、投标有效期、 采购资金支付、验收要求、履约保证金等）。若有不符合或未按承诺履行的，后果和责任自负。 </w:t>
      </w:r>
    </w:p>
    <w:p w14:paraId="7554291E">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jc w:val="left"/>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如有优于招标文件主要商务要求的请在此承诺书中说明。 </w:t>
      </w:r>
    </w:p>
    <w:p w14:paraId="57461816">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jc w:val="left"/>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具体优于内容 （如标的提供的时间、地点，质保期等） 。 </w:t>
      </w:r>
    </w:p>
    <w:p w14:paraId="1CEE1166">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jc w:val="left"/>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特此承诺。 </w:t>
      </w:r>
    </w:p>
    <w:p w14:paraId="3A2ED51F">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jc w:val="left"/>
        <w:textAlignment w:val="auto"/>
        <w:rPr>
          <w:rFonts w:hint="eastAsia" w:ascii="宋体" w:hAnsi="宋体" w:eastAsia="宋体" w:cs="宋体"/>
          <w:sz w:val="28"/>
          <w:szCs w:val="28"/>
          <w:lang w:val="en-US" w:eastAsia="zh-CN"/>
        </w:rPr>
      </w:pPr>
    </w:p>
    <w:p w14:paraId="158AF5A8">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jc w:val="left"/>
        <w:textAlignment w:val="auto"/>
        <w:rPr>
          <w:rFonts w:hint="eastAsia" w:ascii="宋体" w:hAnsi="宋体" w:eastAsia="宋体" w:cs="宋体"/>
          <w:sz w:val="28"/>
          <w:szCs w:val="28"/>
          <w:lang w:val="en-US" w:eastAsia="zh-CN"/>
        </w:rPr>
      </w:pPr>
    </w:p>
    <w:p w14:paraId="42999E7B">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ind w:firstLine="2240" w:firstLineChars="800"/>
        <w:jc w:val="left"/>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投标人名称：</w:t>
      </w:r>
      <w:r>
        <w:rPr>
          <w:rFonts w:hint="eastAsia" w:ascii="宋体" w:hAnsi="宋体" w:eastAsia="宋体"/>
          <w:sz w:val="28"/>
          <w:szCs w:val="28"/>
          <w:u w:val="single"/>
          <w:lang w:val="en-US" w:eastAsia="zh-CN"/>
        </w:rPr>
        <w:t xml:space="preserve">             </w:t>
      </w:r>
      <w:r>
        <w:rPr>
          <w:rFonts w:hint="eastAsia" w:ascii="宋体" w:hAnsi="宋体" w:eastAsia="宋体" w:cs="宋体"/>
          <w:sz w:val="28"/>
          <w:szCs w:val="28"/>
          <w:lang w:val="en-US" w:eastAsia="zh-CN"/>
        </w:rPr>
        <w:t xml:space="preserve">（加盖公章） </w:t>
      </w:r>
    </w:p>
    <w:p w14:paraId="67CAAB07">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ind w:firstLine="4760" w:firstLineChars="1700"/>
        <w:jc w:val="left"/>
        <w:textAlignment w:val="auto"/>
        <w:rPr>
          <w:rFonts w:hint="eastAsia" w:ascii="宋体" w:hAnsi="宋体" w:eastAsia="宋体" w:cs="宋体"/>
          <w:sz w:val="28"/>
          <w:szCs w:val="28"/>
          <w:lang w:val="en-US" w:eastAsia="zh-CN"/>
        </w:rPr>
      </w:pPr>
    </w:p>
    <w:p w14:paraId="191EA899">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ind w:firstLine="4760" w:firstLineChars="1700"/>
        <w:jc w:val="left"/>
        <w:textAlignment w:val="auto"/>
        <w:rPr>
          <w:rFonts w:hint="eastAsia" w:ascii="宋体" w:hAnsi="宋体" w:eastAsia="宋体" w:cs="宋体"/>
          <w:sz w:val="28"/>
          <w:szCs w:val="28"/>
          <w:lang w:val="en-US" w:eastAsia="zh-CN"/>
        </w:rPr>
      </w:pPr>
    </w:p>
    <w:p w14:paraId="7AFC24A4">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ind w:firstLine="3640" w:firstLineChars="1300"/>
        <w:jc w:val="left"/>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年    月   日 </w:t>
      </w:r>
    </w:p>
    <w:p w14:paraId="7B274B84">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ind w:leftChars="0"/>
        <w:jc w:val="left"/>
        <w:textAlignment w:val="auto"/>
        <w:rPr>
          <w:rFonts w:hint="default" w:ascii="宋体" w:hAnsi="宋体" w:eastAsia="宋体" w:cs="宋体"/>
          <w:b w:val="0"/>
          <w:bCs w:val="0"/>
          <w:sz w:val="24"/>
          <w:szCs w:val="24"/>
          <w:lang w:val="en-US" w:eastAsia="zh-CN"/>
        </w:rPr>
      </w:pPr>
    </w:p>
    <w:p w14:paraId="55BEEE74">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ind w:leftChars="0"/>
        <w:jc w:val="left"/>
        <w:textAlignment w:val="auto"/>
        <w:rPr>
          <w:rFonts w:hint="default" w:ascii="宋体" w:hAnsi="宋体" w:eastAsia="宋体" w:cs="宋体"/>
          <w:b w:val="0"/>
          <w:bCs w:val="0"/>
          <w:sz w:val="24"/>
          <w:szCs w:val="24"/>
          <w:lang w:val="en-US" w:eastAsia="zh-CN"/>
        </w:rPr>
      </w:pPr>
    </w:p>
    <w:p w14:paraId="12A96D47">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ind w:leftChars="0"/>
        <w:jc w:val="left"/>
        <w:textAlignment w:val="auto"/>
        <w:rPr>
          <w:rFonts w:hint="default" w:ascii="宋体" w:hAnsi="宋体" w:eastAsia="宋体" w:cs="宋体"/>
          <w:b w:val="0"/>
          <w:bCs w:val="0"/>
          <w:sz w:val="24"/>
          <w:szCs w:val="24"/>
          <w:lang w:val="en-US" w:eastAsia="zh-CN"/>
        </w:rPr>
      </w:pPr>
    </w:p>
    <w:p w14:paraId="589E0269">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ind w:leftChars="0"/>
        <w:jc w:val="left"/>
        <w:textAlignment w:val="auto"/>
        <w:rPr>
          <w:rFonts w:hint="default" w:ascii="宋体" w:hAnsi="宋体" w:eastAsia="宋体" w:cs="宋体"/>
          <w:b w:val="0"/>
          <w:bCs w:val="0"/>
          <w:sz w:val="24"/>
          <w:szCs w:val="24"/>
          <w:lang w:val="en-US" w:eastAsia="zh-CN"/>
        </w:rPr>
      </w:pPr>
    </w:p>
    <w:p w14:paraId="01666F24">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ind w:leftChars="0"/>
        <w:jc w:val="left"/>
        <w:textAlignment w:val="auto"/>
        <w:rPr>
          <w:rFonts w:hint="default" w:ascii="宋体" w:hAnsi="宋体" w:eastAsia="宋体" w:cs="宋体"/>
          <w:b w:val="0"/>
          <w:bCs w:val="0"/>
          <w:sz w:val="24"/>
          <w:szCs w:val="24"/>
          <w:lang w:val="en-US" w:eastAsia="zh-CN"/>
        </w:rPr>
      </w:pPr>
    </w:p>
    <w:p w14:paraId="05EE3E10">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ind w:leftChars="0"/>
        <w:jc w:val="left"/>
        <w:textAlignment w:val="auto"/>
        <w:rPr>
          <w:rFonts w:hint="default" w:ascii="宋体" w:hAnsi="宋体" w:eastAsia="宋体" w:cs="宋体"/>
          <w:b w:val="0"/>
          <w:bCs w:val="0"/>
          <w:sz w:val="24"/>
          <w:szCs w:val="24"/>
          <w:lang w:val="en-US" w:eastAsia="zh-CN"/>
        </w:rPr>
      </w:pPr>
    </w:p>
    <w:p w14:paraId="5B758478">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ind w:leftChars="0"/>
        <w:jc w:val="left"/>
        <w:textAlignment w:val="auto"/>
        <w:rPr>
          <w:rFonts w:hint="default" w:ascii="宋体" w:hAnsi="宋体" w:eastAsia="宋体" w:cs="宋体"/>
          <w:b w:val="0"/>
          <w:bCs w:val="0"/>
          <w:sz w:val="24"/>
          <w:szCs w:val="24"/>
          <w:lang w:val="en-US" w:eastAsia="zh-CN"/>
        </w:rPr>
      </w:pPr>
    </w:p>
    <w:p w14:paraId="6DF1D923">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ind w:leftChars="0"/>
        <w:jc w:val="left"/>
        <w:textAlignment w:val="auto"/>
        <w:rPr>
          <w:rFonts w:hint="default" w:ascii="宋体" w:hAnsi="宋体" w:eastAsia="宋体" w:cs="宋体"/>
          <w:b w:val="0"/>
          <w:bCs w:val="0"/>
          <w:sz w:val="24"/>
          <w:szCs w:val="24"/>
          <w:lang w:val="en-US" w:eastAsia="zh-CN"/>
        </w:rPr>
      </w:pPr>
    </w:p>
    <w:p w14:paraId="562928F3">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jc w:val="left"/>
        <w:textAlignment w:val="auto"/>
        <w:rPr>
          <w:rFonts w:hint="eastAsia" w:ascii="宋体" w:hAnsi="宋体" w:eastAsia="宋体" w:cs="宋体"/>
          <w:b/>
          <w:bCs/>
          <w:color w:val="000000"/>
          <w:sz w:val="30"/>
          <w:szCs w:val="30"/>
          <w:lang w:val="en-US" w:eastAsia="zh-CN"/>
        </w:rPr>
      </w:pPr>
    </w:p>
    <w:p w14:paraId="6588FA8C">
      <w:pPr>
        <w:keepNext w:val="0"/>
        <w:keepLines w:val="0"/>
        <w:pageBreakBefore w:val="0"/>
        <w:widowControl w:val="0"/>
        <w:numPr>
          <w:ilvl w:val="0"/>
          <w:numId w:val="5"/>
        </w:numPr>
        <w:tabs>
          <w:tab w:val="left" w:pos="606"/>
        </w:tabs>
        <w:kinsoku/>
        <w:wordWrap/>
        <w:overflowPunct/>
        <w:topLinePunct w:val="0"/>
        <w:autoSpaceDE/>
        <w:autoSpaceDN/>
        <w:bidi w:val="0"/>
        <w:adjustRightInd/>
        <w:snapToGrid/>
        <w:spacing w:line="360" w:lineRule="auto"/>
        <w:ind w:left="0" w:leftChars="0" w:firstLine="0" w:firstLineChars="0"/>
        <w:jc w:val="left"/>
        <w:textAlignment w:val="auto"/>
        <w:rPr>
          <w:rFonts w:hint="default"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提供具有良好的商业信誉和健全的财务会计制度的证明材料 </w:t>
      </w:r>
    </w:p>
    <w:p w14:paraId="62D8CC11">
      <w:pPr>
        <w:keepNext w:val="0"/>
        <w:keepLines w:val="0"/>
        <w:pageBreakBefore w:val="0"/>
        <w:widowControl w:val="0"/>
        <w:numPr>
          <w:ilvl w:val="0"/>
          <w:numId w:val="5"/>
        </w:numPr>
        <w:tabs>
          <w:tab w:val="left" w:pos="606"/>
        </w:tabs>
        <w:kinsoku/>
        <w:wordWrap/>
        <w:overflowPunct/>
        <w:topLinePunct w:val="0"/>
        <w:autoSpaceDE/>
        <w:autoSpaceDN/>
        <w:bidi w:val="0"/>
        <w:adjustRightInd/>
        <w:snapToGrid/>
        <w:spacing w:line="360" w:lineRule="auto"/>
        <w:ind w:left="0" w:leftChars="0" w:firstLine="0" w:firstLineChars="0"/>
        <w:jc w:val="left"/>
        <w:textAlignment w:val="auto"/>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提供依法缴纳税收和社会保障资金的良好记录 </w:t>
      </w:r>
    </w:p>
    <w:p w14:paraId="25661F85">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ind w:leftChars="0"/>
        <w:jc w:val="left"/>
        <w:textAlignment w:val="auto"/>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十、参加政府采购前三年内在经营活动中无重大违法记录书面声明(后附信用记录截图）</w:t>
      </w:r>
    </w:p>
    <w:p w14:paraId="5618A794">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ind w:leftChars="0" w:firstLine="560" w:firstLineChars="200"/>
        <w:jc w:val="center"/>
        <w:textAlignment w:val="auto"/>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参加政府采购前三年内在经营活动中无重大违法记录</w:t>
      </w:r>
    </w:p>
    <w:p w14:paraId="0082AA8B">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ind w:leftChars="0" w:firstLine="560" w:firstLineChars="200"/>
        <w:jc w:val="center"/>
        <w:textAlignment w:val="auto"/>
        <w:rPr>
          <w:rFonts w:hint="default"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书面声明函</w:t>
      </w:r>
    </w:p>
    <w:p w14:paraId="5F9B7EBF">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ind w:leftChars="0" w:firstLine="560" w:firstLineChars="200"/>
        <w:jc w:val="center"/>
        <w:textAlignment w:val="auto"/>
        <w:rPr>
          <w:rFonts w:hint="eastAsia" w:ascii="宋体" w:hAnsi="宋体" w:eastAsia="宋体" w:cs="宋体"/>
          <w:b w:val="0"/>
          <w:bCs w:val="0"/>
          <w:sz w:val="28"/>
          <w:szCs w:val="28"/>
          <w:lang w:val="en-US" w:eastAsia="zh-CN"/>
        </w:rPr>
      </w:pPr>
    </w:p>
    <w:p w14:paraId="689E8F45">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jc w:val="both"/>
        <w:textAlignment w:val="auto"/>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致：＿＿＿＿＿＿＿＿（采购人名称）</w:t>
      </w:r>
    </w:p>
    <w:p w14:paraId="77C03543">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ind w:leftChars="0" w:firstLine="560" w:firstLineChars="200"/>
        <w:jc w:val="both"/>
        <w:textAlignment w:val="auto"/>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 xml:space="preserve"> 我单位＿＿＿＿＿＿＿＿＿＿（投标人名称）近三年内，在参加政府采购活动中无重大违法记录，特此声明。</w:t>
      </w:r>
    </w:p>
    <w:p w14:paraId="474F54C0">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ind w:leftChars="0" w:firstLine="560" w:firstLineChars="200"/>
        <w:jc w:val="both"/>
        <w:textAlignment w:val="auto"/>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若招标采购单位在本项目采购过程中发现我单位近三年内在政府采购活动中有重大违法记录，我单位将无条件地退出本项目的招标，并承担因此引起的一切后果。</w:t>
      </w:r>
    </w:p>
    <w:p w14:paraId="0B00A183">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ind w:leftChars="0" w:firstLine="560" w:firstLineChars="200"/>
        <w:jc w:val="both"/>
        <w:textAlignment w:val="auto"/>
        <w:rPr>
          <w:rFonts w:hint="eastAsia" w:ascii="宋体" w:hAnsi="宋体" w:eastAsia="宋体" w:cs="宋体"/>
          <w:b w:val="0"/>
          <w:bCs w:val="0"/>
          <w:sz w:val="28"/>
          <w:szCs w:val="28"/>
          <w:lang w:val="en-US" w:eastAsia="zh-CN"/>
        </w:rPr>
      </w:pPr>
    </w:p>
    <w:p w14:paraId="6298A6F9">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jc w:val="both"/>
        <w:textAlignment w:val="auto"/>
        <w:rPr>
          <w:rFonts w:hint="eastAsia" w:ascii="宋体" w:hAnsi="宋体" w:eastAsia="宋体" w:cs="宋体"/>
          <w:b w:val="0"/>
          <w:bCs w:val="0"/>
          <w:sz w:val="28"/>
          <w:szCs w:val="28"/>
          <w:lang w:val="en-US" w:eastAsia="zh-CN"/>
        </w:rPr>
      </w:pPr>
    </w:p>
    <w:p w14:paraId="43C9822C">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jc w:val="both"/>
        <w:textAlignment w:val="auto"/>
        <w:rPr>
          <w:rFonts w:hint="eastAsia" w:ascii="宋体" w:hAnsi="宋体" w:eastAsia="宋体" w:cs="宋体"/>
          <w:b w:val="0"/>
          <w:bCs w:val="0"/>
          <w:sz w:val="28"/>
          <w:szCs w:val="28"/>
          <w:lang w:val="en-US" w:eastAsia="zh-CN"/>
        </w:rPr>
      </w:pPr>
    </w:p>
    <w:p w14:paraId="4396B39A">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ind w:leftChars="0" w:firstLine="560" w:firstLineChars="200"/>
        <w:jc w:val="both"/>
        <w:textAlignment w:val="auto"/>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 xml:space="preserve">                    供应商名称(单位公章）：＿＿＿＿＿＿</w:t>
      </w:r>
    </w:p>
    <w:p w14:paraId="712C772E">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ind w:leftChars="0" w:firstLine="560" w:firstLineChars="200"/>
        <w:jc w:val="both"/>
        <w:textAlignment w:val="auto"/>
        <w:rPr>
          <w:rFonts w:hint="eastAsia" w:ascii="宋体" w:hAnsi="宋体" w:eastAsia="宋体" w:cs="宋体"/>
          <w:b w:val="0"/>
          <w:bCs w:val="0"/>
          <w:sz w:val="28"/>
          <w:szCs w:val="28"/>
          <w:lang w:val="en-US" w:eastAsia="zh-CN"/>
        </w:rPr>
      </w:pPr>
    </w:p>
    <w:p w14:paraId="6FE3728A">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ind w:leftChars="0" w:firstLine="560" w:firstLineChars="200"/>
        <w:jc w:val="both"/>
        <w:textAlignment w:val="auto"/>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 xml:space="preserve">                    法定代表人（印章或签字）：＿＿＿＿＿</w:t>
      </w:r>
    </w:p>
    <w:p w14:paraId="54797BF1">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ind w:leftChars="0" w:firstLine="560" w:firstLineChars="200"/>
        <w:jc w:val="both"/>
        <w:textAlignment w:val="auto"/>
        <w:rPr>
          <w:rFonts w:hint="eastAsia" w:ascii="宋体" w:hAnsi="宋体" w:eastAsia="宋体" w:cs="宋体"/>
          <w:b w:val="0"/>
          <w:bCs w:val="0"/>
          <w:sz w:val="28"/>
          <w:szCs w:val="28"/>
          <w:lang w:val="en-US" w:eastAsia="zh-CN"/>
        </w:rPr>
      </w:pPr>
    </w:p>
    <w:p w14:paraId="77EFB332">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ind w:leftChars="0" w:firstLine="562" w:firstLineChars="200"/>
        <w:jc w:val="both"/>
        <w:textAlignment w:val="auto"/>
        <w:rPr>
          <w:rFonts w:hint="eastAsia" w:ascii="宋体" w:hAnsi="宋体" w:eastAsia="宋体" w:cs="宋体"/>
          <w:b w:val="0"/>
          <w:bCs w:val="0"/>
          <w:sz w:val="28"/>
          <w:szCs w:val="28"/>
          <w:lang w:val="en-US" w:eastAsia="zh-CN"/>
        </w:rPr>
      </w:pPr>
      <w:r>
        <w:rPr>
          <w:rFonts w:hint="eastAsia" w:ascii="宋体" w:hAnsi="宋体" w:eastAsia="宋体" w:cs="宋体"/>
          <w:b/>
          <w:bCs/>
          <w:sz w:val="28"/>
          <w:szCs w:val="28"/>
          <w:lang w:val="en-US" w:eastAsia="zh-CN"/>
        </w:rPr>
        <w:t xml:space="preserve">                         </w:t>
      </w:r>
      <w:r>
        <w:rPr>
          <w:rFonts w:hint="eastAsia" w:ascii="宋体" w:hAnsi="宋体" w:eastAsia="宋体" w:cs="宋体"/>
          <w:b w:val="0"/>
          <w:bCs w:val="0"/>
          <w:sz w:val="28"/>
          <w:szCs w:val="28"/>
          <w:lang w:val="en-US" w:eastAsia="zh-CN"/>
        </w:rPr>
        <w:t xml:space="preserve"> 日  期：＿＿年＿＿月＿＿日</w:t>
      </w:r>
    </w:p>
    <w:p w14:paraId="76A988BA">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jc w:val="both"/>
        <w:textAlignment w:val="auto"/>
        <w:rPr>
          <w:rFonts w:hint="eastAsia" w:ascii="宋体" w:hAnsi="宋体" w:eastAsia="宋体" w:cs="宋体"/>
          <w:b/>
          <w:bCs/>
          <w:sz w:val="28"/>
          <w:szCs w:val="28"/>
          <w:lang w:val="en-US" w:eastAsia="zh-CN"/>
        </w:rPr>
      </w:pPr>
    </w:p>
    <w:p w14:paraId="16EE9872">
      <w:pPr>
        <w:numPr>
          <w:ilvl w:val="0"/>
          <w:numId w:val="0"/>
        </w:numPr>
        <w:spacing w:line="360" w:lineRule="auto"/>
        <w:ind w:leftChars="0"/>
        <w:jc w:val="both"/>
        <w:rPr>
          <w:rFonts w:ascii="宋体" w:hAnsi="宋体" w:eastAsia="宋体" w:cs="宋体"/>
          <w:b/>
          <w:bCs/>
          <w:color w:val="000000"/>
          <w:sz w:val="30"/>
          <w:szCs w:val="30"/>
        </w:rPr>
      </w:pPr>
      <w:r>
        <w:rPr>
          <w:rFonts w:hint="eastAsia" w:ascii="宋体" w:hAnsi="宋体" w:eastAsia="宋体" w:cs="宋体"/>
          <w:b/>
          <w:bCs/>
          <w:color w:val="000000"/>
          <w:sz w:val="30"/>
          <w:szCs w:val="30"/>
          <w:lang w:val="en-US" w:eastAsia="zh-CN"/>
        </w:rPr>
        <w:t>十一、</w:t>
      </w:r>
      <w:r>
        <w:rPr>
          <w:rFonts w:ascii="宋体" w:hAnsi="宋体" w:eastAsia="宋体" w:cs="宋体"/>
          <w:b/>
          <w:bCs/>
          <w:color w:val="000000"/>
          <w:sz w:val="30"/>
          <w:szCs w:val="30"/>
        </w:rPr>
        <w:t>具有履行合同所必须的设备和专业技术能力的声明</w:t>
      </w:r>
    </w:p>
    <w:p w14:paraId="5312D476">
      <w:pPr>
        <w:numPr>
          <w:ilvl w:val="0"/>
          <w:numId w:val="0"/>
        </w:numPr>
        <w:spacing w:line="360" w:lineRule="auto"/>
        <w:ind w:leftChars="0"/>
        <w:jc w:val="both"/>
        <w:rPr>
          <w:rFonts w:ascii="宋体" w:hAnsi="宋体" w:eastAsia="宋体" w:cs="宋体"/>
          <w:b/>
          <w:bCs/>
          <w:color w:val="000000"/>
          <w:sz w:val="30"/>
          <w:szCs w:val="30"/>
        </w:rPr>
      </w:pPr>
    </w:p>
    <w:p w14:paraId="03575B14">
      <w:pPr>
        <w:keepNext w:val="0"/>
        <w:keepLines w:val="0"/>
        <w:pageBreakBefore w:val="0"/>
        <w:widowControl w:val="0"/>
        <w:numPr>
          <w:ilvl w:val="0"/>
          <w:numId w:val="0"/>
        </w:numPr>
        <w:tabs>
          <w:tab w:val="left" w:pos="606"/>
        </w:tabs>
        <w:kinsoku/>
        <w:wordWrap w:val="0"/>
        <w:overflowPunct/>
        <w:topLinePunct w:val="0"/>
        <w:autoSpaceDE/>
        <w:autoSpaceDN/>
        <w:bidi w:val="0"/>
        <w:adjustRightInd/>
        <w:snapToGrid/>
        <w:spacing w:line="360" w:lineRule="auto"/>
        <w:ind w:left="0" w:right="0" w:firstLine="602" w:firstLineChars="200"/>
        <w:jc w:val="left"/>
        <w:textAlignment w:val="auto"/>
        <w:rPr>
          <w:rFonts w:hint="eastAsia" w:ascii="宋体" w:hAnsi="宋体" w:eastAsia="宋体" w:cs="宋体"/>
          <w:sz w:val="28"/>
          <w:szCs w:val="28"/>
          <w:lang w:val="en-US" w:eastAsia="zh-CN"/>
        </w:rPr>
      </w:pPr>
      <w:r>
        <w:rPr>
          <w:rFonts w:hint="eastAsia" w:ascii="宋体" w:hAnsi="宋体" w:eastAsia="宋体" w:cs="宋体"/>
          <w:b/>
          <w:bCs/>
          <w:color w:val="000000"/>
          <w:sz w:val="30"/>
          <w:szCs w:val="30"/>
          <w:lang w:val="en-US" w:eastAsia="zh-CN"/>
        </w:rPr>
        <w:t xml:space="preserve"> </w:t>
      </w:r>
      <w:r>
        <w:rPr>
          <w:rFonts w:hint="eastAsia" w:ascii="宋体" w:hAnsi="宋体" w:eastAsia="宋体" w:cs="宋体"/>
          <w:sz w:val="28"/>
          <w:szCs w:val="28"/>
          <w:lang w:val="en-US" w:eastAsia="zh-CN"/>
        </w:rPr>
        <w:t xml:space="preserve">我公司具备履行本次投标项目合同所必须的设备和专业技术能力。 </w:t>
      </w:r>
    </w:p>
    <w:p w14:paraId="1AE61BD3">
      <w:pPr>
        <w:keepNext w:val="0"/>
        <w:keepLines w:val="0"/>
        <w:pageBreakBefore w:val="0"/>
        <w:widowControl w:val="0"/>
        <w:numPr>
          <w:ilvl w:val="0"/>
          <w:numId w:val="0"/>
        </w:numPr>
        <w:tabs>
          <w:tab w:val="left" w:pos="606"/>
        </w:tabs>
        <w:kinsoku/>
        <w:wordWrap w:val="0"/>
        <w:overflowPunct/>
        <w:topLinePunct w:val="0"/>
        <w:autoSpaceDE/>
        <w:autoSpaceDN/>
        <w:bidi w:val="0"/>
        <w:adjustRightInd/>
        <w:snapToGrid/>
        <w:spacing w:line="360" w:lineRule="auto"/>
        <w:ind w:left="0" w:right="0" w:firstLine="560" w:firstLineChars="200"/>
        <w:jc w:val="left"/>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特此声明。 </w:t>
      </w:r>
    </w:p>
    <w:p w14:paraId="0764C2F8">
      <w:pPr>
        <w:keepNext w:val="0"/>
        <w:keepLines w:val="0"/>
        <w:pageBreakBefore w:val="0"/>
        <w:widowControl w:val="0"/>
        <w:numPr>
          <w:ilvl w:val="0"/>
          <w:numId w:val="0"/>
        </w:numPr>
        <w:tabs>
          <w:tab w:val="left" w:pos="606"/>
        </w:tabs>
        <w:kinsoku/>
        <w:wordWrap w:val="0"/>
        <w:overflowPunct/>
        <w:topLinePunct w:val="0"/>
        <w:autoSpaceDE/>
        <w:autoSpaceDN/>
        <w:bidi w:val="0"/>
        <w:adjustRightInd/>
        <w:snapToGrid/>
        <w:spacing w:line="360" w:lineRule="auto"/>
        <w:ind w:left="0" w:right="0" w:firstLine="560" w:firstLineChars="200"/>
        <w:jc w:val="left"/>
        <w:textAlignment w:val="auto"/>
        <w:rPr>
          <w:rFonts w:hint="eastAsia" w:ascii="宋体" w:hAnsi="宋体" w:eastAsia="宋体" w:cs="宋体"/>
          <w:sz w:val="28"/>
          <w:szCs w:val="28"/>
          <w:lang w:val="en-US" w:eastAsia="zh-CN"/>
        </w:rPr>
      </w:pPr>
    </w:p>
    <w:p w14:paraId="29BBE778">
      <w:pPr>
        <w:pageBreakBefore w:val="0"/>
        <w:numPr>
          <w:ilvl w:val="0"/>
          <w:numId w:val="0"/>
        </w:numPr>
        <w:tabs>
          <w:tab w:val="left" w:pos="606"/>
        </w:tabs>
        <w:wordWrap w:val="0"/>
        <w:autoSpaceDE/>
        <w:autoSpaceDN/>
        <w:bidi w:val="0"/>
        <w:snapToGrid/>
        <w:spacing w:line="360" w:lineRule="auto"/>
        <w:ind w:left="0" w:right="0" w:firstLine="3105" w:firstLineChars="1109"/>
        <w:jc w:val="lef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投标人名称：＿＿＿＿＿＿（加盖公章）</w:t>
      </w:r>
    </w:p>
    <w:p w14:paraId="53E8414B">
      <w:pPr>
        <w:pageBreakBefore w:val="0"/>
        <w:numPr>
          <w:ilvl w:val="0"/>
          <w:numId w:val="0"/>
        </w:numPr>
        <w:tabs>
          <w:tab w:val="left" w:pos="606"/>
        </w:tabs>
        <w:wordWrap w:val="0"/>
        <w:autoSpaceDE/>
        <w:autoSpaceDN/>
        <w:bidi w:val="0"/>
        <w:snapToGrid/>
        <w:spacing w:line="360" w:lineRule="auto"/>
        <w:ind w:left="0" w:right="0" w:firstLine="3105" w:firstLineChars="1109"/>
        <w:jc w:val="lef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w:t>
      </w:r>
    </w:p>
    <w:p w14:paraId="4DD0DF24">
      <w:pPr>
        <w:pageBreakBefore w:val="0"/>
        <w:numPr>
          <w:ilvl w:val="0"/>
          <w:numId w:val="0"/>
        </w:numPr>
        <w:tabs>
          <w:tab w:val="left" w:pos="606"/>
        </w:tabs>
        <w:wordWrap w:val="0"/>
        <w:autoSpaceDE/>
        <w:autoSpaceDN/>
        <w:bidi w:val="0"/>
        <w:snapToGrid/>
        <w:spacing w:line="360" w:lineRule="auto"/>
        <w:ind w:left="0" w:right="0" w:firstLine="4765" w:firstLineChars="1702"/>
        <w:jc w:val="lef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年   月   日</w:t>
      </w:r>
    </w:p>
    <w:p w14:paraId="091BCD54">
      <w:pPr>
        <w:widowControl w:val="0"/>
        <w:numPr>
          <w:ilvl w:val="0"/>
          <w:numId w:val="0"/>
        </w:numPr>
        <w:spacing w:line="360" w:lineRule="auto"/>
        <w:jc w:val="both"/>
        <w:rPr>
          <w:rFonts w:hint="eastAsia" w:ascii="宋体" w:hAnsi="宋体" w:eastAsia="宋体" w:cs="宋体"/>
          <w:b/>
          <w:bCs/>
          <w:color w:val="000000"/>
          <w:sz w:val="30"/>
          <w:szCs w:val="30"/>
          <w:lang w:val="en-US" w:eastAsia="zh-CN"/>
        </w:rPr>
      </w:pPr>
    </w:p>
    <w:p w14:paraId="130AC0D7">
      <w:pPr>
        <w:widowControl w:val="0"/>
        <w:numPr>
          <w:ilvl w:val="0"/>
          <w:numId w:val="0"/>
        </w:numPr>
        <w:spacing w:line="360" w:lineRule="auto"/>
        <w:jc w:val="both"/>
        <w:rPr>
          <w:rFonts w:hint="default" w:ascii="宋体" w:hAnsi="宋体" w:eastAsia="宋体" w:cs="宋体"/>
          <w:b/>
          <w:bCs/>
          <w:color w:val="000000"/>
          <w:sz w:val="30"/>
          <w:szCs w:val="30"/>
          <w:lang w:val="en-US" w:eastAsia="zh-CN"/>
        </w:rPr>
      </w:pPr>
    </w:p>
    <w:p w14:paraId="77B15DFB">
      <w:pPr>
        <w:widowControl w:val="0"/>
        <w:numPr>
          <w:ilvl w:val="0"/>
          <w:numId w:val="0"/>
        </w:numPr>
        <w:spacing w:line="360" w:lineRule="auto"/>
        <w:jc w:val="both"/>
        <w:rPr>
          <w:rFonts w:hint="eastAsia" w:ascii="宋体" w:hAnsi="宋体" w:eastAsia="宋体" w:cs="宋体"/>
          <w:b/>
          <w:bCs/>
          <w:color w:val="000000"/>
          <w:sz w:val="30"/>
          <w:szCs w:val="30"/>
          <w:lang w:val="en-US" w:eastAsia="zh-CN"/>
        </w:rPr>
      </w:pPr>
    </w:p>
    <w:p w14:paraId="3C834D75">
      <w:pPr>
        <w:widowControl w:val="0"/>
        <w:numPr>
          <w:ilvl w:val="0"/>
          <w:numId w:val="0"/>
        </w:numPr>
        <w:spacing w:line="360" w:lineRule="auto"/>
        <w:jc w:val="both"/>
        <w:rPr>
          <w:rFonts w:hint="eastAsia" w:ascii="宋体" w:hAnsi="宋体" w:eastAsia="宋体" w:cs="宋体"/>
          <w:b/>
          <w:bCs/>
          <w:color w:val="000000"/>
          <w:sz w:val="30"/>
          <w:szCs w:val="30"/>
          <w:lang w:val="en-US" w:eastAsia="zh-CN"/>
        </w:rPr>
      </w:pPr>
    </w:p>
    <w:p w14:paraId="16330F77">
      <w:pPr>
        <w:widowControl w:val="0"/>
        <w:numPr>
          <w:ilvl w:val="0"/>
          <w:numId w:val="0"/>
        </w:numPr>
        <w:spacing w:line="360" w:lineRule="auto"/>
        <w:jc w:val="both"/>
        <w:rPr>
          <w:rFonts w:hint="eastAsia" w:ascii="宋体" w:hAnsi="宋体" w:eastAsia="宋体" w:cs="宋体"/>
          <w:b/>
          <w:bCs/>
          <w:color w:val="000000"/>
          <w:sz w:val="30"/>
          <w:szCs w:val="30"/>
          <w:lang w:val="en-US" w:eastAsia="zh-CN"/>
        </w:rPr>
      </w:pPr>
    </w:p>
    <w:p w14:paraId="6478D00D">
      <w:pPr>
        <w:widowControl w:val="0"/>
        <w:numPr>
          <w:ilvl w:val="0"/>
          <w:numId w:val="0"/>
        </w:numPr>
        <w:spacing w:line="360" w:lineRule="auto"/>
        <w:jc w:val="both"/>
        <w:rPr>
          <w:rFonts w:hint="eastAsia" w:ascii="宋体" w:hAnsi="宋体" w:eastAsia="宋体" w:cs="宋体"/>
          <w:b/>
          <w:bCs/>
          <w:color w:val="000000"/>
          <w:sz w:val="30"/>
          <w:szCs w:val="30"/>
          <w:lang w:val="en-US" w:eastAsia="zh-CN"/>
        </w:rPr>
      </w:pPr>
    </w:p>
    <w:p w14:paraId="1B22C766">
      <w:pPr>
        <w:widowControl w:val="0"/>
        <w:numPr>
          <w:ilvl w:val="0"/>
          <w:numId w:val="0"/>
        </w:numPr>
        <w:spacing w:line="360" w:lineRule="auto"/>
        <w:jc w:val="both"/>
        <w:rPr>
          <w:rFonts w:hint="eastAsia" w:ascii="宋体" w:hAnsi="宋体" w:eastAsia="宋体" w:cs="宋体"/>
          <w:b/>
          <w:bCs/>
          <w:color w:val="000000"/>
          <w:sz w:val="30"/>
          <w:szCs w:val="30"/>
          <w:lang w:val="en-US" w:eastAsia="zh-CN"/>
        </w:rPr>
      </w:pPr>
    </w:p>
    <w:p w14:paraId="3B84BAB0">
      <w:pPr>
        <w:widowControl w:val="0"/>
        <w:numPr>
          <w:ilvl w:val="0"/>
          <w:numId w:val="0"/>
        </w:numPr>
        <w:spacing w:line="360" w:lineRule="auto"/>
        <w:jc w:val="both"/>
        <w:rPr>
          <w:rFonts w:hint="eastAsia" w:ascii="宋体" w:hAnsi="宋体" w:eastAsia="宋体" w:cs="宋体"/>
          <w:b/>
          <w:bCs/>
          <w:color w:val="000000"/>
          <w:sz w:val="30"/>
          <w:szCs w:val="30"/>
          <w:lang w:val="en-US" w:eastAsia="zh-CN"/>
        </w:rPr>
      </w:pPr>
    </w:p>
    <w:p w14:paraId="64984F6D">
      <w:pPr>
        <w:widowControl w:val="0"/>
        <w:numPr>
          <w:ilvl w:val="0"/>
          <w:numId w:val="0"/>
        </w:numPr>
        <w:spacing w:line="360" w:lineRule="auto"/>
        <w:jc w:val="both"/>
        <w:rPr>
          <w:rFonts w:hint="eastAsia" w:ascii="宋体" w:hAnsi="宋体" w:eastAsia="宋体" w:cs="宋体"/>
          <w:b/>
          <w:bCs/>
          <w:color w:val="000000"/>
          <w:sz w:val="30"/>
          <w:szCs w:val="30"/>
          <w:lang w:val="en-US" w:eastAsia="zh-CN"/>
        </w:rPr>
      </w:pPr>
    </w:p>
    <w:p w14:paraId="5AE01B7F">
      <w:pPr>
        <w:widowControl w:val="0"/>
        <w:numPr>
          <w:ilvl w:val="0"/>
          <w:numId w:val="0"/>
        </w:numPr>
        <w:spacing w:line="360" w:lineRule="auto"/>
        <w:jc w:val="both"/>
        <w:rPr>
          <w:rFonts w:hint="eastAsia" w:ascii="宋体" w:hAnsi="宋体" w:eastAsia="宋体" w:cs="宋体"/>
          <w:b/>
          <w:bCs/>
          <w:color w:val="000000"/>
          <w:sz w:val="30"/>
          <w:szCs w:val="30"/>
          <w:lang w:val="en-US" w:eastAsia="zh-CN"/>
        </w:rPr>
      </w:pPr>
    </w:p>
    <w:p w14:paraId="1F3B8E32">
      <w:pPr>
        <w:widowControl w:val="0"/>
        <w:numPr>
          <w:ilvl w:val="0"/>
          <w:numId w:val="0"/>
        </w:numPr>
        <w:spacing w:line="360" w:lineRule="auto"/>
        <w:jc w:val="both"/>
        <w:rPr>
          <w:rFonts w:hint="eastAsia" w:ascii="宋体" w:hAnsi="宋体" w:eastAsia="宋体" w:cs="宋体"/>
          <w:b/>
          <w:bCs/>
          <w:color w:val="000000"/>
          <w:sz w:val="30"/>
          <w:szCs w:val="30"/>
          <w:lang w:val="en-US" w:eastAsia="zh-CN"/>
        </w:rPr>
      </w:pPr>
    </w:p>
    <w:p w14:paraId="21071C0C">
      <w:pPr>
        <w:widowControl w:val="0"/>
        <w:numPr>
          <w:ilvl w:val="0"/>
          <w:numId w:val="0"/>
        </w:numPr>
        <w:spacing w:line="360" w:lineRule="auto"/>
        <w:jc w:val="both"/>
        <w:rPr>
          <w:rFonts w:hint="eastAsia" w:ascii="宋体" w:hAnsi="宋体" w:eastAsia="宋体" w:cs="宋体"/>
          <w:b/>
          <w:bCs/>
          <w:color w:val="000000"/>
          <w:sz w:val="30"/>
          <w:szCs w:val="30"/>
          <w:lang w:val="en-US" w:eastAsia="zh-CN"/>
        </w:rPr>
      </w:pPr>
    </w:p>
    <w:p w14:paraId="6E4D95B6">
      <w:pPr>
        <w:widowControl w:val="0"/>
        <w:numPr>
          <w:ilvl w:val="0"/>
          <w:numId w:val="0"/>
        </w:numPr>
        <w:spacing w:line="360" w:lineRule="auto"/>
        <w:jc w:val="both"/>
        <w:rPr>
          <w:rFonts w:hint="eastAsia" w:ascii="宋体" w:hAnsi="宋体" w:eastAsia="宋体" w:cs="宋体"/>
          <w:b/>
          <w:bCs/>
          <w:color w:val="000000"/>
          <w:sz w:val="30"/>
          <w:szCs w:val="30"/>
          <w:lang w:val="en-US" w:eastAsia="zh-CN"/>
        </w:rPr>
      </w:pPr>
    </w:p>
    <w:p w14:paraId="6AF65B0D">
      <w:pPr>
        <w:numPr>
          <w:ilvl w:val="0"/>
          <w:numId w:val="0"/>
        </w:numPr>
        <w:spacing w:line="360" w:lineRule="auto"/>
        <w:jc w:val="both"/>
        <w:rPr>
          <w:rFonts w:hint="default" w:ascii="宋体" w:hAnsi="宋体" w:eastAsia="宋体" w:cs="宋体"/>
          <w:b/>
          <w:bCs/>
          <w:color w:val="000000"/>
          <w:kern w:val="2"/>
          <w:sz w:val="28"/>
          <w:szCs w:val="28"/>
          <w:lang w:val="en-US" w:eastAsia="zh-CN" w:bidi="ar-SA"/>
        </w:rPr>
      </w:pPr>
      <w:r>
        <w:rPr>
          <w:rFonts w:hint="eastAsia" w:ascii="宋体" w:hAnsi="宋体" w:eastAsia="宋体" w:cs="宋体"/>
          <w:b/>
          <w:bCs/>
          <w:color w:val="000000"/>
          <w:kern w:val="2"/>
          <w:sz w:val="28"/>
          <w:szCs w:val="28"/>
          <w:lang w:val="en-US" w:eastAsia="zh-CN" w:bidi="ar-SA"/>
        </w:rPr>
        <w:t>十二、技术要求响应表（响应“技术要求”里的表格内容）</w:t>
      </w:r>
    </w:p>
    <w:p w14:paraId="5D3DC33C">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jc w:val="left"/>
        <w:textAlignment w:val="auto"/>
        <w:rPr>
          <w:rFonts w:hint="eastAsia" w:ascii="宋体" w:hAnsi="宋体" w:eastAsia="宋体" w:cs="宋体"/>
          <w:b/>
          <w:bCs/>
          <w:sz w:val="28"/>
          <w:szCs w:val="28"/>
          <w:lang w:val="en-US" w:eastAsia="zh-CN"/>
        </w:rPr>
      </w:pPr>
    </w:p>
    <w:tbl>
      <w:tblPr>
        <w:tblStyle w:val="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20"/>
        <w:gridCol w:w="1420"/>
        <w:gridCol w:w="1420"/>
        <w:gridCol w:w="1421"/>
        <w:gridCol w:w="1421"/>
      </w:tblGrid>
      <w:tr w14:paraId="060F3C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tcPr>
          <w:p w14:paraId="5BFAC568">
            <w:pPr>
              <w:keepNext w:val="0"/>
              <w:keepLines w:val="0"/>
              <w:pageBreakBefore w:val="0"/>
              <w:widowControl w:val="0"/>
              <w:numPr>
                <w:ilvl w:val="0"/>
                <w:numId w:val="0"/>
              </w:numPr>
              <w:suppressLineNumbers w:val="0"/>
              <w:tabs>
                <w:tab w:val="left" w:pos="606"/>
              </w:tabs>
              <w:kinsoku/>
              <w:wordWrap/>
              <w:overflowPunct/>
              <w:topLinePunct w:val="0"/>
              <w:autoSpaceDE/>
              <w:autoSpaceDN/>
              <w:bidi w:val="0"/>
              <w:adjustRightInd/>
              <w:snapToGrid/>
              <w:spacing w:before="0" w:beforeAutospacing="0" w:after="0" w:afterAutospacing="0" w:line="360" w:lineRule="auto"/>
              <w:ind w:left="0" w:right="0"/>
              <w:jc w:val="left"/>
              <w:textAlignment w:val="auto"/>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序号</w:t>
            </w:r>
          </w:p>
        </w:tc>
        <w:tc>
          <w:tcPr>
            <w:tcW w:w="1420" w:type="dxa"/>
          </w:tcPr>
          <w:p w14:paraId="7353F301">
            <w:pPr>
              <w:keepNext w:val="0"/>
              <w:keepLines w:val="0"/>
              <w:pageBreakBefore w:val="0"/>
              <w:widowControl w:val="0"/>
              <w:numPr>
                <w:ilvl w:val="0"/>
                <w:numId w:val="0"/>
              </w:numPr>
              <w:suppressLineNumbers w:val="0"/>
              <w:tabs>
                <w:tab w:val="left" w:pos="606"/>
              </w:tabs>
              <w:kinsoku/>
              <w:wordWrap/>
              <w:overflowPunct/>
              <w:topLinePunct w:val="0"/>
              <w:autoSpaceDE/>
              <w:autoSpaceDN/>
              <w:bidi w:val="0"/>
              <w:adjustRightInd/>
              <w:snapToGrid/>
              <w:spacing w:before="0" w:beforeAutospacing="0" w:after="0" w:afterAutospacing="0" w:line="360" w:lineRule="auto"/>
              <w:ind w:left="0" w:right="0"/>
              <w:jc w:val="left"/>
              <w:textAlignment w:val="auto"/>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招标技术参数要求</w:t>
            </w:r>
          </w:p>
        </w:tc>
        <w:tc>
          <w:tcPr>
            <w:tcW w:w="1420" w:type="dxa"/>
          </w:tcPr>
          <w:p w14:paraId="7D69BC93">
            <w:pPr>
              <w:keepNext w:val="0"/>
              <w:keepLines w:val="0"/>
              <w:pageBreakBefore w:val="0"/>
              <w:widowControl w:val="0"/>
              <w:numPr>
                <w:ilvl w:val="0"/>
                <w:numId w:val="0"/>
              </w:numPr>
              <w:suppressLineNumbers w:val="0"/>
              <w:tabs>
                <w:tab w:val="left" w:pos="606"/>
              </w:tabs>
              <w:kinsoku/>
              <w:wordWrap/>
              <w:overflowPunct/>
              <w:topLinePunct w:val="0"/>
              <w:autoSpaceDE/>
              <w:autoSpaceDN/>
              <w:bidi w:val="0"/>
              <w:adjustRightInd/>
              <w:snapToGrid/>
              <w:spacing w:before="0" w:beforeAutospacing="0" w:after="0" w:afterAutospacing="0" w:line="360" w:lineRule="auto"/>
              <w:ind w:left="0" w:right="0"/>
              <w:jc w:val="left"/>
              <w:textAlignment w:val="auto"/>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投标人提供相应内容</w:t>
            </w:r>
          </w:p>
        </w:tc>
        <w:tc>
          <w:tcPr>
            <w:tcW w:w="1421" w:type="dxa"/>
          </w:tcPr>
          <w:p w14:paraId="26E3B981">
            <w:pPr>
              <w:keepNext w:val="0"/>
              <w:keepLines w:val="0"/>
              <w:pageBreakBefore w:val="0"/>
              <w:widowControl w:val="0"/>
              <w:numPr>
                <w:ilvl w:val="0"/>
                <w:numId w:val="0"/>
              </w:numPr>
              <w:suppressLineNumbers w:val="0"/>
              <w:tabs>
                <w:tab w:val="left" w:pos="606"/>
              </w:tabs>
              <w:kinsoku/>
              <w:wordWrap/>
              <w:overflowPunct/>
              <w:topLinePunct w:val="0"/>
              <w:autoSpaceDE/>
              <w:autoSpaceDN/>
              <w:bidi w:val="0"/>
              <w:adjustRightInd/>
              <w:snapToGrid/>
              <w:spacing w:before="0" w:beforeAutospacing="0" w:after="0" w:afterAutospacing="0" w:line="360" w:lineRule="auto"/>
              <w:ind w:left="0" w:right="0"/>
              <w:jc w:val="left"/>
              <w:textAlignment w:val="auto"/>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偏离程度</w:t>
            </w:r>
          </w:p>
        </w:tc>
        <w:tc>
          <w:tcPr>
            <w:tcW w:w="1421" w:type="dxa"/>
          </w:tcPr>
          <w:p w14:paraId="46816D3C">
            <w:pPr>
              <w:keepNext w:val="0"/>
              <w:keepLines w:val="0"/>
              <w:pageBreakBefore w:val="0"/>
              <w:widowControl w:val="0"/>
              <w:numPr>
                <w:ilvl w:val="0"/>
                <w:numId w:val="0"/>
              </w:numPr>
              <w:suppressLineNumbers w:val="0"/>
              <w:tabs>
                <w:tab w:val="left" w:pos="606"/>
              </w:tabs>
              <w:kinsoku/>
              <w:wordWrap/>
              <w:overflowPunct/>
              <w:topLinePunct w:val="0"/>
              <w:autoSpaceDE/>
              <w:autoSpaceDN/>
              <w:bidi w:val="0"/>
              <w:adjustRightInd/>
              <w:snapToGrid/>
              <w:spacing w:before="0" w:beforeAutospacing="0" w:after="0" w:afterAutospacing="0" w:line="360" w:lineRule="auto"/>
              <w:ind w:left="0" w:right="0"/>
              <w:jc w:val="left"/>
              <w:textAlignment w:val="auto"/>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备注</w:t>
            </w:r>
          </w:p>
        </w:tc>
      </w:tr>
      <w:tr w14:paraId="54A430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tcPr>
          <w:p w14:paraId="7FCA1DD3">
            <w:pPr>
              <w:keepNext w:val="0"/>
              <w:keepLines w:val="0"/>
              <w:pageBreakBefore w:val="0"/>
              <w:widowControl w:val="0"/>
              <w:numPr>
                <w:ilvl w:val="0"/>
                <w:numId w:val="0"/>
              </w:numPr>
              <w:suppressLineNumbers w:val="0"/>
              <w:tabs>
                <w:tab w:val="left" w:pos="606"/>
              </w:tabs>
              <w:kinsoku/>
              <w:wordWrap/>
              <w:overflowPunct/>
              <w:topLinePunct w:val="0"/>
              <w:autoSpaceDE/>
              <w:autoSpaceDN/>
              <w:bidi w:val="0"/>
              <w:adjustRightInd/>
              <w:snapToGrid/>
              <w:spacing w:before="0" w:beforeAutospacing="0" w:after="0" w:afterAutospacing="0" w:line="360" w:lineRule="auto"/>
              <w:ind w:left="0" w:right="0"/>
              <w:jc w:val="left"/>
              <w:textAlignment w:val="auto"/>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1</w:t>
            </w:r>
          </w:p>
        </w:tc>
        <w:tc>
          <w:tcPr>
            <w:tcW w:w="1420" w:type="dxa"/>
          </w:tcPr>
          <w:p w14:paraId="026070BC">
            <w:pPr>
              <w:keepNext w:val="0"/>
              <w:keepLines w:val="0"/>
              <w:pageBreakBefore w:val="0"/>
              <w:widowControl w:val="0"/>
              <w:numPr>
                <w:ilvl w:val="0"/>
                <w:numId w:val="0"/>
              </w:numPr>
              <w:suppressLineNumbers w:val="0"/>
              <w:tabs>
                <w:tab w:val="left" w:pos="606"/>
              </w:tabs>
              <w:kinsoku/>
              <w:wordWrap/>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sz w:val="24"/>
                <w:szCs w:val="24"/>
                <w:vertAlign w:val="baseline"/>
                <w:lang w:val="en-US" w:eastAsia="zh-CN"/>
              </w:rPr>
            </w:pPr>
          </w:p>
        </w:tc>
        <w:tc>
          <w:tcPr>
            <w:tcW w:w="1420" w:type="dxa"/>
          </w:tcPr>
          <w:p w14:paraId="3D27D5F0">
            <w:pPr>
              <w:keepNext w:val="0"/>
              <w:keepLines w:val="0"/>
              <w:pageBreakBefore w:val="0"/>
              <w:widowControl w:val="0"/>
              <w:numPr>
                <w:ilvl w:val="0"/>
                <w:numId w:val="0"/>
              </w:numPr>
              <w:suppressLineNumbers w:val="0"/>
              <w:tabs>
                <w:tab w:val="left" w:pos="606"/>
              </w:tabs>
              <w:kinsoku/>
              <w:wordWrap/>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sz w:val="24"/>
                <w:szCs w:val="24"/>
                <w:vertAlign w:val="baseline"/>
                <w:lang w:val="en-US" w:eastAsia="zh-CN"/>
              </w:rPr>
            </w:pPr>
          </w:p>
        </w:tc>
        <w:tc>
          <w:tcPr>
            <w:tcW w:w="1421" w:type="dxa"/>
          </w:tcPr>
          <w:p w14:paraId="7AEF7276">
            <w:pPr>
              <w:keepNext w:val="0"/>
              <w:keepLines w:val="0"/>
              <w:pageBreakBefore w:val="0"/>
              <w:widowControl w:val="0"/>
              <w:numPr>
                <w:ilvl w:val="0"/>
                <w:numId w:val="0"/>
              </w:numPr>
              <w:suppressLineNumbers w:val="0"/>
              <w:tabs>
                <w:tab w:val="left" w:pos="606"/>
              </w:tabs>
              <w:kinsoku/>
              <w:wordWrap/>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sz w:val="24"/>
                <w:szCs w:val="24"/>
                <w:vertAlign w:val="baseline"/>
                <w:lang w:val="en-US" w:eastAsia="zh-CN"/>
              </w:rPr>
            </w:pPr>
          </w:p>
        </w:tc>
        <w:tc>
          <w:tcPr>
            <w:tcW w:w="1421" w:type="dxa"/>
          </w:tcPr>
          <w:p w14:paraId="2A2668E3">
            <w:pPr>
              <w:keepNext w:val="0"/>
              <w:keepLines w:val="0"/>
              <w:pageBreakBefore w:val="0"/>
              <w:widowControl w:val="0"/>
              <w:numPr>
                <w:ilvl w:val="0"/>
                <w:numId w:val="0"/>
              </w:numPr>
              <w:suppressLineNumbers w:val="0"/>
              <w:tabs>
                <w:tab w:val="left" w:pos="606"/>
              </w:tabs>
              <w:kinsoku/>
              <w:wordWrap/>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sz w:val="24"/>
                <w:szCs w:val="24"/>
                <w:vertAlign w:val="baseline"/>
                <w:lang w:val="en-US" w:eastAsia="zh-CN"/>
              </w:rPr>
            </w:pPr>
          </w:p>
        </w:tc>
      </w:tr>
      <w:tr w14:paraId="682E16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tcPr>
          <w:p w14:paraId="6EEF8E2D">
            <w:pPr>
              <w:keepNext w:val="0"/>
              <w:keepLines w:val="0"/>
              <w:pageBreakBefore w:val="0"/>
              <w:widowControl w:val="0"/>
              <w:numPr>
                <w:ilvl w:val="0"/>
                <w:numId w:val="0"/>
              </w:numPr>
              <w:suppressLineNumbers w:val="0"/>
              <w:tabs>
                <w:tab w:val="left" w:pos="606"/>
              </w:tabs>
              <w:kinsoku/>
              <w:wordWrap/>
              <w:overflowPunct/>
              <w:topLinePunct w:val="0"/>
              <w:autoSpaceDE/>
              <w:autoSpaceDN/>
              <w:bidi w:val="0"/>
              <w:adjustRightInd/>
              <w:snapToGrid/>
              <w:spacing w:before="0" w:beforeAutospacing="0" w:after="0" w:afterAutospacing="0" w:line="360" w:lineRule="auto"/>
              <w:ind w:left="0" w:right="0"/>
              <w:jc w:val="left"/>
              <w:textAlignment w:val="auto"/>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2</w:t>
            </w:r>
          </w:p>
        </w:tc>
        <w:tc>
          <w:tcPr>
            <w:tcW w:w="1420" w:type="dxa"/>
          </w:tcPr>
          <w:p w14:paraId="306DDD5F">
            <w:pPr>
              <w:keepNext w:val="0"/>
              <w:keepLines w:val="0"/>
              <w:pageBreakBefore w:val="0"/>
              <w:widowControl w:val="0"/>
              <w:numPr>
                <w:ilvl w:val="0"/>
                <w:numId w:val="0"/>
              </w:numPr>
              <w:suppressLineNumbers w:val="0"/>
              <w:tabs>
                <w:tab w:val="left" w:pos="606"/>
              </w:tabs>
              <w:kinsoku/>
              <w:wordWrap/>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sz w:val="24"/>
                <w:szCs w:val="24"/>
                <w:vertAlign w:val="baseline"/>
                <w:lang w:val="en-US" w:eastAsia="zh-CN"/>
              </w:rPr>
            </w:pPr>
          </w:p>
        </w:tc>
        <w:tc>
          <w:tcPr>
            <w:tcW w:w="1420" w:type="dxa"/>
          </w:tcPr>
          <w:p w14:paraId="712AE15F">
            <w:pPr>
              <w:keepNext w:val="0"/>
              <w:keepLines w:val="0"/>
              <w:pageBreakBefore w:val="0"/>
              <w:widowControl w:val="0"/>
              <w:numPr>
                <w:ilvl w:val="0"/>
                <w:numId w:val="0"/>
              </w:numPr>
              <w:suppressLineNumbers w:val="0"/>
              <w:tabs>
                <w:tab w:val="left" w:pos="606"/>
              </w:tabs>
              <w:kinsoku/>
              <w:wordWrap/>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sz w:val="24"/>
                <w:szCs w:val="24"/>
                <w:vertAlign w:val="baseline"/>
                <w:lang w:val="en-US" w:eastAsia="zh-CN"/>
              </w:rPr>
            </w:pPr>
          </w:p>
        </w:tc>
        <w:tc>
          <w:tcPr>
            <w:tcW w:w="1421" w:type="dxa"/>
          </w:tcPr>
          <w:p w14:paraId="1732191F">
            <w:pPr>
              <w:keepNext w:val="0"/>
              <w:keepLines w:val="0"/>
              <w:pageBreakBefore w:val="0"/>
              <w:widowControl w:val="0"/>
              <w:numPr>
                <w:ilvl w:val="0"/>
                <w:numId w:val="0"/>
              </w:numPr>
              <w:suppressLineNumbers w:val="0"/>
              <w:tabs>
                <w:tab w:val="left" w:pos="606"/>
              </w:tabs>
              <w:kinsoku/>
              <w:wordWrap/>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sz w:val="24"/>
                <w:szCs w:val="24"/>
                <w:vertAlign w:val="baseline"/>
                <w:lang w:val="en-US" w:eastAsia="zh-CN"/>
              </w:rPr>
            </w:pPr>
          </w:p>
        </w:tc>
        <w:tc>
          <w:tcPr>
            <w:tcW w:w="1421" w:type="dxa"/>
          </w:tcPr>
          <w:p w14:paraId="1E6272EA">
            <w:pPr>
              <w:keepNext w:val="0"/>
              <w:keepLines w:val="0"/>
              <w:pageBreakBefore w:val="0"/>
              <w:widowControl w:val="0"/>
              <w:numPr>
                <w:ilvl w:val="0"/>
                <w:numId w:val="0"/>
              </w:numPr>
              <w:suppressLineNumbers w:val="0"/>
              <w:tabs>
                <w:tab w:val="left" w:pos="606"/>
              </w:tabs>
              <w:kinsoku/>
              <w:wordWrap/>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sz w:val="24"/>
                <w:szCs w:val="24"/>
                <w:vertAlign w:val="baseline"/>
                <w:lang w:val="en-US" w:eastAsia="zh-CN"/>
              </w:rPr>
            </w:pPr>
          </w:p>
        </w:tc>
      </w:tr>
      <w:tr w14:paraId="02F10B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tcPr>
          <w:p w14:paraId="479075E7">
            <w:pPr>
              <w:keepNext w:val="0"/>
              <w:keepLines w:val="0"/>
              <w:pageBreakBefore w:val="0"/>
              <w:widowControl w:val="0"/>
              <w:numPr>
                <w:ilvl w:val="0"/>
                <w:numId w:val="0"/>
              </w:numPr>
              <w:suppressLineNumbers w:val="0"/>
              <w:tabs>
                <w:tab w:val="left" w:pos="606"/>
              </w:tabs>
              <w:kinsoku/>
              <w:wordWrap/>
              <w:overflowPunct/>
              <w:topLinePunct w:val="0"/>
              <w:autoSpaceDE/>
              <w:autoSpaceDN/>
              <w:bidi w:val="0"/>
              <w:adjustRightInd/>
              <w:snapToGrid/>
              <w:spacing w:before="0" w:beforeAutospacing="0" w:after="0" w:afterAutospacing="0" w:line="360" w:lineRule="auto"/>
              <w:ind w:left="0" w:right="0"/>
              <w:jc w:val="left"/>
              <w:textAlignment w:val="auto"/>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3</w:t>
            </w:r>
          </w:p>
        </w:tc>
        <w:tc>
          <w:tcPr>
            <w:tcW w:w="1420" w:type="dxa"/>
          </w:tcPr>
          <w:p w14:paraId="1DE8EBEE">
            <w:pPr>
              <w:keepNext w:val="0"/>
              <w:keepLines w:val="0"/>
              <w:pageBreakBefore w:val="0"/>
              <w:widowControl w:val="0"/>
              <w:numPr>
                <w:ilvl w:val="0"/>
                <w:numId w:val="0"/>
              </w:numPr>
              <w:suppressLineNumbers w:val="0"/>
              <w:tabs>
                <w:tab w:val="left" w:pos="606"/>
              </w:tabs>
              <w:kinsoku/>
              <w:wordWrap/>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sz w:val="24"/>
                <w:szCs w:val="24"/>
                <w:vertAlign w:val="baseline"/>
                <w:lang w:val="en-US" w:eastAsia="zh-CN"/>
              </w:rPr>
            </w:pPr>
          </w:p>
        </w:tc>
        <w:tc>
          <w:tcPr>
            <w:tcW w:w="1420" w:type="dxa"/>
          </w:tcPr>
          <w:p w14:paraId="16BA336E">
            <w:pPr>
              <w:keepNext w:val="0"/>
              <w:keepLines w:val="0"/>
              <w:pageBreakBefore w:val="0"/>
              <w:widowControl w:val="0"/>
              <w:numPr>
                <w:ilvl w:val="0"/>
                <w:numId w:val="0"/>
              </w:numPr>
              <w:suppressLineNumbers w:val="0"/>
              <w:tabs>
                <w:tab w:val="left" w:pos="606"/>
              </w:tabs>
              <w:kinsoku/>
              <w:wordWrap/>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sz w:val="24"/>
                <w:szCs w:val="24"/>
                <w:vertAlign w:val="baseline"/>
                <w:lang w:val="en-US" w:eastAsia="zh-CN"/>
              </w:rPr>
            </w:pPr>
          </w:p>
        </w:tc>
        <w:tc>
          <w:tcPr>
            <w:tcW w:w="1421" w:type="dxa"/>
          </w:tcPr>
          <w:p w14:paraId="3C9CC45C">
            <w:pPr>
              <w:keepNext w:val="0"/>
              <w:keepLines w:val="0"/>
              <w:pageBreakBefore w:val="0"/>
              <w:widowControl w:val="0"/>
              <w:numPr>
                <w:ilvl w:val="0"/>
                <w:numId w:val="0"/>
              </w:numPr>
              <w:suppressLineNumbers w:val="0"/>
              <w:tabs>
                <w:tab w:val="left" w:pos="606"/>
              </w:tabs>
              <w:kinsoku/>
              <w:wordWrap/>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sz w:val="24"/>
                <w:szCs w:val="24"/>
                <w:vertAlign w:val="baseline"/>
                <w:lang w:val="en-US" w:eastAsia="zh-CN"/>
              </w:rPr>
            </w:pPr>
          </w:p>
        </w:tc>
        <w:tc>
          <w:tcPr>
            <w:tcW w:w="1421" w:type="dxa"/>
          </w:tcPr>
          <w:p w14:paraId="4233D2AD">
            <w:pPr>
              <w:keepNext w:val="0"/>
              <w:keepLines w:val="0"/>
              <w:pageBreakBefore w:val="0"/>
              <w:widowControl w:val="0"/>
              <w:numPr>
                <w:ilvl w:val="0"/>
                <w:numId w:val="0"/>
              </w:numPr>
              <w:suppressLineNumbers w:val="0"/>
              <w:tabs>
                <w:tab w:val="left" w:pos="606"/>
              </w:tabs>
              <w:kinsoku/>
              <w:wordWrap/>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sz w:val="24"/>
                <w:szCs w:val="24"/>
                <w:vertAlign w:val="baseline"/>
                <w:lang w:val="en-US" w:eastAsia="zh-CN"/>
              </w:rPr>
            </w:pPr>
          </w:p>
        </w:tc>
      </w:tr>
      <w:tr w14:paraId="3DE24A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tcPr>
          <w:p w14:paraId="6614C4FE">
            <w:pPr>
              <w:keepNext w:val="0"/>
              <w:keepLines w:val="0"/>
              <w:pageBreakBefore w:val="0"/>
              <w:widowControl w:val="0"/>
              <w:numPr>
                <w:ilvl w:val="0"/>
                <w:numId w:val="0"/>
              </w:numPr>
              <w:suppressLineNumbers w:val="0"/>
              <w:tabs>
                <w:tab w:val="left" w:pos="606"/>
              </w:tabs>
              <w:kinsoku/>
              <w:wordWrap/>
              <w:overflowPunct/>
              <w:topLinePunct w:val="0"/>
              <w:autoSpaceDE/>
              <w:autoSpaceDN/>
              <w:bidi w:val="0"/>
              <w:adjustRightInd/>
              <w:snapToGrid/>
              <w:spacing w:before="0" w:beforeAutospacing="0" w:after="0" w:afterAutospacing="0" w:line="360" w:lineRule="auto"/>
              <w:ind w:left="0" w:right="0"/>
              <w:jc w:val="left"/>
              <w:textAlignment w:val="auto"/>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w:t>
            </w:r>
          </w:p>
        </w:tc>
        <w:tc>
          <w:tcPr>
            <w:tcW w:w="1420" w:type="dxa"/>
          </w:tcPr>
          <w:p w14:paraId="7EBDE981">
            <w:pPr>
              <w:keepNext w:val="0"/>
              <w:keepLines w:val="0"/>
              <w:pageBreakBefore w:val="0"/>
              <w:widowControl w:val="0"/>
              <w:numPr>
                <w:ilvl w:val="0"/>
                <w:numId w:val="0"/>
              </w:numPr>
              <w:suppressLineNumbers w:val="0"/>
              <w:tabs>
                <w:tab w:val="left" w:pos="606"/>
              </w:tabs>
              <w:kinsoku/>
              <w:wordWrap/>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sz w:val="24"/>
                <w:szCs w:val="24"/>
                <w:vertAlign w:val="baseline"/>
                <w:lang w:val="en-US" w:eastAsia="zh-CN"/>
              </w:rPr>
            </w:pPr>
          </w:p>
        </w:tc>
        <w:tc>
          <w:tcPr>
            <w:tcW w:w="1420" w:type="dxa"/>
          </w:tcPr>
          <w:p w14:paraId="13ADD061">
            <w:pPr>
              <w:keepNext w:val="0"/>
              <w:keepLines w:val="0"/>
              <w:pageBreakBefore w:val="0"/>
              <w:widowControl w:val="0"/>
              <w:numPr>
                <w:ilvl w:val="0"/>
                <w:numId w:val="0"/>
              </w:numPr>
              <w:suppressLineNumbers w:val="0"/>
              <w:tabs>
                <w:tab w:val="left" w:pos="606"/>
              </w:tabs>
              <w:kinsoku/>
              <w:wordWrap/>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sz w:val="24"/>
                <w:szCs w:val="24"/>
                <w:vertAlign w:val="baseline"/>
                <w:lang w:val="en-US" w:eastAsia="zh-CN"/>
              </w:rPr>
            </w:pPr>
          </w:p>
        </w:tc>
        <w:tc>
          <w:tcPr>
            <w:tcW w:w="1421" w:type="dxa"/>
          </w:tcPr>
          <w:p w14:paraId="016A8BDA">
            <w:pPr>
              <w:keepNext w:val="0"/>
              <w:keepLines w:val="0"/>
              <w:pageBreakBefore w:val="0"/>
              <w:widowControl w:val="0"/>
              <w:numPr>
                <w:ilvl w:val="0"/>
                <w:numId w:val="0"/>
              </w:numPr>
              <w:suppressLineNumbers w:val="0"/>
              <w:tabs>
                <w:tab w:val="left" w:pos="606"/>
              </w:tabs>
              <w:kinsoku/>
              <w:wordWrap/>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sz w:val="24"/>
                <w:szCs w:val="24"/>
                <w:vertAlign w:val="baseline"/>
                <w:lang w:val="en-US" w:eastAsia="zh-CN"/>
              </w:rPr>
            </w:pPr>
          </w:p>
        </w:tc>
        <w:tc>
          <w:tcPr>
            <w:tcW w:w="1421" w:type="dxa"/>
          </w:tcPr>
          <w:p w14:paraId="66737D21">
            <w:pPr>
              <w:keepNext w:val="0"/>
              <w:keepLines w:val="0"/>
              <w:pageBreakBefore w:val="0"/>
              <w:widowControl w:val="0"/>
              <w:numPr>
                <w:ilvl w:val="0"/>
                <w:numId w:val="0"/>
              </w:numPr>
              <w:suppressLineNumbers w:val="0"/>
              <w:tabs>
                <w:tab w:val="left" w:pos="606"/>
              </w:tabs>
              <w:kinsoku/>
              <w:wordWrap/>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sz w:val="24"/>
                <w:szCs w:val="24"/>
                <w:vertAlign w:val="baseline"/>
                <w:lang w:val="en-US" w:eastAsia="zh-CN"/>
              </w:rPr>
            </w:pPr>
          </w:p>
        </w:tc>
      </w:tr>
    </w:tbl>
    <w:p w14:paraId="0C8960DE">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sz w:val="24"/>
          <w:szCs w:val="24"/>
        </w:rPr>
      </w:pPr>
      <w:r>
        <w:rPr>
          <w:rFonts w:hint="eastAsia" w:ascii="宋体" w:hAnsi="宋体" w:eastAsia="宋体" w:cs="宋体"/>
          <w:color w:val="000000"/>
          <w:kern w:val="0"/>
          <w:sz w:val="24"/>
          <w:szCs w:val="24"/>
          <w:lang w:val="en-US" w:eastAsia="zh-CN" w:bidi="ar"/>
        </w:rPr>
        <w:t>说明：</w:t>
      </w:r>
    </w:p>
    <w:p w14:paraId="7739B2D4">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1.投标人应当如实填写上表“投标人提供响应内容”处内容，对招标文件提出的要求和条件作出明确响应，并列明具体响应数值或内容，只注明符合、满足等无具体内容表述的，将视为未实质性满足招标文件要求。 </w:t>
      </w:r>
    </w:p>
    <w:p w14:paraId="51595215">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2.“偏离程度”处可填写满足、响应或正偏离、负偏离。 </w:t>
      </w:r>
    </w:p>
    <w:p w14:paraId="76409430">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 xml:space="preserve">3.“备注”处可填写偏离情况的具体说明。 </w:t>
      </w:r>
    </w:p>
    <w:p w14:paraId="42CAC21A">
      <w:pPr>
        <w:pageBreakBefore w:val="0"/>
        <w:numPr>
          <w:ilvl w:val="0"/>
          <w:numId w:val="0"/>
        </w:numPr>
        <w:tabs>
          <w:tab w:val="left" w:pos="606"/>
        </w:tabs>
        <w:wordWrap w:val="0"/>
        <w:autoSpaceDE/>
        <w:autoSpaceDN/>
        <w:bidi w:val="0"/>
        <w:snapToGrid/>
        <w:spacing w:line="360" w:lineRule="auto"/>
        <w:ind w:left="0" w:right="0" w:firstLine="0"/>
        <w:jc w:val="left"/>
        <w:rPr>
          <w:rFonts w:hint="default" w:ascii="宋体" w:hAnsi="宋体" w:eastAsia="宋体" w:cs="宋体"/>
          <w:b/>
          <w:sz w:val="28"/>
          <w:szCs w:val="28"/>
          <w:lang w:val="en-US" w:eastAsia="zh-CN"/>
        </w:rPr>
      </w:pPr>
      <w:r>
        <w:rPr>
          <w:rFonts w:hint="eastAsia" w:ascii="宋体" w:hAnsi="宋体" w:eastAsia="宋体" w:cs="宋体"/>
          <w:b/>
          <w:sz w:val="28"/>
          <w:szCs w:val="28"/>
          <w:lang w:val="en-US" w:eastAsia="zh-CN"/>
        </w:rPr>
        <w:t>十三、服务承诺</w:t>
      </w:r>
    </w:p>
    <w:p w14:paraId="3A626386">
      <w:pPr>
        <w:pageBreakBefore w:val="0"/>
        <w:numPr>
          <w:ilvl w:val="0"/>
          <w:numId w:val="0"/>
        </w:numPr>
        <w:tabs>
          <w:tab w:val="left" w:pos="606"/>
        </w:tabs>
        <w:wordWrap w:val="0"/>
        <w:autoSpaceDE/>
        <w:autoSpaceDN/>
        <w:bidi w:val="0"/>
        <w:snapToGrid/>
        <w:spacing w:line="360" w:lineRule="auto"/>
        <w:ind w:left="0" w:right="0" w:firstLine="0"/>
        <w:jc w:val="left"/>
        <w:rPr>
          <w:rFonts w:hint="eastAsia" w:ascii="宋体" w:hAnsi="宋体" w:eastAsia="宋体" w:cs="宋体"/>
          <w:b/>
          <w:sz w:val="28"/>
          <w:szCs w:val="28"/>
          <w:lang w:val="en-US" w:eastAsia="zh-CN"/>
        </w:rPr>
      </w:pPr>
      <w:r>
        <w:rPr>
          <w:rFonts w:hint="eastAsia" w:ascii="宋体" w:hAnsi="宋体" w:eastAsia="宋体" w:cs="宋体"/>
          <w:b/>
          <w:sz w:val="28"/>
          <w:szCs w:val="28"/>
          <w:lang w:val="en-US" w:eastAsia="zh-CN"/>
        </w:rPr>
        <w:t>十四、体系认证</w:t>
      </w:r>
    </w:p>
    <w:p w14:paraId="4160BE7F">
      <w:pPr>
        <w:pageBreakBefore w:val="0"/>
        <w:numPr>
          <w:ilvl w:val="0"/>
          <w:numId w:val="0"/>
        </w:numPr>
        <w:tabs>
          <w:tab w:val="left" w:pos="606"/>
        </w:tabs>
        <w:wordWrap w:val="0"/>
        <w:autoSpaceDE/>
        <w:autoSpaceDN/>
        <w:bidi w:val="0"/>
        <w:snapToGrid/>
        <w:spacing w:line="360" w:lineRule="auto"/>
        <w:ind w:left="0" w:right="0" w:firstLine="0"/>
        <w:jc w:val="left"/>
        <w:rPr>
          <w:rFonts w:hint="default" w:ascii="宋体" w:hAnsi="宋体" w:eastAsia="宋体" w:cs="宋体"/>
          <w:b/>
          <w:sz w:val="28"/>
          <w:szCs w:val="28"/>
          <w:lang w:val="en-US" w:eastAsia="zh-CN"/>
        </w:rPr>
      </w:pPr>
      <w:r>
        <w:rPr>
          <w:rFonts w:hint="eastAsia" w:ascii="宋体" w:hAnsi="宋体" w:eastAsia="宋体" w:cs="宋体"/>
          <w:b/>
          <w:sz w:val="28"/>
          <w:szCs w:val="28"/>
          <w:lang w:val="en-US" w:eastAsia="zh-CN"/>
        </w:rPr>
        <w:t>十五、服务方案</w:t>
      </w:r>
    </w:p>
    <w:p w14:paraId="69654F1E">
      <w:pPr>
        <w:pageBreakBefore w:val="0"/>
        <w:numPr>
          <w:ilvl w:val="0"/>
          <w:numId w:val="0"/>
        </w:numPr>
        <w:tabs>
          <w:tab w:val="left" w:pos="606"/>
        </w:tabs>
        <w:wordWrap w:val="0"/>
        <w:autoSpaceDE/>
        <w:autoSpaceDN/>
        <w:bidi w:val="0"/>
        <w:snapToGrid/>
        <w:spacing w:line="360" w:lineRule="auto"/>
        <w:ind w:left="0" w:right="0" w:firstLine="0"/>
        <w:jc w:val="left"/>
        <w:rPr>
          <w:rFonts w:hint="eastAsia" w:ascii="宋体" w:hAnsi="宋体" w:eastAsia="宋体" w:cs="宋体"/>
          <w:b/>
          <w:sz w:val="28"/>
          <w:szCs w:val="28"/>
          <w:lang w:val="en-US" w:eastAsia="zh-CN"/>
        </w:rPr>
      </w:pPr>
      <w:r>
        <w:rPr>
          <w:rFonts w:hint="eastAsia" w:ascii="宋体" w:hAnsi="宋体" w:eastAsia="宋体" w:cs="宋体"/>
          <w:b/>
          <w:sz w:val="28"/>
          <w:szCs w:val="28"/>
          <w:lang w:val="en-US" w:eastAsia="zh-CN"/>
        </w:rPr>
        <w:t>十六、</w:t>
      </w:r>
      <w:r>
        <w:rPr>
          <w:rFonts w:hint="eastAsia" w:ascii="宋体" w:hAnsi="宋体" w:eastAsia="宋体" w:cs="宋体"/>
          <w:b/>
          <w:sz w:val="28"/>
          <w:szCs w:val="28"/>
          <w:lang w:val="en-US" w:eastAsia="zh-CN"/>
        </w:rPr>
        <w:t>应急维护处置方案</w:t>
      </w:r>
    </w:p>
    <w:p w14:paraId="766D8F96">
      <w:pPr>
        <w:pageBreakBefore w:val="0"/>
        <w:numPr>
          <w:ilvl w:val="0"/>
          <w:numId w:val="0"/>
        </w:numPr>
        <w:tabs>
          <w:tab w:val="left" w:pos="606"/>
        </w:tabs>
        <w:wordWrap w:val="0"/>
        <w:autoSpaceDE/>
        <w:autoSpaceDN/>
        <w:bidi w:val="0"/>
        <w:snapToGrid/>
        <w:spacing w:line="360" w:lineRule="auto"/>
        <w:ind w:left="0" w:right="0" w:firstLine="0"/>
        <w:jc w:val="left"/>
        <w:rPr>
          <w:rFonts w:hint="eastAsia" w:ascii="宋体" w:hAnsi="宋体" w:eastAsia="宋体" w:cs="宋体"/>
          <w:b/>
          <w:sz w:val="28"/>
          <w:szCs w:val="28"/>
          <w:lang w:val="en-US" w:eastAsia="zh-CN"/>
        </w:rPr>
      </w:pPr>
      <w:r>
        <w:rPr>
          <w:rFonts w:hint="eastAsia" w:ascii="宋体" w:hAnsi="宋体" w:eastAsia="宋体" w:cs="宋体"/>
          <w:b/>
          <w:sz w:val="28"/>
          <w:szCs w:val="28"/>
          <w:lang w:val="en-US" w:eastAsia="zh-CN"/>
        </w:rPr>
        <w:t>十七、业绩</w:t>
      </w:r>
    </w:p>
    <w:p w14:paraId="6B986E27">
      <w:pPr>
        <w:pageBreakBefore w:val="0"/>
        <w:numPr>
          <w:ilvl w:val="0"/>
          <w:numId w:val="0"/>
        </w:numPr>
        <w:tabs>
          <w:tab w:val="left" w:pos="606"/>
        </w:tabs>
        <w:wordWrap w:val="0"/>
        <w:autoSpaceDE/>
        <w:autoSpaceDN/>
        <w:bidi w:val="0"/>
        <w:snapToGrid/>
        <w:spacing w:line="360" w:lineRule="auto"/>
        <w:ind w:left="0" w:right="0" w:firstLine="0"/>
        <w:jc w:val="left"/>
        <w:rPr>
          <w:rFonts w:hint="eastAsia" w:ascii="宋体" w:hAnsi="宋体" w:eastAsia="宋体" w:cs="宋体"/>
          <w:b/>
          <w:sz w:val="28"/>
          <w:szCs w:val="28"/>
          <w:lang w:val="en-US" w:eastAsia="zh-CN"/>
        </w:rPr>
      </w:pPr>
      <w:r>
        <w:rPr>
          <w:rFonts w:hint="eastAsia" w:ascii="宋体" w:hAnsi="宋体" w:eastAsia="宋体" w:cs="宋体"/>
          <w:b/>
          <w:sz w:val="28"/>
          <w:szCs w:val="28"/>
          <w:lang w:val="en-US" w:eastAsia="zh-CN"/>
        </w:rPr>
        <w:t>十八、综合评价</w:t>
      </w:r>
    </w:p>
    <w:p w14:paraId="67FB894E">
      <w:pPr>
        <w:pageBreakBefore w:val="0"/>
        <w:numPr>
          <w:ilvl w:val="0"/>
          <w:numId w:val="0"/>
        </w:numPr>
        <w:tabs>
          <w:tab w:val="left" w:pos="606"/>
        </w:tabs>
        <w:wordWrap w:val="0"/>
        <w:autoSpaceDE/>
        <w:autoSpaceDN/>
        <w:bidi w:val="0"/>
        <w:snapToGrid/>
        <w:spacing w:line="360" w:lineRule="auto"/>
        <w:ind w:left="0" w:right="0" w:firstLine="0"/>
        <w:jc w:val="left"/>
        <w:rPr>
          <w:rFonts w:hint="default" w:ascii="宋体" w:hAnsi="宋体" w:eastAsia="宋体" w:cs="宋体"/>
          <w:b/>
          <w:sz w:val="28"/>
          <w:szCs w:val="28"/>
          <w:lang w:val="en-US" w:eastAsia="zh-CN"/>
        </w:rPr>
      </w:pPr>
      <w:r>
        <w:rPr>
          <w:rFonts w:hint="eastAsia" w:ascii="宋体" w:hAnsi="宋体" w:eastAsia="宋体" w:cs="宋体"/>
          <w:b/>
          <w:sz w:val="28"/>
          <w:szCs w:val="28"/>
          <w:lang w:val="en-US" w:eastAsia="zh-CN"/>
        </w:rPr>
        <w:t>十九、其他</w:t>
      </w:r>
    </w:p>
    <w:p w14:paraId="42362294">
      <w:pPr>
        <w:pStyle w:val="6"/>
        <w:numPr>
          <w:ilvl w:val="0"/>
          <w:numId w:val="0"/>
        </w:numPr>
        <w:ind w:leftChars="0"/>
        <w:rPr>
          <w:rFonts w:hint="default" w:ascii="宋体" w:hAnsi="宋体" w:eastAsia="宋体" w:cs="宋体"/>
          <w:b/>
          <w:bCs/>
          <w:kern w:val="2"/>
          <w:sz w:val="30"/>
          <w:szCs w:val="30"/>
          <w:lang w:val="en-US" w:eastAsia="zh-CN" w:bidi="ar-SA"/>
        </w:rPr>
      </w:pPr>
    </w:p>
    <w:p w14:paraId="2FAF6612">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jc w:val="left"/>
        <w:textAlignment w:val="auto"/>
        <w:rPr>
          <w:rFonts w:hint="default" w:ascii="宋体" w:hAnsi="宋体" w:eastAsia="宋体" w:cs="宋体"/>
          <w:b/>
          <w:bCs/>
          <w:sz w:val="28"/>
          <w:szCs w:val="28"/>
          <w:lang w:val="en-US" w:eastAsia="zh-CN"/>
        </w:rPr>
      </w:pPr>
    </w:p>
    <w:sectPr>
      <w:headerReference r:id="rId4" w:type="default"/>
      <w:footerReference r:id="rId5"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2"/>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auto"/>
    <w:pitch w:val="default"/>
    <w:sig w:usb0="E4002EFF" w:usb1="C000247B" w:usb2="00000009" w:usb3="00000000" w:csb0="200001FF" w:csb1="00000000"/>
  </w:font>
  <w:font w:name="Segoe UI Symbol">
    <w:panose1 w:val="020B0502040204020203"/>
    <w:charset w:val="00"/>
    <w:family w:val="auto"/>
    <w:pitch w:val="default"/>
    <w:sig w:usb0="800001E3" w:usb1="1200FFEF" w:usb2="00040000" w:usb3="04000000" w:csb0="00000001" w:csb1="40000000"/>
  </w:font>
  <w:font w:name="Lucida Sans Unicode">
    <w:panose1 w:val="020B0602030504020204"/>
    <w:charset w:val="00"/>
    <w:family w:val="auto"/>
    <w:pitch w:val="default"/>
    <w:sig w:usb0="80001AFF" w:usb1="0000396B" w:usb2="00000000" w:usb3="00000000" w:csb0="200000BF" w:csb1="D7F70000"/>
  </w:font>
  <w:font w:name="仿宋">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auto"/>
    <w:pitch w:val="default"/>
    <w:sig w:usb0="00000000" w:usb1="00000000" w:usb2="00000000" w:usb3="00000000" w:csb0="00040000" w:csb1="00000000"/>
  </w:font>
  <w:font w:name="DejaVuSans">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B9B302">
    <w:pPr>
      <w:pStyle w:val="8"/>
      <w:jc w:val="both"/>
    </w:pPr>
    <w:r>
      <w:rPr>
        <w:sz w:val="20"/>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2" name="文本框 1"/>
              <wp:cNvGraphicFramePr/>
              <a:graphic xmlns:a="http://schemas.openxmlformats.org/drawingml/2006/main">
                <a:graphicData uri="http://schemas.microsoft.com/office/word/2010/wordprocessingShape">
                  <wps:wsp>
                    <wps:cNvSpPr txBox="1"/>
                    <wps:spPr>
                      <a:xfrm>
                        <a:off x="0" y="0"/>
                        <a:ext cx="1831340" cy="139700"/>
                      </a:xfrm>
                      <a:prstGeom prst="rect">
                        <a:avLst/>
                      </a:prstGeom>
                      <a:noFill/>
                      <a:ln cap="flat">
                        <a:noFill/>
                      </a:ln>
                    </wps:spPr>
                    <wps:txbx>
                      <w:txbxContent>
                        <w:p w14:paraId="6DB6C2F3">
                          <w:pPr>
                            <w:pStyle w:val="8"/>
                            <w:rPr>
                              <w:rFonts w:eastAsia="宋体"/>
                            </w:rPr>
                          </w:pPr>
                          <w:r>
                            <w:rPr>
                              <w:rFonts w:hint="eastAsia"/>
                            </w:rPr>
                            <w:fldChar w:fldCharType="begin"/>
                          </w:r>
                          <w:r>
                            <w:rPr>
                              <w:rFonts w:hint="eastAsia"/>
                            </w:rPr>
                            <w:instrText xml:space="preserve">PAGE  \* MERGEFORMAT</w:instrText>
                          </w:r>
                          <w:r>
                            <w:rPr>
                              <w:rFonts w:hint="eastAsia"/>
                            </w:rPr>
                            <w:fldChar w:fldCharType="separate"/>
                          </w:r>
                          <w:r>
                            <w:t>22</w:t>
                          </w:r>
                          <w:r>
                            <w:rPr>
                              <w:rFonts w:hint="eastAsia"/>
                            </w:rPr>
                            <w:fldChar w:fldCharType="end"/>
                          </w:r>
                        </w:p>
                      </w:txbxContent>
                    </wps:txbx>
                    <wps:bodyPr rot="0" spcFirstLastPara="0" vertOverflow="overflow" horzOverflow="overflow" vert="horz" wrap="none" lIns="0" tIns="0" rIns="0" bIns="0" numCol="1" spcCol="0" rtlCol="0" fromWordArt="0" anchor="ctr" anchorCtr="0" forceAA="0" compatLnSpc="0">
                      <a:spAutoFit/>
                    </wps:bodyPr>
                  </wps:wsp>
                </a:graphicData>
              </a:graphic>
            </wp:anchor>
          </w:drawing>
        </mc:Choice>
        <mc:Fallback>
          <w:pict>
            <v:shape id="文本框 1" o:spid="_x0000_s1026" o:spt="202" type="#_x0000_t202" style="position:absolute;left:0pt;margin-top:0pt;height:144pt;width:144pt;mso-position-horizontal:center;mso-position-horizontal-relative:margin;mso-wrap-style:none;z-index:251663360;v-text-anchor:middle;mso-width-relative:page;mso-height-relative:page;" filled="f" stroked="f" coordsize="21600,21600" o:gfxdata="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DnQN830QAAAAUBAAAPAAAAAAAAAAEAIAAAACIAAABkcnMvZG93bnJldi54bWxQSwECFAAU&#10;AAAACACHTuJAXUaz8zECAABZBAAADgAAAAAAAAABACAAAAAgAQAAZHJzL2Uyb0RvYy54bWxQSwUG&#10;AAAAAAYABgBZAQAAwwUAAAAA&#10;">
              <v:fill on="f" focussize="0,0"/>
              <v:stroke on="f"/>
              <v:imagedata o:title=""/>
              <o:lock v:ext="edit" aspectratio="f"/>
              <v:textbox inset="0mm,0mm,0mm,0mm" style="mso-fit-shape-to-text:t;">
                <w:txbxContent>
                  <w:p w14:paraId="6DB6C2F3">
                    <w:pPr>
                      <w:pStyle w:val="8"/>
                      <w:rPr>
                        <w:rFonts w:eastAsia="宋体"/>
                      </w:rPr>
                    </w:pPr>
                    <w:r>
                      <w:rPr>
                        <w:rFonts w:hint="eastAsia"/>
                      </w:rPr>
                      <w:fldChar w:fldCharType="begin"/>
                    </w:r>
                    <w:r>
                      <w:rPr>
                        <w:rFonts w:hint="eastAsia"/>
                      </w:rPr>
                      <w:instrText xml:space="preserve">PAGE  \* MERGEFORMAT</w:instrText>
                    </w:r>
                    <w:r>
                      <w:rPr>
                        <w:rFonts w:hint="eastAsia"/>
                      </w:rPr>
                      <w:fldChar w:fldCharType="separate"/>
                    </w:r>
                    <w:r>
                      <w:t>22</w:t>
                    </w:r>
                    <w:r>
                      <w:rPr>
                        <w:rFonts w:hint="eastAsia"/>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1DEB14">
    <w:pPr>
      <w:spacing w:line="14" w:lineRule="auto"/>
      <w:rPr>
        <w:rFonts w:ascii="Arial"/>
        <w:sz w:val="2"/>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C2AFA2">
    <w:pPr>
      <w:spacing w:line="14" w:lineRule="auto"/>
      <w:rPr>
        <w:rFonts w:ascii="Arial"/>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1761F00"/>
    <w:multiLevelType w:val="singleLevel"/>
    <w:tmpl w:val="91761F00"/>
    <w:lvl w:ilvl="0" w:tentative="0">
      <w:start w:val="1"/>
      <w:numFmt w:val="decimal"/>
      <w:suff w:val="nothing"/>
      <w:lvlText w:val="%1．"/>
      <w:lvlJc w:val="left"/>
      <w:pPr>
        <w:ind w:left="0" w:firstLine="400"/>
      </w:pPr>
      <w:rPr>
        <w:rFonts w:hint="default"/>
      </w:rPr>
    </w:lvl>
  </w:abstractNum>
  <w:abstractNum w:abstractNumId="1">
    <w:nsid w:val="CDDE96C9"/>
    <w:multiLevelType w:val="singleLevel"/>
    <w:tmpl w:val="CDDE96C9"/>
    <w:lvl w:ilvl="0" w:tentative="0">
      <w:start w:val="5"/>
      <w:numFmt w:val="chineseCounting"/>
      <w:suff w:val="nothing"/>
      <w:lvlText w:val="%1、"/>
      <w:lvlJc w:val="left"/>
      <w:rPr>
        <w:rFonts w:hint="eastAsia"/>
      </w:rPr>
    </w:lvl>
  </w:abstractNum>
  <w:abstractNum w:abstractNumId="2">
    <w:nsid w:val="D409392B"/>
    <w:multiLevelType w:val="singleLevel"/>
    <w:tmpl w:val="D409392B"/>
    <w:lvl w:ilvl="0" w:tentative="0">
      <w:start w:val="2"/>
      <w:numFmt w:val="chineseCounting"/>
      <w:suff w:val="nothing"/>
      <w:lvlText w:val="%1、"/>
      <w:lvlJc w:val="left"/>
      <w:pPr>
        <w:ind w:left="0" w:firstLine="0"/>
      </w:pPr>
      <w:rPr>
        <w:rFonts w:hint="eastAsia"/>
      </w:rPr>
    </w:lvl>
  </w:abstractNum>
  <w:abstractNum w:abstractNumId="3">
    <w:nsid w:val="D90AC5C0"/>
    <w:multiLevelType w:val="singleLevel"/>
    <w:tmpl w:val="D90AC5C0"/>
    <w:lvl w:ilvl="0" w:tentative="0">
      <w:start w:val="8"/>
      <w:numFmt w:val="chineseCounting"/>
      <w:suff w:val="nothing"/>
      <w:lvlText w:val="%1、"/>
      <w:lvlJc w:val="left"/>
      <w:rPr>
        <w:rFonts w:hint="eastAsia"/>
      </w:rPr>
    </w:lvl>
  </w:abstractNum>
  <w:abstractNum w:abstractNumId="4">
    <w:nsid w:val="2F000000"/>
    <w:multiLevelType w:val="multilevel"/>
    <w:tmpl w:val="2F000000"/>
    <w:lvl w:ilvl="0" w:tentative="0">
      <w:start w:val="1"/>
      <w:numFmt w:val="decimal"/>
      <w:suff w:val="nothing"/>
      <w:lvlText w:val="%1、"/>
      <w:lvlJc w:val="left"/>
    </w:lvl>
    <w:lvl w:ilvl="1" w:tentative="0">
      <w:start w:val="1"/>
      <w:numFmt w:val="decimal"/>
      <w:suff w:val="nothing"/>
      <w:lvlText w:val="%1、"/>
      <w:lvlJc w:val="left"/>
    </w:lvl>
    <w:lvl w:ilvl="2" w:tentative="0">
      <w:start w:val="1"/>
      <w:numFmt w:val="decimal"/>
      <w:suff w:val="nothing"/>
      <w:lvlText w:val="%1、"/>
      <w:lvlJc w:val="left"/>
    </w:lvl>
    <w:lvl w:ilvl="3" w:tentative="0">
      <w:start w:val="1"/>
      <w:numFmt w:val="decimal"/>
      <w:suff w:val="nothing"/>
      <w:lvlText w:val="%1、"/>
      <w:lvlJc w:val="left"/>
    </w:lvl>
    <w:lvl w:ilvl="4" w:tentative="0">
      <w:start w:val="1"/>
      <w:numFmt w:val="decimal"/>
      <w:suff w:val="nothing"/>
      <w:lvlText w:val="%1、"/>
      <w:lvlJc w:val="left"/>
    </w:lvl>
    <w:lvl w:ilvl="5" w:tentative="0">
      <w:start w:val="1"/>
      <w:numFmt w:val="decimal"/>
      <w:suff w:val="nothing"/>
      <w:lvlText w:val="%1、"/>
      <w:lvlJc w:val="left"/>
    </w:lvl>
    <w:lvl w:ilvl="6" w:tentative="0">
      <w:start w:val="1"/>
      <w:numFmt w:val="decimal"/>
      <w:suff w:val="nothing"/>
      <w:lvlText w:val="%1、"/>
      <w:lvlJc w:val="left"/>
    </w:lvl>
    <w:lvl w:ilvl="7" w:tentative="0">
      <w:start w:val="1"/>
      <w:numFmt w:val="decimal"/>
      <w:suff w:val="nothing"/>
      <w:lvlText w:val="%1、"/>
      <w:lvlJc w:val="left"/>
    </w:lvl>
    <w:lvl w:ilvl="8" w:tentative="0">
      <w:start w:val="1"/>
      <w:numFmt w:val="decimal"/>
      <w:suff w:val="nothing"/>
      <w:lvlText w:val="%1、"/>
      <w:lvlJc w:val="left"/>
    </w:lvl>
  </w:abstractNum>
  <w:num w:numId="1">
    <w:abstractNumId w:val="4"/>
  </w:num>
  <w:num w:numId="2">
    <w:abstractNumId w:val="0"/>
  </w:num>
  <w:num w:numId="3">
    <w:abstractNumId w:val="2"/>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2I5YmQyM2VlMzIyNzg3MTM0MjMzMjczYWU0N2U3MTcifQ=="/>
  </w:docVars>
  <w:rsids>
    <w:rsidRoot w:val="5CF27DD3"/>
    <w:rsid w:val="018B576F"/>
    <w:rsid w:val="027E2104"/>
    <w:rsid w:val="02B451B6"/>
    <w:rsid w:val="030D75C3"/>
    <w:rsid w:val="036A0F34"/>
    <w:rsid w:val="048927C6"/>
    <w:rsid w:val="04D74F47"/>
    <w:rsid w:val="055C4E55"/>
    <w:rsid w:val="069429D0"/>
    <w:rsid w:val="069D5FAD"/>
    <w:rsid w:val="07C64EDC"/>
    <w:rsid w:val="08DB2790"/>
    <w:rsid w:val="0ABD092B"/>
    <w:rsid w:val="0ADE5B84"/>
    <w:rsid w:val="0B8373EF"/>
    <w:rsid w:val="0C8920AB"/>
    <w:rsid w:val="0D414F1A"/>
    <w:rsid w:val="0E280BA1"/>
    <w:rsid w:val="0E6F5837"/>
    <w:rsid w:val="0E8F386B"/>
    <w:rsid w:val="10D51590"/>
    <w:rsid w:val="11C13E79"/>
    <w:rsid w:val="120F110A"/>
    <w:rsid w:val="13D937CD"/>
    <w:rsid w:val="141960BC"/>
    <w:rsid w:val="14511D5D"/>
    <w:rsid w:val="14597EA8"/>
    <w:rsid w:val="149B26E4"/>
    <w:rsid w:val="14A30191"/>
    <w:rsid w:val="18121689"/>
    <w:rsid w:val="18803BFB"/>
    <w:rsid w:val="19726BD9"/>
    <w:rsid w:val="1B031D68"/>
    <w:rsid w:val="1C5B1556"/>
    <w:rsid w:val="1DC84546"/>
    <w:rsid w:val="1E081EC2"/>
    <w:rsid w:val="1E165FD0"/>
    <w:rsid w:val="1F1D5B17"/>
    <w:rsid w:val="225B4788"/>
    <w:rsid w:val="231D3C2C"/>
    <w:rsid w:val="23C451C6"/>
    <w:rsid w:val="24280900"/>
    <w:rsid w:val="26283EB2"/>
    <w:rsid w:val="26E239E8"/>
    <w:rsid w:val="26E23DC6"/>
    <w:rsid w:val="28BF4D3E"/>
    <w:rsid w:val="28D177B8"/>
    <w:rsid w:val="29111AF1"/>
    <w:rsid w:val="295579BA"/>
    <w:rsid w:val="2B5C070D"/>
    <w:rsid w:val="2C4241C8"/>
    <w:rsid w:val="2D837139"/>
    <w:rsid w:val="2E8C3C00"/>
    <w:rsid w:val="2F534F90"/>
    <w:rsid w:val="2FE43113"/>
    <w:rsid w:val="31EE4882"/>
    <w:rsid w:val="333F7051"/>
    <w:rsid w:val="33F96FD6"/>
    <w:rsid w:val="34481B5C"/>
    <w:rsid w:val="37E01129"/>
    <w:rsid w:val="37FD18FB"/>
    <w:rsid w:val="38BD12DD"/>
    <w:rsid w:val="39EF7A7C"/>
    <w:rsid w:val="3A0E46DA"/>
    <w:rsid w:val="3E843922"/>
    <w:rsid w:val="3E94009E"/>
    <w:rsid w:val="3FB454E1"/>
    <w:rsid w:val="3FBA5681"/>
    <w:rsid w:val="415D48B4"/>
    <w:rsid w:val="425449BF"/>
    <w:rsid w:val="43E1752F"/>
    <w:rsid w:val="4803283D"/>
    <w:rsid w:val="49477DDF"/>
    <w:rsid w:val="4B645A8C"/>
    <w:rsid w:val="4B8219EB"/>
    <w:rsid w:val="4C0130D0"/>
    <w:rsid w:val="4C2B118A"/>
    <w:rsid w:val="4C873D0A"/>
    <w:rsid w:val="4D4A6990"/>
    <w:rsid w:val="4DE61182"/>
    <w:rsid w:val="4E3F0FB4"/>
    <w:rsid w:val="4E7D75B9"/>
    <w:rsid w:val="4E915170"/>
    <w:rsid w:val="4E992F9E"/>
    <w:rsid w:val="4F4C28E7"/>
    <w:rsid w:val="4FD40F9E"/>
    <w:rsid w:val="51827267"/>
    <w:rsid w:val="52E92F6A"/>
    <w:rsid w:val="52F97BD0"/>
    <w:rsid w:val="530F300E"/>
    <w:rsid w:val="53FD5379"/>
    <w:rsid w:val="56B63A7F"/>
    <w:rsid w:val="56D4087D"/>
    <w:rsid w:val="57224BDA"/>
    <w:rsid w:val="57403701"/>
    <w:rsid w:val="57A76181"/>
    <w:rsid w:val="582F100E"/>
    <w:rsid w:val="58EB14ED"/>
    <w:rsid w:val="59DA7579"/>
    <w:rsid w:val="5A5D2403"/>
    <w:rsid w:val="5B6E25BC"/>
    <w:rsid w:val="5B7C6170"/>
    <w:rsid w:val="5CBB64D2"/>
    <w:rsid w:val="5CF27DD3"/>
    <w:rsid w:val="5DE66B5A"/>
    <w:rsid w:val="5E132A05"/>
    <w:rsid w:val="5E9A7970"/>
    <w:rsid w:val="5F334CEB"/>
    <w:rsid w:val="5FB4161A"/>
    <w:rsid w:val="602C1CF6"/>
    <w:rsid w:val="60541B24"/>
    <w:rsid w:val="613C6BCD"/>
    <w:rsid w:val="618408C1"/>
    <w:rsid w:val="61C8114F"/>
    <w:rsid w:val="64BB1E86"/>
    <w:rsid w:val="656A32E7"/>
    <w:rsid w:val="66343542"/>
    <w:rsid w:val="667B1E6E"/>
    <w:rsid w:val="66A65A6B"/>
    <w:rsid w:val="67E63E11"/>
    <w:rsid w:val="683C6BCF"/>
    <w:rsid w:val="689171CA"/>
    <w:rsid w:val="69BC0519"/>
    <w:rsid w:val="6A5A66C0"/>
    <w:rsid w:val="6A8F035A"/>
    <w:rsid w:val="6BBC6069"/>
    <w:rsid w:val="6D320A99"/>
    <w:rsid w:val="6D901E35"/>
    <w:rsid w:val="6DA01355"/>
    <w:rsid w:val="6DCF0F3B"/>
    <w:rsid w:val="6F6367E4"/>
    <w:rsid w:val="71D23226"/>
    <w:rsid w:val="731E024A"/>
    <w:rsid w:val="758F3DF0"/>
    <w:rsid w:val="75927BBA"/>
    <w:rsid w:val="75CB3919"/>
    <w:rsid w:val="75F71947"/>
    <w:rsid w:val="76437B2F"/>
    <w:rsid w:val="76624DF0"/>
    <w:rsid w:val="77246C60"/>
    <w:rsid w:val="77974D55"/>
    <w:rsid w:val="77D96CDB"/>
    <w:rsid w:val="77E46B25"/>
    <w:rsid w:val="791B65A9"/>
    <w:rsid w:val="7B8F50A9"/>
    <w:rsid w:val="7CE26535"/>
    <w:rsid w:val="7E290090"/>
    <w:rsid w:val="7F4770F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qFormat="1" w:uiPriority="99"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9"/>
    <w:pPr>
      <w:keepNext/>
      <w:keepLines/>
      <w:spacing w:before="340" w:after="330" w:line="578" w:lineRule="auto"/>
      <w:outlineLvl w:val="0"/>
    </w:pPr>
    <w:rPr>
      <w:b/>
      <w:bCs/>
      <w:kern w:val="44"/>
      <w:sz w:val="44"/>
      <w:szCs w:val="44"/>
    </w:rPr>
  </w:style>
  <w:style w:type="paragraph" w:styleId="3">
    <w:name w:val="heading 2"/>
    <w:basedOn w:val="1"/>
    <w:next w:val="1"/>
    <w:autoRedefine/>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character" w:default="1" w:styleId="15">
    <w:name w:val="Default Paragraph Font"/>
    <w:autoRedefine/>
    <w:semiHidden/>
    <w:qFormat/>
    <w:uiPriority w:val="0"/>
  </w:style>
  <w:style w:type="table" w:default="1" w:styleId="13">
    <w:name w:val="Normal Table"/>
    <w:autoRedefine/>
    <w:semiHidden/>
    <w:qFormat/>
    <w:uiPriority w:val="0"/>
    <w:tblPr>
      <w:tblCellMar>
        <w:top w:w="0" w:type="dxa"/>
        <w:left w:w="108" w:type="dxa"/>
        <w:bottom w:w="0" w:type="dxa"/>
        <w:right w:w="108" w:type="dxa"/>
      </w:tblCellMar>
    </w:tblPr>
  </w:style>
  <w:style w:type="paragraph" w:styleId="4">
    <w:name w:val="table of authorities"/>
    <w:basedOn w:val="1"/>
    <w:next w:val="1"/>
    <w:unhideWhenUsed/>
    <w:qFormat/>
    <w:uiPriority w:val="99"/>
    <w:pPr>
      <w:ind w:left="420" w:leftChars="200"/>
    </w:pPr>
  </w:style>
  <w:style w:type="paragraph" w:styleId="5">
    <w:name w:val="Body Text Indent"/>
    <w:basedOn w:val="1"/>
    <w:autoRedefine/>
    <w:qFormat/>
    <w:uiPriority w:val="0"/>
    <w:pPr>
      <w:spacing w:after="120"/>
      <w:ind w:left="420" w:leftChars="200"/>
    </w:pPr>
  </w:style>
  <w:style w:type="paragraph" w:styleId="6">
    <w:name w:val="Plain Text"/>
    <w:basedOn w:val="7"/>
    <w:next w:val="1"/>
    <w:qFormat/>
    <w:uiPriority w:val="0"/>
    <w:rPr>
      <w:rFonts w:ascii="宋体" w:hAnsi="Courier New"/>
    </w:rPr>
  </w:style>
  <w:style w:type="paragraph" w:customStyle="1" w:styleId="7">
    <w:name w:val="Normal_6"/>
    <w:next w:val="6"/>
    <w:autoRedefine/>
    <w:qFormat/>
    <w:uiPriority w:val="0"/>
    <w:pPr>
      <w:widowControl w:val="0"/>
      <w:jc w:val="both"/>
    </w:pPr>
    <w:rPr>
      <w:rFonts w:ascii="Times New Roman" w:hAnsi="Times New Roman" w:eastAsia="宋体" w:cs="Times New Roman"/>
      <w:kern w:val="2"/>
      <w:sz w:val="21"/>
      <w:lang w:val="en-US" w:eastAsia="zh-CN" w:bidi="ar-SA"/>
    </w:rPr>
  </w:style>
  <w:style w:type="paragraph" w:styleId="8">
    <w:name w:val="footer"/>
    <w:basedOn w:val="1"/>
    <w:next w:val="1"/>
    <w:autoRedefine/>
    <w:qFormat/>
    <w:uiPriority w:val="0"/>
    <w:pPr>
      <w:tabs>
        <w:tab w:val="center" w:pos="4153"/>
        <w:tab w:val="right" w:pos="8306"/>
      </w:tabs>
      <w:snapToGrid w:val="0"/>
      <w:jc w:val="left"/>
    </w:pPr>
    <w:rPr>
      <w:sz w:val="18"/>
    </w:rPr>
  </w:style>
  <w:style w:type="paragraph" w:styleId="9">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0">
    <w:name w:val="Subtitle"/>
    <w:basedOn w:val="1"/>
    <w:next w:val="1"/>
    <w:qFormat/>
    <w:uiPriority w:val="0"/>
    <w:pPr>
      <w:autoSpaceDE/>
      <w:autoSpaceDN/>
      <w:spacing w:before="240" w:after="60" w:line="312" w:lineRule="auto"/>
      <w:ind w:firstLine="14"/>
      <w:jc w:val="center"/>
      <w:outlineLvl w:val="1"/>
    </w:pPr>
  </w:style>
  <w:style w:type="paragraph" w:styleId="11">
    <w:name w:val="Normal (Web)"/>
    <w:basedOn w:val="1"/>
    <w:autoRedefine/>
    <w:qFormat/>
    <w:uiPriority w:val="0"/>
    <w:pPr>
      <w:spacing w:before="0" w:beforeAutospacing="1" w:after="0" w:afterAutospacing="1"/>
      <w:ind w:left="0" w:right="0"/>
      <w:jc w:val="left"/>
    </w:pPr>
    <w:rPr>
      <w:kern w:val="0"/>
      <w:sz w:val="24"/>
      <w:lang w:val="en-US" w:eastAsia="zh-CN" w:bidi="ar"/>
    </w:rPr>
  </w:style>
  <w:style w:type="paragraph" w:styleId="12">
    <w:name w:val="Body Text First Indent 2"/>
    <w:basedOn w:val="5"/>
    <w:autoRedefine/>
    <w:qFormat/>
    <w:uiPriority w:val="0"/>
    <w:pPr>
      <w:ind w:firstLine="420" w:firstLineChars="200"/>
    </w:pPr>
  </w:style>
  <w:style w:type="table" w:styleId="14">
    <w:name w:val="Table Grid"/>
    <w:basedOn w:val="13"/>
    <w:autoRedefine/>
    <w:qFormat/>
    <w:uiPriority w:val="59"/>
    <w:rPr>
      <w:rFonts w:ascii="Calibri" w:hAnsi="Calibri"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6">
    <w:name w:val="Heading3"/>
    <w:basedOn w:val="1"/>
    <w:next w:val="1"/>
    <w:autoRedefine/>
    <w:qFormat/>
    <w:uiPriority w:val="0"/>
    <w:pPr>
      <w:keepNext/>
      <w:keepLines/>
      <w:spacing w:before="260" w:after="260" w:line="416" w:lineRule="auto"/>
    </w:pPr>
    <w:rPr>
      <w:b/>
      <w:bCs/>
      <w:kern w:val="2"/>
      <w:sz w:val="32"/>
      <w:szCs w:val="32"/>
      <w:lang w:eastAsia="zh-CN" w:bidi="ar-SA"/>
    </w:rPr>
  </w:style>
  <w:style w:type="character" w:customStyle="1" w:styleId="17">
    <w:name w:val="font12"/>
    <w:basedOn w:val="15"/>
    <w:autoRedefine/>
    <w:qFormat/>
    <w:uiPriority w:val="0"/>
    <w:rPr>
      <w:rFonts w:hint="eastAsia" w:ascii="宋体" w:hAnsi="宋体" w:eastAsia="宋体" w:cs="宋体"/>
      <w:b/>
      <w:color w:val="000000"/>
      <w:sz w:val="24"/>
      <w:szCs w:val="24"/>
      <w:u w:val="none"/>
    </w:rPr>
  </w:style>
  <w:style w:type="character" w:customStyle="1" w:styleId="18">
    <w:name w:val="font81"/>
    <w:basedOn w:val="15"/>
    <w:autoRedefine/>
    <w:qFormat/>
    <w:uiPriority w:val="0"/>
    <w:rPr>
      <w:rFonts w:hint="eastAsia" w:ascii="宋体" w:hAnsi="宋体" w:eastAsia="宋体" w:cs="宋体"/>
      <w:color w:val="000000"/>
      <w:sz w:val="20"/>
      <w:szCs w:val="20"/>
      <w:u w:val="none"/>
    </w:rPr>
  </w:style>
  <w:style w:type="character" w:customStyle="1" w:styleId="19">
    <w:name w:val="font101"/>
    <w:basedOn w:val="15"/>
    <w:autoRedefine/>
    <w:qFormat/>
    <w:uiPriority w:val="0"/>
    <w:rPr>
      <w:rFonts w:hint="eastAsia" w:ascii="宋体" w:hAnsi="宋体" w:eastAsia="宋体" w:cs="宋体"/>
      <w:b/>
      <w:color w:val="000000"/>
      <w:sz w:val="24"/>
      <w:szCs w:val="24"/>
      <w:u w:val="none"/>
    </w:rPr>
  </w:style>
  <w:style w:type="character" w:customStyle="1" w:styleId="20">
    <w:name w:val="font141"/>
    <w:basedOn w:val="15"/>
    <w:autoRedefine/>
    <w:qFormat/>
    <w:uiPriority w:val="0"/>
    <w:rPr>
      <w:rFonts w:hint="eastAsia" w:ascii="宋体" w:hAnsi="宋体" w:eastAsia="宋体" w:cs="宋体"/>
      <w:color w:val="000000"/>
      <w:sz w:val="20"/>
      <w:szCs w:val="20"/>
      <w:u w:val="none"/>
    </w:rPr>
  </w:style>
  <w:style w:type="paragraph" w:styleId="21">
    <w:name w:val="List Paragraph"/>
    <w:basedOn w:val="1"/>
    <w:autoRedefine/>
    <w:qFormat/>
    <w:uiPriority w:val="34"/>
    <w:pPr>
      <w:ind w:firstLine="420" w:firstLineChars="200"/>
    </w:pPr>
  </w:style>
  <w:style w:type="paragraph" w:customStyle="1" w:styleId="22">
    <w:name w:val="表格正文"/>
    <w:autoRedefine/>
    <w:qFormat/>
    <w:uiPriority w:val="0"/>
    <w:rPr>
      <w:rFonts w:ascii="宋体" w:hAnsi="宋体" w:eastAsia="宋体" w:cs="Times New Roman"/>
      <w:sz w:val="24"/>
      <w:szCs w:val="22"/>
      <w:lang w:val="en-US" w:eastAsia="zh-CN" w:bidi="ar-SA"/>
    </w:rPr>
  </w:style>
  <w:style w:type="table" w:customStyle="1" w:styleId="23">
    <w:name w:val="Table Normal"/>
    <w:autoRedefine/>
    <w:semiHidden/>
    <w:unhideWhenUsed/>
    <w:qFormat/>
    <w:uiPriority w:val="0"/>
    <w:tblPr>
      <w:tblCellMar>
        <w:top w:w="0" w:type="dxa"/>
        <w:left w:w="0" w:type="dxa"/>
        <w:bottom w:w="0" w:type="dxa"/>
        <w:right w:w="0" w:type="dxa"/>
      </w:tblCellMar>
    </w:tblPr>
  </w:style>
  <w:style w:type="paragraph" w:customStyle="1" w:styleId="24">
    <w:name w:val="Table Text"/>
    <w:basedOn w:val="1"/>
    <w:semiHidden/>
    <w:qFormat/>
    <w:uiPriority w:val="0"/>
    <w:rPr>
      <w:rFonts w:ascii="宋体" w:hAnsi="宋体" w:eastAsia="宋体" w:cs="宋体"/>
      <w:sz w:val="19"/>
      <w:szCs w:val="19"/>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46</Pages>
  <Words>12909</Words>
  <Characters>14393</Characters>
  <Lines>0</Lines>
  <Paragraphs>0</Paragraphs>
  <TotalTime>7</TotalTime>
  <ScaleCrop>false</ScaleCrop>
  <LinksUpToDate>false</LinksUpToDate>
  <CharactersWithSpaces>14847</CharactersWithSpaces>
  <Application>WPS Office_12.1.0.17857_F1E327BC-269C-435d-A152-05C5408002CA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2019-10-21T07:39:00Z</dcterms:created>
  <dc:creator>丫丫1383477281</dc:creator>
  <cp:lastModifiedBy>刘</cp:lastModifiedBy>
  <cp:lastPrinted>2019-10-29T03:34:00Z</cp:lastPrinted>
  <dcterms:modified xsi:type="dcterms:W3CDTF">2024-09-18T08:55:38Z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2052-12.1.0.17857</vt:lpwstr>
  </property>
  <property fmtid="{D5CDD505-2E9C-101B-9397-08002B2CF9AE}" pid="3" name="ICV">
    <vt:lpwstr>C1FC39DCE8B048BF8D94906E55DD8172_13</vt:lpwstr>
  </property>
</Properties>
</file>