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49854C47">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康部药房收费处住院处低位服务台改造项目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2024年10月18日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162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227467C6">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39C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rPr>
                <w:rFonts w:hint="default" w:ascii="宋体" w:hAnsi="宋体" w:eastAsia="宋体" w:cs="宋体"/>
                <w:lang w:val="en-US" w:eastAsia="zh-CN"/>
              </w:rPr>
            </w:pPr>
            <w:r>
              <w:rPr>
                <w:rFonts w:hint="eastAsia" w:ascii="宋体" w:hAnsi="宋体" w:eastAsia="宋体" w:cs="宋体"/>
                <w:sz w:val="24"/>
                <w:szCs w:val="24"/>
                <w:lang w:val="en-US" w:eastAsia="zh-CN"/>
              </w:rPr>
              <w:t>康部药房收费处住院处低位服务台改造项目</w:t>
            </w:r>
          </w:p>
        </w:tc>
        <w:tc>
          <w:tcPr>
            <w:tcW w:w="903" w:type="dxa"/>
            <w:vAlign w:val="center"/>
          </w:tcPr>
          <w:p w14:paraId="641F4E8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0B359F6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7D150D09">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767533</w:t>
            </w:r>
          </w:p>
        </w:tc>
      </w:tr>
      <w:tr w14:paraId="143A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180C327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5F1027A9">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具备有效的建筑工程施工总承包三级及以上资质或建筑装修装饰工程专业承包二级及以上资质。</w:t>
            </w:r>
          </w:p>
        </w:tc>
      </w:tr>
      <w:tr w14:paraId="721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92AEA6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7A39A3F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1E22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FAFB2E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4A59EB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施工主要材料进场验收完成后支付合同金额的30%，施工完成验收合格后支付合同金额的40%,审计审定完成后支付审定金额的25%，1年质保期后支付剩余5%。</w:t>
            </w:r>
          </w:p>
        </w:tc>
      </w:tr>
      <w:tr w14:paraId="0E3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3EF40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0DCD75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2804792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本项目为</w:t>
      </w:r>
      <w:r>
        <w:rPr>
          <w:rFonts w:hint="eastAsia" w:ascii="宋体" w:hAnsi="宋体" w:eastAsia="宋体" w:cs="宋体"/>
          <w:sz w:val="28"/>
          <w:szCs w:val="28"/>
          <w:lang w:eastAsia="zh-CN"/>
        </w:rPr>
        <w:t>鄂尔多斯市中心医院</w:t>
      </w:r>
      <w:r>
        <w:rPr>
          <w:rFonts w:hint="eastAsia" w:ascii="宋体" w:hAnsi="宋体" w:eastAsia="宋体" w:cs="宋体"/>
          <w:sz w:val="28"/>
          <w:szCs w:val="28"/>
          <w:lang w:val="en-US" w:eastAsia="zh-CN"/>
        </w:rPr>
        <w:t>康巴什部药房收费处住院处低位服务台改造项目</w:t>
      </w:r>
      <w:r>
        <w:rPr>
          <w:rFonts w:hint="eastAsia" w:ascii="宋体" w:hAnsi="宋体" w:eastAsia="宋体" w:cs="宋体"/>
          <w:sz w:val="28"/>
          <w:szCs w:val="28"/>
        </w:rPr>
        <w:t>，项目位于</w:t>
      </w:r>
      <w:r>
        <w:rPr>
          <w:rFonts w:hint="eastAsia" w:ascii="宋体" w:hAnsi="宋体" w:eastAsia="宋体" w:cs="宋体"/>
          <w:sz w:val="28"/>
          <w:szCs w:val="28"/>
          <w:lang w:eastAsia="zh-CN"/>
        </w:rPr>
        <w:t>内蒙古鄂尔多斯市中心医院</w:t>
      </w:r>
      <w:r>
        <w:rPr>
          <w:rFonts w:hint="eastAsia" w:ascii="宋体" w:hAnsi="宋体" w:eastAsia="宋体" w:cs="宋体"/>
          <w:sz w:val="28"/>
          <w:szCs w:val="28"/>
          <w:lang w:val="en-US" w:eastAsia="zh-CN"/>
        </w:rPr>
        <w:t>康巴什部，</w:t>
      </w:r>
      <w:r>
        <w:rPr>
          <w:rFonts w:hint="eastAsia" w:ascii="仿宋_GB2312" w:hAnsi="仿宋_GB2312" w:cs="仿宋_GB2312"/>
          <w:color w:val="auto"/>
          <w:sz w:val="32"/>
          <w:szCs w:val="32"/>
          <w:u w:val="none"/>
          <w:lang w:val="en-US" w:eastAsia="zh-CN"/>
        </w:rPr>
        <w:t>改造</w:t>
      </w:r>
      <w:r>
        <w:rPr>
          <w:rFonts w:hint="eastAsia" w:ascii="宋体" w:hAnsi="宋体" w:eastAsia="宋体" w:cs="宋体"/>
          <w:sz w:val="28"/>
          <w:szCs w:val="28"/>
          <w:lang w:val="en-US" w:eastAsia="zh-CN"/>
        </w:rPr>
        <w:t>药房、收费处、住院处服务台为达标的低位</w:t>
      </w:r>
      <w:r>
        <w:rPr>
          <w:rFonts w:hint="eastAsia" w:cs="Times New Roman"/>
          <w:color w:val="auto"/>
          <w:sz w:val="28"/>
          <w:szCs w:val="28"/>
          <w:lang w:val="en-US" w:eastAsia="zh-CN"/>
        </w:rPr>
        <w:t>无障碍台面</w:t>
      </w:r>
      <w:r>
        <w:rPr>
          <w:rFonts w:hint="eastAsia" w:cs="Times New Roman"/>
          <w:color w:val="auto"/>
          <w:sz w:val="32"/>
          <w:szCs w:val="32"/>
          <w:lang w:val="en-US" w:eastAsia="zh-CN"/>
        </w:rPr>
        <w:t>，</w:t>
      </w:r>
      <w:r>
        <w:rPr>
          <w:rFonts w:hint="eastAsia" w:ascii="宋体" w:hAnsi="宋体" w:eastAsia="宋体" w:cs="宋体"/>
          <w:sz w:val="28"/>
          <w:szCs w:val="28"/>
          <w:lang w:val="en-US" w:eastAsia="zh-CN"/>
        </w:rPr>
        <w:t>达到无障碍规范要求</w:t>
      </w:r>
      <w:r>
        <w:rPr>
          <w:rFonts w:hint="eastAsia" w:ascii="宋体" w:hAnsi="宋体" w:eastAsia="宋体" w:cs="宋体"/>
          <w:sz w:val="28"/>
          <w:szCs w:val="28"/>
          <w:lang w:eastAsia="zh-CN"/>
        </w:rPr>
        <w:t>。</w:t>
      </w:r>
    </w:p>
    <w:p w14:paraId="7DF14067">
      <w:pPr>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改造内容</w:t>
      </w:r>
    </w:p>
    <w:p w14:paraId="63C54D7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改造门诊药房、收费处、住院处服务台为达标的低位无障碍台面。</w:t>
      </w:r>
    </w:p>
    <w:p w14:paraId="3CDD9AD7">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拆除工程：原有服务台、吊顶、原有线路、灯具、吊顶、套装门、部分消防管道、弱电设备等。</w:t>
      </w:r>
    </w:p>
    <w:p w14:paraId="08F6611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装修工程：隔墙；墙面装饰、吊顶、地面铺装、升降玻璃等都需要满足科室要求。</w:t>
      </w:r>
    </w:p>
    <w:p w14:paraId="0FF5D58A">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安装工程：电动升降玻璃窗口、服务台及附属设施、地暖分水器移位、强弱电基础配线、开关、照明等。</w:t>
      </w:r>
    </w:p>
    <w:p w14:paraId="189E853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专业电子设备：电子显示屏。</w:t>
      </w:r>
    </w:p>
    <w:p w14:paraId="59B8D2D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详细施工做法见设计方案。</w:t>
      </w:r>
    </w:p>
    <w:p w14:paraId="55CE003F">
      <w:pPr>
        <w:ind w:firstLine="560" w:firstLineChars="200"/>
        <w:rPr>
          <w:rFonts w:hint="eastAsia" w:ascii="宋体" w:hAnsi="宋体" w:eastAsia="宋体" w:cs="宋体"/>
          <w:sz w:val="28"/>
          <w:szCs w:val="28"/>
          <w:lang w:val="en-US" w:eastAsia="zh-CN"/>
        </w:rPr>
      </w:pPr>
    </w:p>
    <w:p w14:paraId="6EF5726C">
      <w:pPr>
        <w:ind w:firstLine="560" w:firstLineChars="200"/>
        <w:rPr>
          <w:rFonts w:hint="eastAsia" w:ascii="宋体" w:hAnsi="宋体" w:eastAsia="宋体" w:cs="宋体"/>
          <w:sz w:val="28"/>
          <w:szCs w:val="28"/>
          <w:lang w:val="en-US" w:eastAsia="zh-CN"/>
        </w:rPr>
      </w:pPr>
    </w:p>
    <w:p w14:paraId="7A485F23">
      <w:pPr>
        <w:ind w:firstLine="560" w:firstLineChars="200"/>
        <w:rPr>
          <w:rFonts w:hint="eastAsia" w:ascii="宋体" w:hAnsi="宋体" w:eastAsia="宋体" w:cs="宋体"/>
          <w:sz w:val="28"/>
          <w:szCs w:val="28"/>
          <w:lang w:val="en-US" w:eastAsia="zh-CN"/>
        </w:rPr>
      </w:pPr>
    </w:p>
    <w:p w14:paraId="49C7B306">
      <w:pPr>
        <w:ind w:firstLine="560" w:firstLineChars="200"/>
        <w:rPr>
          <w:rFonts w:hint="eastAsia" w:ascii="宋体" w:hAnsi="宋体" w:eastAsia="宋体" w:cs="宋体"/>
          <w:sz w:val="28"/>
          <w:szCs w:val="28"/>
          <w:lang w:val="en-US" w:eastAsia="zh-CN"/>
        </w:rPr>
      </w:pPr>
    </w:p>
    <w:p w14:paraId="3D61A2B6">
      <w:pPr>
        <w:ind w:firstLine="560" w:firstLineChars="200"/>
        <w:rPr>
          <w:rFonts w:hint="eastAsia" w:ascii="宋体" w:hAnsi="宋体" w:eastAsia="宋体" w:cs="宋体"/>
          <w:sz w:val="28"/>
          <w:szCs w:val="28"/>
          <w:lang w:val="en-US" w:eastAsia="zh-CN"/>
        </w:rPr>
      </w:pPr>
    </w:p>
    <w:p w14:paraId="7E5CD808">
      <w:pPr>
        <w:ind w:firstLine="560" w:firstLineChars="200"/>
        <w:rPr>
          <w:rFonts w:hint="eastAsia" w:ascii="宋体" w:hAnsi="宋体" w:eastAsia="宋体" w:cs="宋体"/>
          <w:sz w:val="28"/>
          <w:szCs w:val="28"/>
          <w:lang w:val="en-US" w:eastAsia="zh-CN"/>
        </w:rPr>
      </w:pPr>
    </w:p>
    <w:p w14:paraId="1CDC9ECE">
      <w:pPr>
        <w:ind w:firstLine="560" w:firstLineChars="200"/>
        <w:rPr>
          <w:rFonts w:hint="eastAsia" w:ascii="宋体" w:hAnsi="宋体" w:eastAsia="宋体" w:cs="宋体"/>
          <w:sz w:val="28"/>
          <w:szCs w:val="28"/>
          <w:lang w:val="en-US" w:eastAsia="zh-CN"/>
        </w:rPr>
      </w:pPr>
    </w:p>
    <w:p w14:paraId="2A2A21BC">
      <w:pPr>
        <w:ind w:firstLine="560" w:firstLineChars="200"/>
        <w:rPr>
          <w:rFonts w:hint="eastAsia" w:ascii="宋体" w:hAnsi="宋体" w:eastAsia="宋体" w:cs="宋体"/>
          <w:sz w:val="28"/>
          <w:szCs w:val="28"/>
          <w:lang w:val="en-US" w:eastAsia="zh-CN"/>
        </w:rPr>
      </w:pPr>
    </w:p>
    <w:p w14:paraId="0DD8F26D">
      <w:pPr>
        <w:ind w:firstLine="560" w:firstLineChars="200"/>
        <w:rPr>
          <w:rFonts w:hint="eastAsia" w:ascii="宋体" w:hAnsi="宋体" w:eastAsia="宋体" w:cs="宋体"/>
          <w:sz w:val="28"/>
          <w:szCs w:val="28"/>
          <w:lang w:val="en-US" w:eastAsia="zh-CN"/>
        </w:rPr>
      </w:pPr>
    </w:p>
    <w:p w14:paraId="706E26D6">
      <w:pPr>
        <w:ind w:firstLine="560" w:firstLineChars="200"/>
        <w:rPr>
          <w:rFonts w:hint="eastAsia" w:ascii="宋体" w:hAnsi="宋体" w:eastAsia="宋体" w:cs="宋体"/>
          <w:sz w:val="28"/>
          <w:szCs w:val="28"/>
          <w:lang w:val="en-US" w:eastAsia="zh-CN"/>
        </w:rPr>
      </w:pPr>
    </w:p>
    <w:p w14:paraId="4BA0BC0B">
      <w:pPr>
        <w:ind w:firstLine="560" w:firstLineChars="200"/>
        <w:rPr>
          <w:rFonts w:hint="eastAsia" w:ascii="宋体" w:hAnsi="宋体" w:eastAsia="宋体" w:cs="宋体"/>
          <w:sz w:val="28"/>
          <w:szCs w:val="28"/>
          <w:lang w:val="en-US" w:eastAsia="zh-CN"/>
        </w:rPr>
      </w:pPr>
    </w:p>
    <w:p w14:paraId="0970B1E8">
      <w:pPr>
        <w:ind w:firstLine="560" w:firstLineChars="200"/>
        <w:rPr>
          <w:rFonts w:hint="eastAsia" w:ascii="宋体" w:hAnsi="宋体" w:eastAsia="宋体" w:cs="宋体"/>
          <w:sz w:val="28"/>
          <w:szCs w:val="28"/>
          <w:lang w:val="en-US" w:eastAsia="zh-CN"/>
        </w:rPr>
      </w:pPr>
    </w:p>
    <w:p w14:paraId="0B1D2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C4AD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BCC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838D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319C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BD0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5E80B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656E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635AD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tbl>
      <w:tblPr>
        <w:tblStyle w:val="11"/>
        <w:tblpPr w:leftFromText="180" w:rightFromText="180" w:vertAnchor="text" w:horzAnchor="page" w:tblpX="1355" w:tblpY="370"/>
        <w:tblOverlap w:val="never"/>
        <w:tblW w:w="9990" w:type="dxa"/>
        <w:tblInd w:w="0" w:type="dxa"/>
        <w:tblLayout w:type="fixed"/>
        <w:tblCellMar>
          <w:top w:w="0" w:type="dxa"/>
          <w:left w:w="108" w:type="dxa"/>
          <w:bottom w:w="0" w:type="dxa"/>
          <w:right w:w="108" w:type="dxa"/>
        </w:tblCellMar>
      </w:tblPr>
      <w:tblGrid>
        <w:gridCol w:w="732"/>
        <w:gridCol w:w="791"/>
        <w:gridCol w:w="6477"/>
        <w:gridCol w:w="995"/>
        <w:gridCol w:w="995"/>
      </w:tblGrid>
      <w:tr w14:paraId="7B749E9F">
        <w:tblPrEx>
          <w:tblCellMar>
            <w:top w:w="0" w:type="dxa"/>
            <w:left w:w="108" w:type="dxa"/>
            <w:bottom w:w="0" w:type="dxa"/>
            <w:right w:w="108" w:type="dxa"/>
          </w:tblCellMar>
        </w:tblPrEx>
        <w:trPr>
          <w:trHeight w:val="524" w:hRule="atLeast"/>
        </w:trPr>
        <w:tc>
          <w:tcPr>
            <w:tcW w:w="732" w:type="dxa"/>
            <w:tcBorders>
              <w:top w:val="single" w:color="auto" w:sz="4" w:space="0"/>
              <w:left w:val="single" w:color="auto" w:sz="4" w:space="0"/>
              <w:bottom w:val="single" w:color="auto" w:sz="4" w:space="0"/>
              <w:right w:val="single" w:color="auto" w:sz="4" w:space="0"/>
            </w:tcBorders>
            <w:vAlign w:val="center"/>
          </w:tcPr>
          <w:p w14:paraId="0134507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91" w:type="dxa"/>
            <w:tcBorders>
              <w:top w:val="single" w:color="auto" w:sz="4" w:space="0"/>
              <w:left w:val="nil"/>
              <w:bottom w:val="single" w:color="auto" w:sz="4" w:space="0"/>
              <w:right w:val="single" w:color="auto" w:sz="4" w:space="0"/>
            </w:tcBorders>
            <w:vAlign w:val="center"/>
          </w:tcPr>
          <w:p w14:paraId="34C3775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6477" w:type="dxa"/>
            <w:tcBorders>
              <w:top w:val="single" w:color="auto" w:sz="4" w:space="0"/>
              <w:left w:val="nil"/>
              <w:bottom w:val="single" w:color="auto" w:sz="4" w:space="0"/>
              <w:right w:val="single" w:color="auto" w:sz="4" w:space="0"/>
            </w:tcBorders>
            <w:vAlign w:val="center"/>
          </w:tcPr>
          <w:p w14:paraId="2FE9179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c>
          <w:tcPr>
            <w:tcW w:w="995" w:type="dxa"/>
            <w:tcBorders>
              <w:top w:val="single" w:color="auto" w:sz="4" w:space="0"/>
              <w:left w:val="nil"/>
              <w:bottom w:val="single" w:color="auto" w:sz="4" w:space="0"/>
              <w:right w:val="single" w:color="auto" w:sz="4" w:space="0"/>
            </w:tcBorders>
            <w:vAlign w:val="center"/>
          </w:tcPr>
          <w:p w14:paraId="3FC20E5C">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是否满足</w:t>
            </w:r>
          </w:p>
        </w:tc>
        <w:tc>
          <w:tcPr>
            <w:tcW w:w="995" w:type="dxa"/>
            <w:tcBorders>
              <w:top w:val="single" w:color="auto" w:sz="4" w:space="0"/>
              <w:left w:val="nil"/>
              <w:bottom w:val="single" w:color="auto" w:sz="4" w:space="0"/>
              <w:right w:val="single" w:color="auto" w:sz="4" w:space="0"/>
            </w:tcBorders>
            <w:vAlign w:val="center"/>
          </w:tcPr>
          <w:p w14:paraId="4619F69A">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响应页码</w:t>
            </w:r>
          </w:p>
        </w:tc>
      </w:tr>
      <w:tr w14:paraId="6C447BB6">
        <w:tblPrEx>
          <w:tblCellMar>
            <w:top w:w="0" w:type="dxa"/>
            <w:left w:w="108" w:type="dxa"/>
            <w:bottom w:w="0" w:type="dxa"/>
            <w:right w:w="108" w:type="dxa"/>
          </w:tblCellMar>
        </w:tblPrEx>
        <w:trPr>
          <w:trHeight w:val="395" w:hRule="atLeast"/>
        </w:trPr>
        <w:tc>
          <w:tcPr>
            <w:tcW w:w="732" w:type="dxa"/>
            <w:tcBorders>
              <w:top w:val="single" w:color="auto" w:sz="4" w:space="0"/>
              <w:left w:val="single" w:color="auto" w:sz="4" w:space="0"/>
              <w:bottom w:val="single" w:color="auto" w:sz="4" w:space="0"/>
              <w:right w:val="single" w:color="auto" w:sz="4" w:space="0"/>
            </w:tcBorders>
            <w:vAlign w:val="center"/>
          </w:tcPr>
          <w:p w14:paraId="2A75D250">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230B2F38">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6477" w:type="dxa"/>
            <w:tcBorders>
              <w:top w:val="single" w:color="auto" w:sz="4" w:space="0"/>
              <w:left w:val="nil"/>
              <w:bottom w:val="single" w:color="auto" w:sz="4" w:space="0"/>
              <w:right w:val="single" w:color="auto" w:sz="4" w:space="0"/>
            </w:tcBorders>
            <w:vAlign w:val="center"/>
          </w:tcPr>
          <w:p w14:paraId="78F9AC0C">
            <w:pPr>
              <w:pStyle w:val="23"/>
              <w:spacing w:before="82" w:line="310" w:lineRule="auto"/>
              <w:ind w:left="102" w:right="206" w:firstLine="14"/>
              <w:jc w:val="both"/>
              <w:rPr>
                <w:rFonts w:hint="eastAsia" w:ascii="宋体" w:hAnsi="宋体" w:eastAsia="宋体" w:cs="宋体"/>
                <w:kern w:val="0"/>
                <w:sz w:val="21"/>
                <w:szCs w:val="21"/>
                <w:lang w:eastAsia="zh-CN" w:bidi="lo-LA"/>
              </w:rPr>
            </w:pPr>
            <w:r>
              <w:rPr>
                <w:rFonts w:hint="eastAsia" w:ascii="宋体" w:hAnsi="宋体" w:cs="仿宋"/>
                <w:b/>
                <w:bCs/>
                <w:sz w:val="24"/>
                <w:szCs w:val="24"/>
                <w:highlight w:val="none"/>
              </w:rPr>
              <w:t>人造石</w:t>
            </w:r>
            <w:r>
              <w:rPr>
                <w:rFonts w:hint="eastAsia" w:ascii="宋体" w:hAnsi="宋体" w:cs="仿宋"/>
                <w:b/>
                <w:bCs/>
                <w:sz w:val="24"/>
                <w:szCs w:val="24"/>
                <w:highlight w:val="none"/>
                <w:lang w:eastAsia="zh-CN"/>
              </w:rPr>
              <w:t>：</w:t>
            </w:r>
            <w:r>
              <w:rPr>
                <w:rFonts w:hint="eastAsia" w:cs="仿宋"/>
                <w:b w:val="0"/>
                <w:bCs w:val="0"/>
                <w:sz w:val="19"/>
                <w:szCs w:val="19"/>
                <w:highlight w:val="none"/>
                <w:lang w:eastAsia="zh-CN"/>
              </w:rPr>
              <w:t>提供</w:t>
            </w:r>
            <w:r>
              <w:rPr>
                <w:rFonts w:hint="eastAsia" w:asciiTheme="minorEastAsia" w:hAnsiTheme="minorEastAsia" w:eastAsiaTheme="minorEastAsia" w:cstheme="minorEastAsia"/>
              </w:rPr>
              <w:t xml:space="preserve">有效的权威的第三方质量检测部门出具的带CNAS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p>
        </w:tc>
        <w:tc>
          <w:tcPr>
            <w:tcW w:w="995" w:type="dxa"/>
            <w:tcBorders>
              <w:top w:val="single" w:color="auto" w:sz="4" w:space="0"/>
              <w:left w:val="nil"/>
              <w:bottom w:val="single" w:color="auto" w:sz="4" w:space="0"/>
              <w:right w:val="single" w:color="auto" w:sz="4" w:space="0"/>
            </w:tcBorders>
            <w:vAlign w:val="center"/>
          </w:tcPr>
          <w:p w14:paraId="2BF7731D">
            <w:pPr>
              <w:spacing w:line="360" w:lineRule="auto"/>
              <w:rPr>
                <w:rFonts w:hint="eastAsia" w:ascii="宋体" w:hAnsi="宋体" w:cs="仿宋"/>
                <w:b/>
                <w:bCs/>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60D59C3">
            <w:pPr>
              <w:spacing w:line="360" w:lineRule="auto"/>
              <w:rPr>
                <w:rFonts w:hint="eastAsia" w:ascii="宋体" w:hAnsi="宋体" w:cs="仿宋"/>
                <w:b/>
                <w:bCs/>
                <w:sz w:val="24"/>
                <w:szCs w:val="24"/>
                <w:highlight w:val="none"/>
              </w:rPr>
            </w:pPr>
          </w:p>
        </w:tc>
      </w:tr>
      <w:tr w14:paraId="00ACD7DD">
        <w:tblPrEx>
          <w:tblCellMar>
            <w:top w:w="0" w:type="dxa"/>
            <w:left w:w="108" w:type="dxa"/>
            <w:bottom w:w="0" w:type="dxa"/>
            <w:right w:w="108" w:type="dxa"/>
          </w:tblCellMar>
        </w:tblPrEx>
        <w:trPr>
          <w:trHeight w:val="1165" w:hRule="atLeast"/>
        </w:trPr>
        <w:tc>
          <w:tcPr>
            <w:tcW w:w="732" w:type="dxa"/>
            <w:tcBorders>
              <w:top w:val="single" w:color="auto" w:sz="4" w:space="0"/>
              <w:left w:val="single" w:color="auto" w:sz="4" w:space="0"/>
              <w:bottom w:val="single" w:color="auto" w:sz="4" w:space="0"/>
              <w:right w:val="single" w:color="auto" w:sz="4" w:space="0"/>
            </w:tcBorders>
            <w:vAlign w:val="center"/>
          </w:tcPr>
          <w:p w14:paraId="0B268F90">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1AC855FC">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6477" w:type="dxa"/>
            <w:tcBorders>
              <w:top w:val="single" w:color="auto" w:sz="4" w:space="0"/>
              <w:left w:val="nil"/>
              <w:bottom w:val="single" w:color="auto" w:sz="4" w:space="0"/>
              <w:right w:val="single" w:color="auto" w:sz="4" w:space="0"/>
            </w:tcBorders>
            <w:vAlign w:val="center"/>
          </w:tcPr>
          <w:p w14:paraId="5CA6FD05">
            <w:pPr>
              <w:numPr>
                <w:ilvl w:val="0"/>
                <w:numId w:val="2"/>
              </w:numPr>
              <w:snapToGrid w:val="0"/>
              <w:spacing w:line="360" w:lineRule="auto"/>
              <w:rPr>
                <w:rFonts w:hint="default" w:ascii="宋体" w:hAnsi="宋体" w:eastAsia="宋体" w:cs="宋体"/>
                <w:kern w:val="0"/>
                <w:sz w:val="21"/>
                <w:szCs w:val="21"/>
                <w:lang w:val="en-US" w:eastAsia="zh-CN" w:bidi="lo-LA"/>
              </w:rPr>
            </w:pPr>
            <w:r>
              <w:rPr>
                <w:rFonts w:hint="eastAsia" w:ascii="宋体" w:hAnsi="宋体" w:cs="仿宋"/>
                <w:sz w:val="24"/>
                <w:szCs w:val="24"/>
                <w:highlight w:val="none"/>
              </w:rPr>
              <w:t>符合GB/T 24128-2018 《塑料防霉性能试验方法》，对黑曲霉、链格孢、出芽短梗霉、绿色木霉、宛氏拟青霉、桔青霉等不低于</w:t>
            </w:r>
            <w:r>
              <w:rPr>
                <w:rFonts w:ascii="宋体" w:hAnsi="宋体" w:cs="仿宋"/>
                <w:sz w:val="24"/>
                <w:szCs w:val="24"/>
                <w:highlight w:val="none"/>
              </w:rPr>
              <w:t>15种常见霉菌防霉等级不低于0级。</w:t>
            </w:r>
          </w:p>
        </w:tc>
        <w:tc>
          <w:tcPr>
            <w:tcW w:w="995" w:type="dxa"/>
            <w:tcBorders>
              <w:top w:val="single" w:color="auto" w:sz="4" w:space="0"/>
              <w:left w:val="nil"/>
              <w:bottom w:val="single" w:color="auto" w:sz="4" w:space="0"/>
              <w:right w:val="single" w:color="auto" w:sz="4" w:space="0"/>
            </w:tcBorders>
            <w:vAlign w:val="center"/>
          </w:tcPr>
          <w:p w14:paraId="2DF73D21">
            <w:pPr>
              <w:numPr>
                <w:ilvl w:val="0"/>
                <w:numId w:val="0"/>
              </w:num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1D3A873">
            <w:pPr>
              <w:numPr>
                <w:ilvl w:val="0"/>
                <w:numId w:val="0"/>
              </w:numPr>
              <w:snapToGrid w:val="0"/>
              <w:spacing w:line="360" w:lineRule="auto"/>
              <w:rPr>
                <w:rFonts w:hint="eastAsia" w:ascii="宋体" w:hAnsi="宋体" w:cs="仿宋"/>
                <w:sz w:val="24"/>
                <w:szCs w:val="24"/>
                <w:highlight w:val="none"/>
              </w:rPr>
            </w:pPr>
          </w:p>
        </w:tc>
      </w:tr>
      <w:tr w14:paraId="308649C4">
        <w:tblPrEx>
          <w:tblCellMar>
            <w:top w:w="0" w:type="dxa"/>
            <w:left w:w="108" w:type="dxa"/>
            <w:bottom w:w="0" w:type="dxa"/>
            <w:right w:w="108" w:type="dxa"/>
          </w:tblCellMar>
        </w:tblPrEx>
        <w:trPr>
          <w:trHeight w:val="90" w:hRule="atLeast"/>
        </w:trPr>
        <w:tc>
          <w:tcPr>
            <w:tcW w:w="732" w:type="dxa"/>
            <w:tcBorders>
              <w:top w:val="single" w:color="auto" w:sz="4" w:space="0"/>
              <w:left w:val="single" w:color="auto" w:sz="4" w:space="0"/>
              <w:bottom w:val="single" w:color="auto" w:sz="4" w:space="0"/>
              <w:right w:val="single" w:color="auto" w:sz="4" w:space="0"/>
            </w:tcBorders>
            <w:vAlign w:val="center"/>
          </w:tcPr>
          <w:p w14:paraId="2586BEB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1789DD0">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6477" w:type="dxa"/>
            <w:tcBorders>
              <w:top w:val="single" w:color="auto" w:sz="4" w:space="0"/>
              <w:left w:val="nil"/>
              <w:bottom w:val="single" w:color="auto" w:sz="4" w:space="0"/>
              <w:right w:val="single" w:color="auto" w:sz="4" w:space="0"/>
            </w:tcBorders>
            <w:vAlign w:val="center"/>
          </w:tcPr>
          <w:p w14:paraId="135F6FCF">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符合过GB/T 31402-2015 /ISO 22196:2007《塑料 塑料表面抗菌性能试验方法》检测标准，对大肠杆菌、金黄色葡萄球菌、白色葡萄球菌、鲍曼不动杆菌、粘质沙雷伯氏菌、变异库克菌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铜绿假单胞菌、肺炎克雷伯菌、、嗜麦芽窄食单胞菌、变形杆菌、洋葱伯克霍尔德氏菌、链球菌、军团杆菌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c>
          <w:tcPr>
            <w:tcW w:w="995" w:type="dxa"/>
            <w:tcBorders>
              <w:top w:val="single" w:color="auto" w:sz="4" w:space="0"/>
              <w:left w:val="nil"/>
              <w:bottom w:val="single" w:color="auto" w:sz="4" w:space="0"/>
              <w:right w:val="single" w:color="auto" w:sz="4" w:space="0"/>
            </w:tcBorders>
            <w:vAlign w:val="center"/>
          </w:tcPr>
          <w:p w14:paraId="43352620">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79E4AF55">
            <w:pPr>
              <w:snapToGrid w:val="0"/>
              <w:spacing w:line="360" w:lineRule="auto"/>
              <w:rPr>
                <w:rFonts w:hint="eastAsia" w:ascii="宋体" w:hAnsi="宋体" w:cs="仿宋"/>
                <w:sz w:val="24"/>
                <w:szCs w:val="24"/>
                <w:highlight w:val="none"/>
              </w:rPr>
            </w:pPr>
          </w:p>
        </w:tc>
      </w:tr>
      <w:tr w14:paraId="66417A33">
        <w:tblPrEx>
          <w:tblCellMar>
            <w:top w:w="0" w:type="dxa"/>
            <w:left w:w="108" w:type="dxa"/>
            <w:bottom w:w="0" w:type="dxa"/>
            <w:right w:w="108" w:type="dxa"/>
          </w:tblCellMar>
        </w:tblPrEx>
        <w:trPr>
          <w:trHeight w:val="394" w:hRule="atLeast"/>
        </w:trPr>
        <w:tc>
          <w:tcPr>
            <w:tcW w:w="732" w:type="dxa"/>
            <w:tcBorders>
              <w:top w:val="single" w:color="auto" w:sz="4" w:space="0"/>
              <w:left w:val="single" w:color="auto" w:sz="4" w:space="0"/>
              <w:bottom w:val="single" w:color="auto" w:sz="4" w:space="0"/>
              <w:right w:val="single" w:color="auto" w:sz="4" w:space="0"/>
            </w:tcBorders>
            <w:vAlign w:val="center"/>
          </w:tcPr>
          <w:p w14:paraId="7813289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4F246E0">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6477" w:type="dxa"/>
            <w:tcBorders>
              <w:top w:val="single" w:color="auto" w:sz="4" w:space="0"/>
              <w:left w:val="nil"/>
              <w:bottom w:val="single" w:color="auto" w:sz="4" w:space="0"/>
              <w:right w:val="single" w:color="auto" w:sz="4" w:space="0"/>
            </w:tcBorders>
            <w:vAlign w:val="center"/>
          </w:tcPr>
          <w:p w14:paraId="7D144DBC">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巴氏硬度≥</w:t>
            </w:r>
            <w:r>
              <w:rPr>
                <w:rFonts w:hint="eastAsia" w:ascii="宋体" w:hAnsi="宋体" w:cs="仿宋"/>
                <w:sz w:val="24"/>
                <w:szCs w:val="24"/>
                <w:highlight w:val="none"/>
                <w:lang w:val="en-US" w:eastAsia="zh-CN"/>
              </w:rPr>
              <w:t>6</w:t>
            </w:r>
            <w:r>
              <w:rPr>
                <w:rFonts w:hint="eastAsia" w:ascii="宋体" w:hAnsi="宋体" w:cs="仿宋"/>
                <w:sz w:val="24"/>
                <w:szCs w:val="24"/>
                <w:highlight w:val="none"/>
              </w:rPr>
              <w:t>0；冲击韧性≥</w:t>
            </w:r>
            <w:r>
              <w:rPr>
                <w:rFonts w:hint="eastAsia" w:ascii="宋体" w:hAnsi="宋体" w:cs="仿宋"/>
                <w:sz w:val="24"/>
                <w:szCs w:val="24"/>
                <w:highlight w:val="none"/>
                <w:lang w:val="en-US" w:eastAsia="zh-CN"/>
              </w:rPr>
              <w:t>4</w:t>
            </w:r>
            <w:r>
              <w:rPr>
                <w:rFonts w:hint="eastAsia" w:ascii="宋体" w:hAnsi="宋体" w:cs="仿宋"/>
                <w:sz w:val="24"/>
                <w:szCs w:val="24"/>
                <w:highlight w:val="none"/>
              </w:rPr>
              <w:t>.0kJ/m²；弯曲性能：a) 弯曲强度≥</w:t>
            </w:r>
            <w:r>
              <w:rPr>
                <w:rFonts w:hint="eastAsia" w:ascii="宋体" w:hAnsi="宋体" w:cs="仿宋"/>
                <w:sz w:val="24"/>
                <w:szCs w:val="24"/>
                <w:highlight w:val="none"/>
                <w:lang w:val="en-US" w:eastAsia="zh-CN"/>
              </w:rPr>
              <w:t>4</w:t>
            </w:r>
            <w:r>
              <w:rPr>
                <w:rFonts w:hint="eastAsia" w:ascii="宋体" w:hAnsi="宋体" w:cs="仿宋"/>
                <w:sz w:val="24"/>
                <w:szCs w:val="24"/>
                <w:highlight w:val="none"/>
              </w:rPr>
              <w:t>0MPa；b) 弯曲弹性模量≥</w:t>
            </w:r>
            <w:r>
              <w:rPr>
                <w:rFonts w:hint="eastAsia" w:ascii="宋体" w:hAnsi="宋体" w:cs="仿宋"/>
                <w:sz w:val="24"/>
                <w:szCs w:val="24"/>
                <w:highlight w:val="none"/>
                <w:lang w:val="en-US" w:eastAsia="zh-CN"/>
              </w:rPr>
              <w:t>4.5</w:t>
            </w:r>
            <w:r>
              <w:rPr>
                <w:rFonts w:hint="eastAsia" w:ascii="宋体" w:hAnsi="宋体" w:cs="仿宋"/>
                <w:sz w:val="24"/>
                <w:szCs w:val="24"/>
                <w:highlight w:val="none"/>
              </w:rPr>
              <w:t>GPa；耐磨性≤0.</w:t>
            </w:r>
            <w:r>
              <w:rPr>
                <w:rFonts w:hint="eastAsia" w:ascii="宋体" w:hAnsi="宋体" w:cs="仿宋"/>
                <w:sz w:val="24"/>
                <w:szCs w:val="24"/>
                <w:highlight w:val="none"/>
                <w:lang w:val="en-US" w:eastAsia="zh-CN"/>
              </w:rPr>
              <w:t>6</w:t>
            </w:r>
            <w:r>
              <w:rPr>
                <w:rFonts w:hint="eastAsia" w:ascii="宋体" w:hAnsi="宋体" w:cs="仿宋"/>
                <w:sz w:val="24"/>
                <w:szCs w:val="24"/>
                <w:highlight w:val="none"/>
              </w:rPr>
              <w:t>g；</w:t>
            </w:r>
          </w:p>
        </w:tc>
        <w:tc>
          <w:tcPr>
            <w:tcW w:w="995" w:type="dxa"/>
            <w:tcBorders>
              <w:top w:val="single" w:color="auto" w:sz="4" w:space="0"/>
              <w:left w:val="nil"/>
              <w:bottom w:val="single" w:color="auto" w:sz="4" w:space="0"/>
              <w:right w:val="single" w:color="auto" w:sz="4" w:space="0"/>
            </w:tcBorders>
            <w:vAlign w:val="center"/>
          </w:tcPr>
          <w:p w14:paraId="68FA3651">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1FE75F8">
            <w:pPr>
              <w:snapToGrid w:val="0"/>
              <w:spacing w:line="360" w:lineRule="auto"/>
              <w:rPr>
                <w:rFonts w:hint="eastAsia" w:ascii="宋体" w:hAnsi="宋体" w:cs="仿宋"/>
                <w:sz w:val="24"/>
                <w:szCs w:val="24"/>
                <w:highlight w:val="none"/>
              </w:rPr>
            </w:pPr>
          </w:p>
        </w:tc>
      </w:tr>
      <w:tr w14:paraId="433A30F8">
        <w:tblPrEx>
          <w:tblCellMar>
            <w:top w:w="0" w:type="dxa"/>
            <w:left w:w="108" w:type="dxa"/>
            <w:bottom w:w="0" w:type="dxa"/>
            <w:right w:w="108" w:type="dxa"/>
          </w:tblCellMar>
        </w:tblPrEx>
        <w:trPr>
          <w:trHeight w:val="782" w:hRule="atLeast"/>
        </w:trPr>
        <w:tc>
          <w:tcPr>
            <w:tcW w:w="732" w:type="dxa"/>
            <w:tcBorders>
              <w:top w:val="single" w:color="auto" w:sz="4" w:space="0"/>
              <w:left w:val="single" w:color="auto" w:sz="4" w:space="0"/>
              <w:bottom w:val="single" w:color="auto" w:sz="4" w:space="0"/>
              <w:right w:val="single" w:color="auto" w:sz="4" w:space="0"/>
            </w:tcBorders>
            <w:vAlign w:val="center"/>
          </w:tcPr>
          <w:p w14:paraId="05389948">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7F3CC447">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6477" w:type="dxa"/>
            <w:tcBorders>
              <w:top w:val="single" w:color="auto" w:sz="4" w:space="0"/>
              <w:left w:val="nil"/>
              <w:bottom w:val="single" w:color="auto" w:sz="4" w:space="0"/>
              <w:right w:val="single" w:color="auto" w:sz="4" w:space="0"/>
            </w:tcBorders>
            <w:vAlign w:val="center"/>
          </w:tcPr>
          <w:p w14:paraId="06A1F516">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耐化学药品性:试样表面应无明显损伤，轻度损伤用600目砂纸轻擦即可除去，损伤程度应不影响板材的使用性，并易恢复至原状。</w:t>
            </w:r>
          </w:p>
        </w:tc>
        <w:tc>
          <w:tcPr>
            <w:tcW w:w="995" w:type="dxa"/>
            <w:tcBorders>
              <w:top w:val="single" w:color="auto" w:sz="4" w:space="0"/>
              <w:left w:val="nil"/>
              <w:bottom w:val="single" w:color="auto" w:sz="4" w:space="0"/>
              <w:right w:val="single" w:color="auto" w:sz="4" w:space="0"/>
            </w:tcBorders>
            <w:vAlign w:val="center"/>
          </w:tcPr>
          <w:p w14:paraId="3CF8E3E6">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0576BD7">
            <w:pPr>
              <w:spacing w:line="360" w:lineRule="auto"/>
              <w:rPr>
                <w:rFonts w:hint="eastAsia" w:ascii="宋体" w:hAnsi="宋体" w:cs="仿宋"/>
                <w:sz w:val="24"/>
                <w:szCs w:val="24"/>
                <w:highlight w:val="none"/>
              </w:rPr>
            </w:pPr>
          </w:p>
        </w:tc>
      </w:tr>
      <w:tr w14:paraId="0CFCA119">
        <w:tblPrEx>
          <w:tblCellMar>
            <w:top w:w="0" w:type="dxa"/>
            <w:left w:w="108" w:type="dxa"/>
            <w:bottom w:w="0" w:type="dxa"/>
            <w:right w:w="108" w:type="dxa"/>
          </w:tblCellMar>
        </w:tblPrEx>
        <w:trPr>
          <w:trHeight w:val="394" w:hRule="atLeast"/>
        </w:trPr>
        <w:tc>
          <w:tcPr>
            <w:tcW w:w="732" w:type="dxa"/>
            <w:tcBorders>
              <w:top w:val="single" w:color="auto" w:sz="4" w:space="0"/>
              <w:left w:val="single" w:color="auto" w:sz="4" w:space="0"/>
              <w:bottom w:val="single" w:color="auto" w:sz="4" w:space="0"/>
              <w:right w:val="single" w:color="auto" w:sz="4" w:space="0"/>
            </w:tcBorders>
            <w:vAlign w:val="center"/>
          </w:tcPr>
          <w:p w14:paraId="6975D94F">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52487FA">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6477" w:type="dxa"/>
            <w:tcBorders>
              <w:top w:val="single" w:color="auto" w:sz="4" w:space="0"/>
              <w:left w:val="nil"/>
              <w:bottom w:val="single" w:color="auto" w:sz="4" w:space="0"/>
              <w:right w:val="single" w:color="auto" w:sz="4" w:space="0"/>
            </w:tcBorders>
            <w:vAlign w:val="center"/>
          </w:tcPr>
          <w:p w14:paraId="1F413915">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表面耐划痕：≥2级（1级最好，5级最差）；</w:t>
            </w:r>
          </w:p>
        </w:tc>
        <w:tc>
          <w:tcPr>
            <w:tcW w:w="995" w:type="dxa"/>
            <w:tcBorders>
              <w:top w:val="single" w:color="auto" w:sz="4" w:space="0"/>
              <w:left w:val="nil"/>
              <w:bottom w:val="single" w:color="auto" w:sz="4" w:space="0"/>
              <w:right w:val="single" w:color="auto" w:sz="4" w:space="0"/>
            </w:tcBorders>
            <w:vAlign w:val="center"/>
          </w:tcPr>
          <w:p w14:paraId="20F21971">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707D91D">
            <w:pPr>
              <w:snapToGrid w:val="0"/>
              <w:spacing w:line="360" w:lineRule="auto"/>
              <w:rPr>
                <w:rFonts w:hint="eastAsia" w:ascii="宋体" w:hAnsi="宋体" w:cs="仿宋"/>
                <w:sz w:val="24"/>
                <w:szCs w:val="24"/>
                <w:highlight w:val="none"/>
              </w:rPr>
            </w:pPr>
          </w:p>
        </w:tc>
      </w:tr>
      <w:tr w14:paraId="090D6ED2">
        <w:tblPrEx>
          <w:tblCellMar>
            <w:top w:w="0" w:type="dxa"/>
            <w:left w:w="108" w:type="dxa"/>
            <w:bottom w:w="0" w:type="dxa"/>
            <w:right w:w="108" w:type="dxa"/>
          </w:tblCellMar>
        </w:tblPrEx>
        <w:trPr>
          <w:trHeight w:val="310" w:hRule="atLeast"/>
        </w:trPr>
        <w:tc>
          <w:tcPr>
            <w:tcW w:w="732" w:type="dxa"/>
            <w:tcBorders>
              <w:top w:val="single" w:color="auto" w:sz="4" w:space="0"/>
              <w:left w:val="single" w:color="auto" w:sz="4" w:space="0"/>
              <w:bottom w:val="single" w:color="auto" w:sz="4" w:space="0"/>
              <w:right w:val="single" w:color="auto" w:sz="4" w:space="0"/>
            </w:tcBorders>
            <w:vAlign w:val="center"/>
          </w:tcPr>
          <w:p w14:paraId="1C729B1A">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6BED7CFF">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6477" w:type="dxa"/>
            <w:tcBorders>
              <w:top w:val="single" w:color="auto" w:sz="4" w:space="0"/>
              <w:left w:val="nil"/>
              <w:bottom w:val="single" w:color="auto" w:sz="4" w:space="0"/>
              <w:right w:val="single" w:color="auto" w:sz="4" w:space="0"/>
            </w:tcBorders>
            <w:vAlign w:val="center"/>
          </w:tcPr>
          <w:p w14:paraId="111057E0">
            <w:pPr>
              <w:widowControl/>
              <w:spacing w:line="240" w:lineRule="auto"/>
              <w:jc w:val="left"/>
              <w:rPr>
                <w:rFonts w:hint="eastAsia" w:ascii="宋体" w:hAnsi="宋体" w:eastAsia="宋体" w:cs="宋体"/>
                <w:kern w:val="0"/>
                <w:sz w:val="21"/>
                <w:szCs w:val="21"/>
                <w:lang w:eastAsia="zh-CN" w:bidi="lo-LA"/>
              </w:rPr>
            </w:pPr>
            <w:r>
              <w:rPr>
                <w:rFonts w:hint="eastAsia" w:ascii="宋体" w:hAnsi="宋体" w:cs="仿宋"/>
                <w:sz w:val="24"/>
                <w:szCs w:val="24"/>
                <w:highlight w:val="none"/>
              </w:rPr>
              <w:t>吸水率：≤0.2%；</w:t>
            </w:r>
          </w:p>
        </w:tc>
        <w:tc>
          <w:tcPr>
            <w:tcW w:w="995" w:type="dxa"/>
            <w:tcBorders>
              <w:top w:val="single" w:color="auto" w:sz="4" w:space="0"/>
              <w:left w:val="nil"/>
              <w:bottom w:val="single" w:color="auto" w:sz="4" w:space="0"/>
              <w:right w:val="single" w:color="auto" w:sz="4" w:space="0"/>
            </w:tcBorders>
            <w:vAlign w:val="center"/>
          </w:tcPr>
          <w:p w14:paraId="5A96C715">
            <w:pPr>
              <w:widowControl/>
              <w:spacing w:line="240" w:lineRule="auto"/>
              <w:jc w:val="left"/>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1F1CE5D">
            <w:pPr>
              <w:widowControl/>
              <w:spacing w:line="240" w:lineRule="auto"/>
              <w:jc w:val="left"/>
              <w:rPr>
                <w:rFonts w:hint="eastAsia" w:ascii="宋体" w:hAnsi="宋体" w:cs="仿宋"/>
                <w:sz w:val="24"/>
                <w:szCs w:val="24"/>
                <w:highlight w:val="none"/>
              </w:rPr>
            </w:pPr>
          </w:p>
        </w:tc>
      </w:tr>
      <w:tr w14:paraId="6047807F">
        <w:tblPrEx>
          <w:tblCellMar>
            <w:top w:w="0" w:type="dxa"/>
            <w:left w:w="108" w:type="dxa"/>
            <w:bottom w:w="0" w:type="dxa"/>
            <w:right w:w="108" w:type="dxa"/>
          </w:tblCellMar>
        </w:tblPrEx>
        <w:trPr>
          <w:trHeight w:val="395" w:hRule="atLeast"/>
        </w:trPr>
        <w:tc>
          <w:tcPr>
            <w:tcW w:w="732" w:type="dxa"/>
            <w:tcBorders>
              <w:top w:val="single" w:color="auto" w:sz="4" w:space="0"/>
              <w:left w:val="single" w:color="auto" w:sz="4" w:space="0"/>
              <w:bottom w:val="single" w:color="auto" w:sz="4" w:space="0"/>
              <w:right w:val="single" w:color="auto" w:sz="4" w:space="0"/>
            </w:tcBorders>
            <w:vAlign w:val="center"/>
          </w:tcPr>
          <w:p w14:paraId="3C6EAD44">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477F21D">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6477" w:type="dxa"/>
            <w:tcBorders>
              <w:top w:val="single" w:color="auto" w:sz="4" w:space="0"/>
              <w:left w:val="nil"/>
              <w:bottom w:val="single" w:color="auto" w:sz="4" w:space="0"/>
              <w:right w:val="single" w:color="auto" w:sz="4" w:space="0"/>
            </w:tcBorders>
            <w:vAlign w:val="center"/>
          </w:tcPr>
          <w:p w14:paraId="337425BE">
            <w:pPr>
              <w:spacing w:line="360" w:lineRule="auto"/>
              <w:rPr>
                <w:rFonts w:hint="eastAsia" w:ascii="宋体" w:hAnsi="宋体" w:eastAsia="宋体" w:cs="宋体"/>
                <w:kern w:val="0"/>
                <w:sz w:val="21"/>
                <w:szCs w:val="21"/>
                <w:lang w:eastAsia="zh-CN" w:bidi="lo-LA"/>
              </w:rPr>
            </w:pPr>
            <w:r>
              <w:rPr>
                <w:rFonts w:hint="eastAsia" w:ascii="宋体" w:hAnsi="宋体" w:cs="仿宋"/>
                <w:b/>
                <w:bCs/>
                <w:sz w:val="24"/>
                <w:szCs w:val="24"/>
                <w:highlight w:val="none"/>
              </w:rPr>
              <w:t>电解钢板</w:t>
            </w:r>
            <w:r>
              <w:rPr>
                <w:rFonts w:hint="eastAsia" w:ascii="宋体" w:hAnsi="宋体" w:cs="仿宋"/>
                <w:b/>
                <w:bCs/>
                <w:sz w:val="24"/>
                <w:szCs w:val="24"/>
                <w:highlight w:val="none"/>
                <w:lang w:eastAsia="zh-CN"/>
              </w:rPr>
              <w:t>：</w:t>
            </w:r>
            <w:r>
              <w:rPr>
                <w:rFonts w:hint="eastAsia" w:cs="仿宋"/>
                <w:b w:val="0"/>
                <w:bCs w:val="0"/>
                <w:sz w:val="19"/>
                <w:szCs w:val="19"/>
                <w:highlight w:val="none"/>
                <w:lang w:eastAsia="zh-CN"/>
              </w:rPr>
              <w:t>提供</w:t>
            </w:r>
            <w:r>
              <w:rPr>
                <w:rFonts w:hint="eastAsia" w:asciiTheme="minorEastAsia" w:hAnsiTheme="minorEastAsia" w:eastAsiaTheme="minorEastAsia" w:cstheme="minorEastAsia"/>
              </w:rPr>
              <w:t xml:space="preserve">有效的权威的第三方质量检测部门出具的带CNAS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p>
        </w:tc>
        <w:tc>
          <w:tcPr>
            <w:tcW w:w="995" w:type="dxa"/>
            <w:tcBorders>
              <w:top w:val="single" w:color="auto" w:sz="4" w:space="0"/>
              <w:left w:val="nil"/>
              <w:bottom w:val="single" w:color="auto" w:sz="4" w:space="0"/>
              <w:right w:val="single" w:color="auto" w:sz="4" w:space="0"/>
            </w:tcBorders>
            <w:vAlign w:val="center"/>
          </w:tcPr>
          <w:p w14:paraId="32E4E09D">
            <w:pPr>
              <w:spacing w:line="360" w:lineRule="auto"/>
              <w:rPr>
                <w:rFonts w:hint="eastAsia" w:ascii="宋体" w:hAnsi="宋体" w:cs="仿宋"/>
                <w:b/>
                <w:bCs/>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9C4EBAF">
            <w:pPr>
              <w:spacing w:line="360" w:lineRule="auto"/>
              <w:rPr>
                <w:rFonts w:hint="eastAsia" w:ascii="宋体" w:hAnsi="宋体" w:cs="仿宋"/>
                <w:b/>
                <w:bCs/>
                <w:sz w:val="24"/>
                <w:szCs w:val="24"/>
                <w:highlight w:val="none"/>
              </w:rPr>
            </w:pPr>
          </w:p>
        </w:tc>
      </w:tr>
      <w:tr w14:paraId="2BC6B4D2">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093080A7">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7666AA8A">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6477" w:type="dxa"/>
            <w:tcBorders>
              <w:top w:val="single" w:color="auto" w:sz="4" w:space="0"/>
              <w:left w:val="nil"/>
              <w:bottom w:val="single" w:color="auto" w:sz="4" w:space="0"/>
              <w:right w:val="single" w:color="auto" w:sz="4" w:space="0"/>
            </w:tcBorders>
            <w:vAlign w:val="center"/>
          </w:tcPr>
          <w:p w14:paraId="1C969B34">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铜加速乙酸盐雾试验 (</w:t>
            </w:r>
            <w:r>
              <w:rPr>
                <w:rFonts w:hint="eastAsia" w:ascii="宋体" w:hAnsi="宋体" w:cs="仿宋"/>
                <w:sz w:val="24"/>
                <w:szCs w:val="24"/>
                <w:highlight w:val="none"/>
                <w:lang w:val="en-US" w:eastAsia="zh-CN"/>
              </w:rPr>
              <w:t>850</w:t>
            </w:r>
            <w:r>
              <w:rPr>
                <w:rFonts w:hint="eastAsia" w:ascii="宋体" w:hAnsi="宋体" w:cs="仿宋"/>
                <w:sz w:val="24"/>
                <w:szCs w:val="24"/>
                <w:highlight w:val="none"/>
              </w:rPr>
              <w:t>h) ：外观评级</w:t>
            </w:r>
            <w:bookmarkStart w:id="0" w:name="OLE_LINK1817"/>
            <w:bookmarkStart w:id="1" w:name="OLE_LINK1816"/>
            <w:r>
              <w:rPr>
                <w:rFonts w:hint="eastAsia" w:ascii="宋体" w:hAnsi="宋体" w:cs="仿宋"/>
                <w:sz w:val="24"/>
                <w:szCs w:val="24"/>
                <w:highlight w:val="none"/>
              </w:rPr>
              <w:t>≥</w:t>
            </w:r>
            <w:bookmarkEnd w:id="0"/>
            <w:bookmarkEnd w:id="1"/>
            <w:r>
              <w:rPr>
                <w:rFonts w:hint="eastAsia" w:ascii="宋体" w:hAnsi="宋体" w:cs="仿宋"/>
                <w:sz w:val="24"/>
                <w:szCs w:val="24"/>
                <w:highlight w:val="none"/>
              </w:rPr>
              <w:t>10级，保护评级≥10级。</w:t>
            </w:r>
          </w:p>
        </w:tc>
        <w:tc>
          <w:tcPr>
            <w:tcW w:w="995" w:type="dxa"/>
            <w:tcBorders>
              <w:top w:val="single" w:color="auto" w:sz="4" w:space="0"/>
              <w:left w:val="nil"/>
              <w:bottom w:val="single" w:color="auto" w:sz="4" w:space="0"/>
              <w:right w:val="single" w:color="auto" w:sz="4" w:space="0"/>
            </w:tcBorders>
            <w:vAlign w:val="center"/>
          </w:tcPr>
          <w:p w14:paraId="33DDF327">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26471A4">
            <w:pPr>
              <w:spacing w:after="120" w:line="360" w:lineRule="auto"/>
              <w:rPr>
                <w:rFonts w:hint="eastAsia" w:ascii="宋体" w:hAnsi="宋体" w:cs="仿宋"/>
                <w:sz w:val="24"/>
                <w:szCs w:val="24"/>
                <w:highlight w:val="none"/>
              </w:rPr>
            </w:pPr>
          </w:p>
        </w:tc>
      </w:tr>
      <w:tr w14:paraId="10C115C0">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3CBC4663">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5DDEB018">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6477" w:type="dxa"/>
            <w:tcBorders>
              <w:top w:val="single" w:color="auto" w:sz="4" w:space="0"/>
              <w:left w:val="nil"/>
              <w:bottom w:val="single" w:color="auto" w:sz="4" w:space="0"/>
              <w:right w:val="single" w:color="auto" w:sz="4" w:space="0"/>
            </w:tcBorders>
            <w:vAlign w:val="center"/>
          </w:tcPr>
          <w:p w14:paraId="77C5AD0E">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中性盐雾试验（</w:t>
            </w:r>
            <w:r>
              <w:rPr>
                <w:rFonts w:hint="eastAsia" w:ascii="宋体" w:hAnsi="宋体" w:cs="仿宋"/>
                <w:sz w:val="24"/>
                <w:szCs w:val="24"/>
                <w:highlight w:val="none"/>
                <w:lang w:val="en-US" w:eastAsia="zh-CN"/>
              </w:rPr>
              <w:t>1000</w:t>
            </w:r>
            <w:r>
              <w:rPr>
                <w:rFonts w:hint="eastAsia" w:ascii="宋体" w:hAnsi="宋体" w:cs="仿宋"/>
                <w:sz w:val="24"/>
                <w:szCs w:val="24"/>
                <w:highlight w:val="none"/>
              </w:rPr>
              <w:t>H）：</w:t>
            </w:r>
            <w:bookmarkStart w:id="2" w:name="OLE_LINK1821"/>
            <w:bookmarkStart w:id="3" w:name="OLE_LINK1820"/>
            <w:r>
              <w:rPr>
                <w:rFonts w:hint="eastAsia" w:ascii="宋体" w:hAnsi="宋体" w:cs="仿宋"/>
                <w:sz w:val="24"/>
                <w:szCs w:val="24"/>
                <w:highlight w:val="none"/>
              </w:rPr>
              <w:t>外观评级≥10级，保护评级≥10级。</w:t>
            </w:r>
            <w:bookmarkEnd w:id="2"/>
            <w:bookmarkEnd w:id="3"/>
          </w:p>
        </w:tc>
        <w:tc>
          <w:tcPr>
            <w:tcW w:w="995" w:type="dxa"/>
            <w:tcBorders>
              <w:top w:val="single" w:color="auto" w:sz="4" w:space="0"/>
              <w:left w:val="nil"/>
              <w:bottom w:val="single" w:color="auto" w:sz="4" w:space="0"/>
              <w:right w:val="single" w:color="auto" w:sz="4" w:space="0"/>
            </w:tcBorders>
            <w:vAlign w:val="center"/>
          </w:tcPr>
          <w:p w14:paraId="1F19FC19">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DC6299E">
            <w:pPr>
              <w:spacing w:after="120" w:line="360" w:lineRule="auto"/>
              <w:rPr>
                <w:rFonts w:hint="eastAsia" w:ascii="宋体" w:hAnsi="宋体" w:cs="仿宋"/>
                <w:sz w:val="24"/>
                <w:szCs w:val="24"/>
                <w:highlight w:val="none"/>
              </w:rPr>
            </w:pPr>
          </w:p>
        </w:tc>
      </w:tr>
      <w:tr w14:paraId="4D19910F">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738E59AC">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EF8D79A">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6477" w:type="dxa"/>
            <w:tcBorders>
              <w:top w:val="single" w:color="auto" w:sz="4" w:space="0"/>
              <w:left w:val="nil"/>
              <w:bottom w:val="single" w:color="auto" w:sz="4" w:space="0"/>
              <w:right w:val="single" w:color="auto" w:sz="4" w:space="0"/>
            </w:tcBorders>
            <w:vAlign w:val="center"/>
          </w:tcPr>
          <w:p w14:paraId="00F48B2A">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乙酸盐雾试验 (</w:t>
            </w:r>
            <w:r>
              <w:rPr>
                <w:rFonts w:hint="eastAsia" w:ascii="宋体" w:hAnsi="宋体" w:cs="仿宋"/>
                <w:sz w:val="24"/>
                <w:szCs w:val="24"/>
                <w:highlight w:val="none"/>
                <w:lang w:val="en-US" w:eastAsia="zh-CN"/>
              </w:rPr>
              <w:t>1000</w:t>
            </w:r>
            <w:r>
              <w:rPr>
                <w:rFonts w:hint="eastAsia" w:ascii="宋体" w:hAnsi="宋体" w:cs="仿宋"/>
                <w:sz w:val="24"/>
                <w:szCs w:val="24"/>
                <w:highlight w:val="none"/>
              </w:rPr>
              <w:t>h) ：外观评级≥10级，保护评级≥10级。</w:t>
            </w:r>
          </w:p>
        </w:tc>
        <w:tc>
          <w:tcPr>
            <w:tcW w:w="995" w:type="dxa"/>
            <w:tcBorders>
              <w:top w:val="single" w:color="auto" w:sz="4" w:space="0"/>
              <w:left w:val="nil"/>
              <w:bottom w:val="single" w:color="auto" w:sz="4" w:space="0"/>
              <w:right w:val="single" w:color="auto" w:sz="4" w:space="0"/>
            </w:tcBorders>
            <w:vAlign w:val="center"/>
          </w:tcPr>
          <w:p w14:paraId="0829DDE4">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DB131BB">
            <w:pPr>
              <w:spacing w:after="120" w:line="360" w:lineRule="auto"/>
              <w:rPr>
                <w:rFonts w:hint="eastAsia" w:ascii="宋体" w:hAnsi="宋体" w:cs="仿宋"/>
                <w:sz w:val="24"/>
                <w:szCs w:val="24"/>
                <w:highlight w:val="none"/>
              </w:rPr>
            </w:pPr>
          </w:p>
        </w:tc>
      </w:tr>
      <w:tr w14:paraId="65F0CD37">
        <w:tblPrEx>
          <w:tblCellMar>
            <w:top w:w="0" w:type="dxa"/>
            <w:left w:w="108" w:type="dxa"/>
            <w:bottom w:w="0" w:type="dxa"/>
            <w:right w:w="108" w:type="dxa"/>
          </w:tblCellMar>
        </w:tblPrEx>
        <w:trPr>
          <w:trHeight w:val="1554" w:hRule="atLeast"/>
        </w:trPr>
        <w:tc>
          <w:tcPr>
            <w:tcW w:w="732" w:type="dxa"/>
            <w:tcBorders>
              <w:top w:val="single" w:color="auto" w:sz="4" w:space="0"/>
              <w:left w:val="single" w:color="auto" w:sz="4" w:space="0"/>
              <w:bottom w:val="single" w:color="auto" w:sz="4" w:space="0"/>
              <w:right w:val="single" w:color="auto" w:sz="4" w:space="0"/>
            </w:tcBorders>
            <w:vAlign w:val="center"/>
          </w:tcPr>
          <w:p w14:paraId="58CB911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E262C4D">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6477" w:type="dxa"/>
            <w:tcBorders>
              <w:top w:val="single" w:color="auto" w:sz="4" w:space="0"/>
              <w:left w:val="nil"/>
              <w:bottom w:val="single" w:color="auto" w:sz="4" w:space="0"/>
              <w:right w:val="single" w:color="auto" w:sz="4" w:space="0"/>
            </w:tcBorders>
            <w:vAlign w:val="center"/>
          </w:tcPr>
          <w:p w14:paraId="7425320F">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电解钢板符合：GB/T 1741-2020《漆膜耐霉菌性测定法》，对</w:t>
            </w:r>
            <w:r>
              <w:rPr>
                <w:rFonts w:hint="eastAsia" w:ascii="宋体" w:hAnsi="宋体" w:cs="仿宋"/>
                <w:sz w:val="24"/>
                <w:szCs w:val="24"/>
                <w:highlight w:val="none"/>
                <w:lang w:eastAsia="zh-CN"/>
              </w:rPr>
              <w:t>黑曲霉、黄曲霉、腊叶芽枝霉（多主枝孢霉）、宛氏拟青霉、桔青霉、绿色木霉、出芽短梗霉、链格孢</w:t>
            </w:r>
            <w:r>
              <w:rPr>
                <w:rFonts w:hint="eastAsia" w:ascii="宋体" w:hAnsi="宋体" w:cs="仿宋"/>
                <w:sz w:val="24"/>
                <w:szCs w:val="24"/>
                <w:highlight w:val="none"/>
              </w:rPr>
              <w:t>等不低于</w:t>
            </w:r>
            <w:r>
              <w:rPr>
                <w:rFonts w:ascii="宋体" w:hAnsi="宋体" w:cs="仿宋"/>
                <w:sz w:val="24"/>
                <w:szCs w:val="24"/>
                <w:highlight w:val="none"/>
              </w:rPr>
              <w:t>15种常见霉菌防霉等级不低于0级。</w:t>
            </w:r>
          </w:p>
        </w:tc>
        <w:tc>
          <w:tcPr>
            <w:tcW w:w="995" w:type="dxa"/>
            <w:tcBorders>
              <w:top w:val="single" w:color="auto" w:sz="4" w:space="0"/>
              <w:left w:val="nil"/>
              <w:bottom w:val="single" w:color="auto" w:sz="4" w:space="0"/>
              <w:right w:val="single" w:color="auto" w:sz="4" w:space="0"/>
            </w:tcBorders>
            <w:vAlign w:val="center"/>
          </w:tcPr>
          <w:p w14:paraId="3B13183D">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81AC2CD">
            <w:pPr>
              <w:spacing w:line="360" w:lineRule="auto"/>
              <w:rPr>
                <w:rFonts w:hint="eastAsia" w:ascii="宋体" w:hAnsi="宋体" w:cs="仿宋"/>
                <w:sz w:val="24"/>
                <w:szCs w:val="24"/>
                <w:highlight w:val="none"/>
              </w:rPr>
            </w:pPr>
          </w:p>
        </w:tc>
      </w:tr>
      <w:tr w14:paraId="226B0894">
        <w:tblPrEx>
          <w:tblCellMar>
            <w:top w:w="0" w:type="dxa"/>
            <w:left w:w="108" w:type="dxa"/>
            <w:bottom w:w="0" w:type="dxa"/>
            <w:right w:w="108" w:type="dxa"/>
          </w:tblCellMar>
        </w:tblPrEx>
        <w:trPr>
          <w:trHeight w:val="2327" w:hRule="atLeast"/>
        </w:trPr>
        <w:tc>
          <w:tcPr>
            <w:tcW w:w="732" w:type="dxa"/>
            <w:tcBorders>
              <w:top w:val="single" w:color="auto" w:sz="4" w:space="0"/>
              <w:left w:val="single" w:color="auto" w:sz="4" w:space="0"/>
              <w:bottom w:val="single" w:color="auto" w:sz="4" w:space="0"/>
              <w:right w:val="single" w:color="auto" w:sz="4" w:space="0"/>
            </w:tcBorders>
            <w:vAlign w:val="center"/>
          </w:tcPr>
          <w:p w14:paraId="693731F7">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4D1697B9">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6477" w:type="dxa"/>
            <w:tcBorders>
              <w:top w:val="single" w:color="auto" w:sz="4" w:space="0"/>
              <w:left w:val="nil"/>
              <w:bottom w:val="single" w:color="auto" w:sz="4" w:space="0"/>
              <w:right w:val="single" w:color="auto" w:sz="4" w:space="0"/>
            </w:tcBorders>
            <w:vAlign w:val="center"/>
          </w:tcPr>
          <w:p w14:paraId="71B44012">
            <w:pPr>
              <w:numPr>
                <w:ilvl w:val="0"/>
                <w:numId w:val="0"/>
              </w:num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电解钢板：符合QB/T 4371-2012《家具抗菌性能的评价》标准，对大肠杆菌、金黄色葡萄球菌、白色葡萄球菌、鲍曼不动杆菌、粘质沙雷伯氏菌、变异库克菌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铜绿假单胞菌、肺炎克雷伯菌、、嗜麦芽窄食单胞菌、变形杆菌、洋葱伯克霍尔德氏菌、链球菌、军团杆菌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c>
          <w:tcPr>
            <w:tcW w:w="995" w:type="dxa"/>
            <w:tcBorders>
              <w:top w:val="single" w:color="auto" w:sz="4" w:space="0"/>
              <w:left w:val="nil"/>
              <w:bottom w:val="single" w:color="auto" w:sz="4" w:space="0"/>
              <w:right w:val="single" w:color="auto" w:sz="4" w:space="0"/>
            </w:tcBorders>
            <w:vAlign w:val="center"/>
          </w:tcPr>
          <w:p w14:paraId="5B7085EB">
            <w:pPr>
              <w:numPr>
                <w:ilvl w:val="0"/>
                <w:numId w:val="0"/>
              </w:num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4E12B0E">
            <w:pPr>
              <w:numPr>
                <w:ilvl w:val="0"/>
                <w:numId w:val="0"/>
              </w:numPr>
              <w:spacing w:line="360" w:lineRule="auto"/>
              <w:rPr>
                <w:rFonts w:hint="eastAsia" w:ascii="宋体" w:hAnsi="宋体" w:cs="仿宋"/>
                <w:sz w:val="24"/>
                <w:szCs w:val="24"/>
                <w:highlight w:val="none"/>
              </w:rPr>
            </w:pPr>
          </w:p>
        </w:tc>
      </w:tr>
      <w:tr w14:paraId="6555A89B">
        <w:tblPrEx>
          <w:tblCellMar>
            <w:top w:w="0" w:type="dxa"/>
            <w:left w:w="108" w:type="dxa"/>
            <w:bottom w:w="0" w:type="dxa"/>
            <w:right w:w="108" w:type="dxa"/>
          </w:tblCellMar>
        </w:tblPrEx>
        <w:trPr>
          <w:trHeight w:val="513" w:hRule="atLeast"/>
        </w:trPr>
        <w:tc>
          <w:tcPr>
            <w:tcW w:w="732" w:type="dxa"/>
            <w:tcBorders>
              <w:top w:val="single" w:color="auto" w:sz="4" w:space="0"/>
              <w:left w:val="single" w:color="auto" w:sz="4" w:space="0"/>
              <w:bottom w:val="single" w:color="auto" w:sz="4" w:space="0"/>
              <w:right w:val="single" w:color="auto" w:sz="4" w:space="0"/>
            </w:tcBorders>
            <w:vAlign w:val="center"/>
          </w:tcPr>
          <w:p w14:paraId="23F5E163">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4288F54F">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6477" w:type="dxa"/>
            <w:tcBorders>
              <w:top w:val="single" w:color="auto" w:sz="4" w:space="0"/>
              <w:left w:val="nil"/>
              <w:bottom w:val="single" w:color="auto" w:sz="4" w:space="0"/>
              <w:right w:val="single" w:color="auto" w:sz="4" w:space="0"/>
            </w:tcBorders>
            <w:vAlign w:val="center"/>
          </w:tcPr>
          <w:p w14:paraId="28A78B53">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化学性能：碳（</w:t>
            </w:r>
            <w:r>
              <w:rPr>
                <w:rFonts w:ascii="宋体" w:hAnsi="宋体" w:cs="仿宋"/>
                <w:sz w:val="24"/>
                <w:szCs w:val="24"/>
                <w:highlight w:val="none"/>
              </w:rPr>
              <w:t>C）含量≤0.05%、锰（Mn）含量≤0.15%、磷（P）含量≤0.02%、硫（S）含量≤0.01%、铝（Alt）含量≥0.03%。</w:t>
            </w:r>
          </w:p>
        </w:tc>
        <w:tc>
          <w:tcPr>
            <w:tcW w:w="995" w:type="dxa"/>
            <w:tcBorders>
              <w:top w:val="single" w:color="auto" w:sz="4" w:space="0"/>
              <w:left w:val="nil"/>
              <w:bottom w:val="single" w:color="auto" w:sz="4" w:space="0"/>
              <w:right w:val="single" w:color="auto" w:sz="4" w:space="0"/>
            </w:tcBorders>
            <w:vAlign w:val="center"/>
          </w:tcPr>
          <w:p w14:paraId="1CFA251C">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0FD61609">
            <w:pPr>
              <w:spacing w:line="360" w:lineRule="auto"/>
              <w:rPr>
                <w:rFonts w:hint="eastAsia" w:ascii="宋体" w:hAnsi="宋体" w:cs="仿宋"/>
                <w:sz w:val="24"/>
                <w:szCs w:val="24"/>
                <w:highlight w:val="none"/>
              </w:rPr>
            </w:pPr>
          </w:p>
        </w:tc>
      </w:tr>
      <w:tr w14:paraId="40E4E5A8">
        <w:tblPrEx>
          <w:tblCellMar>
            <w:top w:w="0" w:type="dxa"/>
            <w:left w:w="108" w:type="dxa"/>
            <w:bottom w:w="0" w:type="dxa"/>
            <w:right w:w="108" w:type="dxa"/>
          </w:tblCellMar>
        </w:tblPrEx>
        <w:trPr>
          <w:trHeight w:val="782" w:hRule="atLeast"/>
        </w:trPr>
        <w:tc>
          <w:tcPr>
            <w:tcW w:w="732" w:type="dxa"/>
            <w:tcBorders>
              <w:top w:val="single" w:color="auto" w:sz="4" w:space="0"/>
              <w:left w:val="single" w:color="auto" w:sz="4" w:space="0"/>
              <w:bottom w:val="single" w:color="auto" w:sz="4" w:space="0"/>
              <w:right w:val="single" w:color="auto" w:sz="4" w:space="0"/>
            </w:tcBorders>
            <w:vAlign w:val="center"/>
          </w:tcPr>
          <w:p w14:paraId="0C5CCEB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FDF9EC5">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6477" w:type="dxa"/>
            <w:tcBorders>
              <w:top w:val="single" w:color="auto" w:sz="4" w:space="0"/>
              <w:left w:val="nil"/>
              <w:bottom w:val="single" w:color="auto" w:sz="4" w:space="0"/>
              <w:right w:val="single" w:color="auto" w:sz="4" w:space="0"/>
            </w:tcBorders>
            <w:vAlign w:val="center"/>
          </w:tcPr>
          <w:p w14:paraId="54FD2EE5">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力学性能：（1）规定塑性延伸强度≤2</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0MPa，（2）抗拉强度</w:t>
            </w:r>
            <w:r>
              <w:rPr>
                <w:rFonts w:hint="eastAsia" w:ascii="宋体" w:hAnsi="宋体" w:cs="仿宋"/>
                <w:sz w:val="24"/>
                <w:szCs w:val="24"/>
                <w:highlight w:val="none"/>
                <w:lang w:val="en-US" w:eastAsia="zh-CN"/>
              </w:rPr>
              <w:t>300</w:t>
            </w:r>
            <w:r>
              <w:rPr>
                <w:rFonts w:hint="eastAsia" w:ascii="宋体" w:hAnsi="宋体" w:cs="仿宋"/>
                <w:sz w:val="24"/>
                <w:szCs w:val="24"/>
                <w:highlight w:val="none"/>
              </w:rPr>
              <w:t>-4</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0MPa，（3）断后伸长率≥</w:t>
            </w:r>
            <w:r>
              <w:rPr>
                <w:rFonts w:hint="eastAsia" w:ascii="宋体" w:hAnsi="宋体" w:cs="仿宋"/>
                <w:sz w:val="24"/>
                <w:szCs w:val="24"/>
                <w:highlight w:val="none"/>
                <w:lang w:val="en-US" w:eastAsia="zh-CN"/>
              </w:rPr>
              <w:t>40</w:t>
            </w:r>
            <w:r>
              <w:rPr>
                <w:rFonts w:hint="eastAsia" w:ascii="宋体" w:hAnsi="宋体" w:cs="仿宋"/>
                <w:sz w:val="24"/>
                <w:szCs w:val="24"/>
                <w:highlight w:val="none"/>
              </w:rPr>
              <w:t>%；</w:t>
            </w:r>
          </w:p>
        </w:tc>
        <w:tc>
          <w:tcPr>
            <w:tcW w:w="995" w:type="dxa"/>
            <w:tcBorders>
              <w:top w:val="single" w:color="auto" w:sz="4" w:space="0"/>
              <w:left w:val="nil"/>
              <w:bottom w:val="single" w:color="auto" w:sz="4" w:space="0"/>
              <w:right w:val="single" w:color="auto" w:sz="4" w:space="0"/>
            </w:tcBorders>
            <w:vAlign w:val="center"/>
          </w:tcPr>
          <w:p w14:paraId="38A5597C">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9EAB835">
            <w:pPr>
              <w:spacing w:line="360" w:lineRule="auto"/>
              <w:rPr>
                <w:rFonts w:hint="eastAsia" w:ascii="宋体" w:hAnsi="宋体" w:cs="仿宋"/>
                <w:sz w:val="24"/>
                <w:szCs w:val="24"/>
                <w:highlight w:val="none"/>
              </w:rPr>
            </w:pPr>
          </w:p>
        </w:tc>
      </w:tr>
    </w:tbl>
    <w:p w14:paraId="7C40706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49424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63D25D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52F69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D163F6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DAE19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3993D5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0E4FC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39551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E763E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A9FCF48">
      <w:pPr>
        <w:numPr>
          <w:ilvl w:val="0"/>
          <w:numId w:val="0"/>
        </w:numPr>
        <w:ind w:leftChars="200"/>
        <w:rPr>
          <w:rFonts w:hint="default"/>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四、表1</w:t>
      </w:r>
      <w:r>
        <w:rPr>
          <w:rFonts w:hint="eastAsia" w:asciiTheme="minorEastAsia" w:hAnsiTheme="minorEastAsia"/>
          <w:b/>
          <w:bCs/>
          <w:sz w:val="24"/>
          <w:szCs w:val="24"/>
        </w:rPr>
        <w:t>评标方法及细则要求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tbl>
      <w:tblPr>
        <w:tblStyle w:val="21"/>
        <w:tblpPr w:leftFromText="180" w:rightFromText="180" w:vertAnchor="text" w:horzAnchor="page" w:tblpX="639" w:tblpY="559"/>
        <w:tblOverlap w:val="never"/>
        <w:tblW w:w="10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571"/>
        <w:gridCol w:w="7200"/>
      </w:tblGrid>
      <w:tr w14:paraId="2DD9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69" w:type="dxa"/>
            <w:vAlign w:val="top"/>
          </w:tcPr>
          <w:p w14:paraId="5764CB67">
            <w:pPr>
              <w:pStyle w:val="23"/>
              <w:spacing w:before="89" w:line="221" w:lineRule="auto"/>
              <w:ind w:left="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评审因素</w:t>
            </w:r>
          </w:p>
        </w:tc>
        <w:tc>
          <w:tcPr>
            <w:tcW w:w="9771" w:type="dxa"/>
            <w:gridSpan w:val="2"/>
            <w:vAlign w:val="top"/>
          </w:tcPr>
          <w:p w14:paraId="7E2E440D">
            <w:pPr>
              <w:pStyle w:val="23"/>
              <w:spacing w:before="89" w:line="222" w:lineRule="auto"/>
              <w:ind w:left="4307"/>
              <w:rPr>
                <w:rFonts w:hint="eastAsia" w:asciiTheme="minorEastAsia" w:hAnsiTheme="minorEastAsia" w:eastAsiaTheme="minorEastAsia" w:cstheme="minorEastAsia"/>
              </w:rPr>
            </w:pPr>
            <w:r>
              <w:rPr>
                <w:sz w:val="19"/>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-591185</wp:posOffset>
                      </wp:positionV>
                      <wp:extent cx="3126105" cy="450215"/>
                      <wp:effectExtent l="0" t="0" r="17145" b="6985"/>
                      <wp:wrapNone/>
                      <wp:docPr id="5" name="文本框 5"/>
                      <wp:cNvGraphicFramePr/>
                      <a:graphic xmlns:a="http://schemas.openxmlformats.org/drawingml/2006/main">
                        <a:graphicData uri="http://schemas.microsoft.com/office/word/2010/wordprocessingShape">
                          <wps:wsp>
                            <wps:cNvSpPr txBox="1"/>
                            <wps:spPr>
                              <a:xfrm>
                                <a:off x="1290320" y="684530"/>
                                <a:ext cx="3126105"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54E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2199971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46.55pt;height:35.45pt;width:246.15pt;z-index:251663360;mso-width-relative:page;mso-height-relative:page;" fillcolor="#FFFFFF [3201]" filled="t" stroked="f" coordsize="21600,21600" o:gfxdata="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go/W&#10;AAAACgEAAA8AAAAAAAAAAQAgAAAAIgAAAGRycy9kb3ducmV2LnhtbFBLAQIUABQAAAAIAIdO4kDB&#10;vDNYWwIAAJoEAAAOAAAAAAAAAAEAIAAAACUBAABkcnMvZTJvRG9jLnhtbFBLBQYAAAAABgAGAFkB&#10;AADyBQAAAAA=&#10;">
                      <v:fill on="t" focussize="0,0"/>
                      <v:stroke on="f" weight="0.5pt"/>
                      <v:imagedata o:title=""/>
                      <o:lock v:ext="edit" aspectratio="f"/>
                      <v:textbox>
                        <w:txbxContent>
                          <w:p w14:paraId="5154E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21999715"/>
                        </w:txbxContent>
                      </v:textbox>
                    </v:shape>
                  </w:pict>
                </mc:Fallback>
              </mc:AlternateContent>
            </w:r>
            <w:r>
              <w:rPr>
                <w:rFonts w:hint="eastAsia" w:asciiTheme="minorEastAsia" w:hAnsiTheme="minorEastAsia" w:eastAsiaTheme="minorEastAsia" w:cstheme="minorEastAsia"/>
                <w:spacing w:val="-1"/>
              </w:rPr>
              <w:t>评审标准</w:t>
            </w:r>
          </w:p>
        </w:tc>
      </w:tr>
      <w:tr w14:paraId="324F4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Align w:val="top"/>
          </w:tcPr>
          <w:p w14:paraId="7A65DC64">
            <w:pPr>
              <w:spacing w:line="403" w:lineRule="auto"/>
              <w:rPr>
                <w:rFonts w:hint="eastAsia" w:asciiTheme="minorEastAsia" w:hAnsiTheme="minorEastAsia" w:eastAsiaTheme="minorEastAsia" w:cstheme="minorEastAsia"/>
                <w:sz w:val="21"/>
              </w:rPr>
            </w:pPr>
          </w:p>
          <w:p w14:paraId="0709B7C2">
            <w:pPr>
              <w:pStyle w:val="23"/>
              <w:spacing w:before="62" w:line="221" w:lineRule="auto"/>
              <w:ind w:left="2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分值构成</w:t>
            </w:r>
          </w:p>
        </w:tc>
        <w:tc>
          <w:tcPr>
            <w:tcW w:w="9771" w:type="dxa"/>
            <w:gridSpan w:val="2"/>
            <w:vAlign w:val="top"/>
          </w:tcPr>
          <w:p w14:paraId="1079FC11">
            <w:pPr>
              <w:pStyle w:val="23"/>
              <w:spacing w:before="84" w:line="290" w:lineRule="auto"/>
              <w:ind w:left="99" w:right="7900"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技术部分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60</w:t>
            </w:r>
            <w:r>
              <w:rPr>
                <w:rFonts w:hint="eastAsia" w:asciiTheme="minorEastAsia" w:hAnsiTheme="minorEastAsia" w:eastAsiaTheme="minorEastAsia" w:cstheme="minorEastAsia"/>
              </w:rPr>
              <w:t xml:space="preserve">分 </w:t>
            </w:r>
          </w:p>
          <w:p w14:paraId="7C595B5C">
            <w:pPr>
              <w:pStyle w:val="23"/>
              <w:spacing w:before="84" w:line="290" w:lineRule="auto"/>
              <w:ind w:left="99" w:right="7900" w:firstLine="2"/>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rPr>
              <w:t>商务部分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spacing w:val="1"/>
              </w:rPr>
              <w:t xml:space="preserve"> </w:t>
            </w:r>
          </w:p>
          <w:p w14:paraId="6783E94A">
            <w:pPr>
              <w:pStyle w:val="23"/>
              <w:spacing w:before="84" w:line="290" w:lineRule="auto"/>
              <w:ind w:left="99" w:right="7900"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报价得分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30分</w:t>
            </w:r>
          </w:p>
        </w:tc>
      </w:tr>
      <w:tr w14:paraId="7454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169" w:type="dxa"/>
            <w:vMerge w:val="restart"/>
            <w:tcBorders>
              <w:bottom w:val="nil"/>
            </w:tcBorders>
            <w:vAlign w:val="top"/>
          </w:tcPr>
          <w:p w14:paraId="66F91C73">
            <w:pPr>
              <w:spacing w:line="247" w:lineRule="auto"/>
              <w:rPr>
                <w:rFonts w:hint="eastAsia" w:asciiTheme="minorEastAsia" w:hAnsiTheme="minorEastAsia" w:eastAsiaTheme="minorEastAsia" w:cstheme="minorEastAsia"/>
                <w:sz w:val="21"/>
              </w:rPr>
            </w:pPr>
          </w:p>
          <w:p w14:paraId="248A3B76">
            <w:pPr>
              <w:spacing w:line="247" w:lineRule="auto"/>
              <w:rPr>
                <w:rFonts w:hint="eastAsia" w:asciiTheme="minorEastAsia" w:hAnsiTheme="minorEastAsia" w:eastAsiaTheme="minorEastAsia" w:cstheme="minorEastAsia"/>
                <w:sz w:val="21"/>
              </w:rPr>
            </w:pPr>
          </w:p>
          <w:p w14:paraId="321ABCF5">
            <w:pPr>
              <w:spacing w:line="247" w:lineRule="auto"/>
              <w:rPr>
                <w:rFonts w:hint="eastAsia" w:asciiTheme="minorEastAsia" w:hAnsiTheme="minorEastAsia" w:eastAsiaTheme="minorEastAsia" w:cstheme="minorEastAsia"/>
                <w:sz w:val="21"/>
              </w:rPr>
            </w:pPr>
          </w:p>
          <w:p w14:paraId="2D7C6BC8">
            <w:pPr>
              <w:spacing w:line="247" w:lineRule="auto"/>
              <w:rPr>
                <w:rFonts w:hint="eastAsia" w:asciiTheme="minorEastAsia" w:hAnsiTheme="minorEastAsia" w:eastAsiaTheme="minorEastAsia" w:cstheme="minorEastAsia"/>
                <w:sz w:val="21"/>
              </w:rPr>
            </w:pPr>
          </w:p>
          <w:p w14:paraId="0C9486F9">
            <w:pPr>
              <w:spacing w:line="247" w:lineRule="auto"/>
              <w:rPr>
                <w:rFonts w:hint="eastAsia" w:asciiTheme="minorEastAsia" w:hAnsiTheme="minorEastAsia" w:eastAsiaTheme="minorEastAsia" w:cstheme="minorEastAsia"/>
                <w:sz w:val="21"/>
              </w:rPr>
            </w:pPr>
          </w:p>
          <w:p w14:paraId="6A98A35C">
            <w:pPr>
              <w:spacing w:line="247" w:lineRule="auto"/>
              <w:rPr>
                <w:rFonts w:hint="eastAsia" w:asciiTheme="minorEastAsia" w:hAnsiTheme="minorEastAsia" w:eastAsiaTheme="minorEastAsia" w:cstheme="minorEastAsia"/>
                <w:sz w:val="21"/>
              </w:rPr>
            </w:pPr>
          </w:p>
          <w:p w14:paraId="6F924133">
            <w:pPr>
              <w:spacing w:line="247" w:lineRule="auto"/>
              <w:rPr>
                <w:rFonts w:hint="eastAsia" w:asciiTheme="minorEastAsia" w:hAnsiTheme="minorEastAsia" w:eastAsiaTheme="minorEastAsia" w:cstheme="minorEastAsia"/>
                <w:sz w:val="21"/>
              </w:rPr>
            </w:pPr>
          </w:p>
          <w:p w14:paraId="6A51741A">
            <w:pPr>
              <w:spacing w:line="247" w:lineRule="auto"/>
              <w:rPr>
                <w:rFonts w:hint="eastAsia" w:asciiTheme="minorEastAsia" w:hAnsiTheme="minorEastAsia" w:eastAsiaTheme="minorEastAsia" w:cstheme="minorEastAsia"/>
                <w:sz w:val="21"/>
              </w:rPr>
            </w:pPr>
          </w:p>
          <w:p w14:paraId="2E119ED6">
            <w:pPr>
              <w:spacing w:line="247" w:lineRule="auto"/>
              <w:rPr>
                <w:rFonts w:hint="eastAsia" w:asciiTheme="minorEastAsia" w:hAnsiTheme="minorEastAsia" w:eastAsiaTheme="minorEastAsia" w:cstheme="minorEastAsia"/>
                <w:sz w:val="21"/>
              </w:rPr>
            </w:pPr>
          </w:p>
          <w:p w14:paraId="047B8B38">
            <w:pPr>
              <w:spacing w:line="247" w:lineRule="auto"/>
              <w:rPr>
                <w:rFonts w:hint="eastAsia" w:asciiTheme="minorEastAsia" w:hAnsiTheme="minorEastAsia" w:eastAsiaTheme="minorEastAsia" w:cstheme="minorEastAsia"/>
                <w:sz w:val="21"/>
              </w:rPr>
            </w:pPr>
          </w:p>
          <w:p w14:paraId="303E8A96">
            <w:pPr>
              <w:spacing w:line="247" w:lineRule="auto"/>
              <w:rPr>
                <w:rFonts w:hint="eastAsia" w:asciiTheme="minorEastAsia" w:hAnsiTheme="minorEastAsia" w:eastAsiaTheme="minorEastAsia" w:cstheme="minorEastAsia"/>
                <w:sz w:val="21"/>
              </w:rPr>
            </w:pPr>
          </w:p>
          <w:p w14:paraId="7006B187">
            <w:pPr>
              <w:spacing w:line="247" w:lineRule="auto"/>
              <w:rPr>
                <w:rFonts w:hint="eastAsia" w:asciiTheme="minorEastAsia" w:hAnsiTheme="minorEastAsia" w:eastAsiaTheme="minorEastAsia" w:cstheme="minorEastAsia"/>
                <w:sz w:val="21"/>
              </w:rPr>
            </w:pPr>
          </w:p>
          <w:p w14:paraId="6F810CD8">
            <w:pPr>
              <w:spacing w:line="247" w:lineRule="auto"/>
              <w:rPr>
                <w:rFonts w:hint="eastAsia" w:asciiTheme="minorEastAsia" w:hAnsiTheme="minorEastAsia" w:eastAsiaTheme="minorEastAsia" w:cstheme="minorEastAsia"/>
                <w:sz w:val="21"/>
              </w:rPr>
            </w:pPr>
          </w:p>
          <w:p w14:paraId="0B87A011">
            <w:pPr>
              <w:spacing w:line="247" w:lineRule="auto"/>
              <w:rPr>
                <w:rFonts w:hint="eastAsia" w:asciiTheme="minorEastAsia" w:hAnsiTheme="minorEastAsia" w:eastAsiaTheme="minorEastAsia" w:cstheme="minorEastAsia"/>
                <w:sz w:val="21"/>
              </w:rPr>
            </w:pPr>
          </w:p>
          <w:p w14:paraId="743BBA03">
            <w:pPr>
              <w:spacing w:line="247" w:lineRule="auto"/>
              <w:rPr>
                <w:rFonts w:hint="eastAsia" w:asciiTheme="minorEastAsia" w:hAnsiTheme="minorEastAsia" w:eastAsiaTheme="minorEastAsia" w:cstheme="minorEastAsia"/>
                <w:sz w:val="21"/>
              </w:rPr>
            </w:pPr>
          </w:p>
          <w:p w14:paraId="7725EB9E">
            <w:pPr>
              <w:spacing w:line="247" w:lineRule="auto"/>
              <w:rPr>
                <w:rFonts w:hint="eastAsia" w:asciiTheme="minorEastAsia" w:hAnsiTheme="minorEastAsia" w:eastAsiaTheme="minorEastAsia" w:cstheme="minorEastAsia"/>
                <w:sz w:val="21"/>
              </w:rPr>
            </w:pPr>
          </w:p>
          <w:p w14:paraId="79D6D6D4">
            <w:pPr>
              <w:spacing w:line="247" w:lineRule="auto"/>
              <w:rPr>
                <w:rFonts w:hint="eastAsia" w:asciiTheme="minorEastAsia" w:hAnsiTheme="minorEastAsia" w:eastAsiaTheme="minorEastAsia" w:cstheme="minorEastAsia"/>
                <w:sz w:val="21"/>
              </w:rPr>
            </w:pPr>
          </w:p>
          <w:p w14:paraId="0EC56C4F">
            <w:pPr>
              <w:spacing w:line="248" w:lineRule="auto"/>
              <w:rPr>
                <w:rFonts w:hint="eastAsia" w:asciiTheme="minorEastAsia" w:hAnsiTheme="minorEastAsia" w:eastAsiaTheme="minorEastAsia" w:cstheme="minorEastAsia"/>
                <w:sz w:val="21"/>
              </w:rPr>
            </w:pPr>
          </w:p>
          <w:p w14:paraId="0EBEBE62">
            <w:pPr>
              <w:spacing w:line="248" w:lineRule="auto"/>
              <w:rPr>
                <w:rFonts w:hint="eastAsia" w:asciiTheme="minorEastAsia" w:hAnsiTheme="minorEastAsia" w:eastAsiaTheme="minorEastAsia" w:cstheme="minorEastAsia"/>
                <w:sz w:val="21"/>
              </w:rPr>
            </w:pPr>
          </w:p>
          <w:p w14:paraId="226CC138">
            <w:pPr>
              <w:spacing w:line="248" w:lineRule="auto"/>
              <w:rPr>
                <w:rFonts w:hint="eastAsia" w:asciiTheme="minorEastAsia" w:hAnsiTheme="minorEastAsia" w:eastAsiaTheme="minorEastAsia" w:cstheme="minorEastAsia"/>
                <w:sz w:val="21"/>
              </w:rPr>
            </w:pPr>
          </w:p>
          <w:p w14:paraId="6009FA30">
            <w:pPr>
              <w:spacing w:line="248" w:lineRule="auto"/>
              <w:rPr>
                <w:rFonts w:hint="eastAsia" w:asciiTheme="minorEastAsia" w:hAnsiTheme="minorEastAsia" w:eastAsiaTheme="minorEastAsia" w:cstheme="minorEastAsia"/>
                <w:sz w:val="21"/>
              </w:rPr>
            </w:pPr>
          </w:p>
          <w:p w14:paraId="63FA80E9">
            <w:pPr>
              <w:spacing w:line="248" w:lineRule="auto"/>
              <w:rPr>
                <w:rFonts w:hint="eastAsia" w:asciiTheme="minorEastAsia" w:hAnsiTheme="minorEastAsia" w:eastAsiaTheme="minorEastAsia" w:cstheme="minorEastAsia"/>
                <w:sz w:val="21"/>
              </w:rPr>
            </w:pPr>
          </w:p>
          <w:p w14:paraId="162ED904">
            <w:pPr>
              <w:pStyle w:val="23"/>
              <w:spacing w:before="61" w:line="221" w:lineRule="auto"/>
              <w:ind w:left="2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技术部分</w:t>
            </w:r>
          </w:p>
        </w:tc>
        <w:tc>
          <w:tcPr>
            <w:tcW w:w="2571" w:type="dxa"/>
            <w:vAlign w:val="center"/>
          </w:tcPr>
          <w:p w14:paraId="71B13C94">
            <w:pPr>
              <w:spacing w:line="258" w:lineRule="auto"/>
              <w:jc w:val="center"/>
              <w:rPr>
                <w:rFonts w:hint="eastAsia" w:asciiTheme="minorEastAsia" w:hAnsiTheme="minorEastAsia" w:eastAsiaTheme="minorEastAsia" w:cstheme="minorEastAsia"/>
                <w:sz w:val="21"/>
              </w:rPr>
            </w:pPr>
          </w:p>
          <w:p w14:paraId="0C637CAC">
            <w:pPr>
              <w:pStyle w:val="23"/>
              <w:spacing w:before="73" w:line="204" w:lineRule="auto"/>
              <w:ind w:left="124"/>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产品技术参数响应（25.0分）</w:t>
            </w:r>
          </w:p>
        </w:tc>
        <w:tc>
          <w:tcPr>
            <w:tcW w:w="7200" w:type="dxa"/>
            <w:vAlign w:val="top"/>
          </w:tcPr>
          <w:p w14:paraId="1F8DA4B6">
            <w:pPr>
              <w:pStyle w:val="23"/>
              <w:spacing w:before="82" w:line="310" w:lineRule="auto"/>
              <w:ind w:right="206" w:firstLine="190" w:firstLineChars="1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技术参数及要求完全满足或优于招标文件中要求的得</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w:t>
            </w:r>
          </w:p>
          <w:p w14:paraId="4608CF92">
            <w:pPr>
              <w:pStyle w:val="23"/>
              <w:spacing w:before="82" w:line="310" w:lineRule="auto"/>
              <w:ind w:left="102" w:right="206" w:firstLine="14"/>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技术参数有一项不满足或负偏离扣</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分，扣完为止；</w:t>
            </w:r>
          </w:p>
          <w:p w14:paraId="20294B7F">
            <w:pPr>
              <w:pStyle w:val="23"/>
              <w:spacing w:before="82" w:line="310" w:lineRule="auto"/>
              <w:ind w:left="102" w:right="206" w:firstLine="1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评审依据：有效的第三方质量检测部门出具的带CNAS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bookmarkStart w:id="5" w:name="_GoBack"/>
            <w:bookmarkEnd w:id="5"/>
          </w:p>
        </w:tc>
      </w:tr>
      <w:tr w14:paraId="5E80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1169" w:type="dxa"/>
            <w:vMerge w:val="continue"/>
            <w:tcBorders>
              <w:top w:val="nil"/>
              <w:bottom w:val="nil"/>
            </w:tcBorders>
            <w:vAlign w:val="top"/>
          </w:tcPr>
          <w:p w14:paraId="5F8C4A6F">
            <w:pPr>
              <w:rPr>
                <w:rFonts w:hint="eastAsia" w:asciiTheme="minorEastAsia" w:hAnsiTheme="minorEastAsia" w:eastAsiaTheme="minorEastAsia" w:cstheme="minorEastAsia"/>
                <w:sz w:val="21"/>
              </w:rPr>
            </w:pPr>
          </w:p>
        </w:tc>
        <w:tc>
          <w:tcPr>
            <w:tcW w:w="2571" w:type="dxa"/>
            <w:vAlign w:val="top"/>
          </w:tcPr>
          <w:p w14:paraId="55D22E2B">
            <w:pPr>
              <w:spacing w:line="293" w:lineRule="auto"/>
              <w:rPr>
                <w:rFonts w:hint="eastAsia" w:asciiTheme="minorEastAsia" w:hAnsiTheme="minorEastAsia" w:eastAsiaTheme="minorEastAsia" w:cstheme="minorEastAsia"/>
                <w:sz w:val="21"/>
              </w:rPr>
            </w:pPr>
          </w:p>
          <w:p w14:paraId="630E60A6">
            <w:pPr>
              <w:spacing w:line="293" w:lineRule="auto"/>
              <w:rPr>
                <w:rFonts w:hint="eastAsia" w:asciiTheme="minorEastAsia" w:hAnsiTheme="minorEastAsia" w:eastAsiaTheme="minorEastAsia" w:cstheme="minorEastAsia"/>
                <w:sz w:val="21"/>
              </w:rPr>
            </w:pPr>
          </w:p>
          <w:p w14:paraId="6710D98D">
            <w:pPr>
              <w:pStyle w:val="23"/>
              <w:spacing w:before="73" w:line="204"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施工方案与技术措施</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0684B5B1">
            <w:pPr>
              <w:pStyle w:val="23"/>
              <w:numPr>
                <w:ilvl w:val="0"/>
                <w:numId w:val="3"/>
              </w:numPr>
              <w:spacing w:before="86" w:line="296" w:lineRule="auto"/>
              <w:ind w:left="102" w:right="98" w:firstLine="14"/>
              <w:rPr>
                <w:rFonts w:hint="eastAsia" w:asciiTheme="minorEastAsia" w:hAnsiTheme="minorEastAsia" w:eastAsiaTheme="minorEastAsia" w:cstheme="minorEastAsia"/>
                <w:spacing w:val="-27"/>
              </w:rPr>
            </w:pPr>
            <w:r>
              <w:rPr>
                <w:rFonts w:hint="eastAsia" w:asciiTheme="minorEastAsia" w:hAnsiTheme="minorEastAsia" w:eastAsiaTheme="minorEastAsia" w:cstheme="minorEastAsia"/>
                <w:spacing w:val="1"/>
              </w:rPr>
              <w:t>投标文件对工程特点、施工条件</w:t>
            </w:r>
            <w:r>
              <w:rPr>
                <w:rFonts w:hint="eastAsia" w:asciiTheme="minorEastAsia" w:hAnsiTheme="minorEastAsia" w:eastAsiaTheme="minorEastAsia" w:cstheme="minorEastAsia"/>
              </w:rPr>
              <w:t>、合同工期作简要概述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1"/>
              </w:rPr>
              <w:t>施工方案合理，技术措施对工程质量、工期和施工安全保障的有针对性</w:t>
            </w:r>
            <w:r>
              <w:rPr>
                <w:rFonts w:hint="eastAsia" w:asciiTheme="minorEastAsia" w:hAnsiTheme="minorEastAsia" w:eastAsiaTheme="minorEastAsia" w:cstheme="minorEastAsia"/>
                <w:spacing w:val="1"/>
                <w:lang w:val="en-US" w:eastAsia="zh-CN"/>
              </w:rPr>
              <w:t>的，得5分</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27"/>
              </w:rPr>
              <w:t xml:space="preserve"> </w:t>
            </w:r>
          </w:p>
          <w:p w14:paraId="60D51A5C">
            <w:pPr>
              <w:pStyle w:val="23"/>
              <w:numPr>
                <w:ilvl w:val="0"/>
                <w:numId w:val="3"/>
              </w:numPr>
              <w:spacing w:before="86" w:line="296" w:lineRule="auto"/>
              <w:ind w:left="102" w:right="98" w:firstLine="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施工方案较合理，技术措施对工程质量、工期和</w:t>
            </w:r>
            <w:r>
              <w:rPr>
                <w:rFonts w:hint="eastAsia" w:asciiTheme="minorEastAsia" w:hAnsiTheme="minorEastAsia" w:eastAsiaTheme="minorEastAsia" w:cstheme="minorEastAsia"/>
                <w:spacing w:val="-1"/>
              </w:rPr>
              <w:t>施工安全的保</w:t>
            </w:r>
            <w:r>
              <w:rPr>
                <w:rFonts w:hint="eastAsia" w:asciiTheme="minorEastAsia" w:hAnsiTheme="minorEastAsia" w:eastAsiaTheme="minorEastAsia" w:cstheme="minorEastAsia"/>
                <w:spacing w:val="1"/>
              </w:rPr>
              <w:t>障针对性</w:t>
            </w:r>
            <w:r>
              <w:rPr>
                <w:rFonts w:hint="eastAsia" w:asciiTheme="minorEastAsia" w:hAnsiTheme="minorEastAsia" w:eastAsiaTheme="minorEastAsia" w:cstheme="minorEastAsia"/>
                <w:spacing w:val="1"/>
                <w:lang w:eastAsia="zh-CN"/>
              </w:rPr>
              <w:t>一般</w:t>
            </w:r>
            <w:r>
              <w:rPr>
                <w:rFonts w:hint="eastAsia" w:asciiTheme="minorEastAsia" w:hAnsiTheme="minorEastAsia" w:eastAsiaTheme="minorEastAsia" w:cstheme="minorEastAsia"/>
                <w:spacing w:val="1"/>
              </w:rPr>
              <w:t>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16"/>
              </w:rPr>
              <w:t xml:space="preserve"> </w:t>
            </w:r>
          </w:p>
          <w:p w14:paraId="7D949BDE">
            <w:pPr>
              <w:pStyle w:val="23"/>
              <w:numPr>
                <w:ilvl w:val="0"/>
                <w:numId w:val="3"/>
              </w:numPr>
              <w:spacing w:before="86" w:line="296" w:lineRule="auto"/>
              <w:ind w:left="102" w:right="98" w:firstLine="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施工方案差，技术措施对工程质量、工期和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施工安全的保障针对性差的得</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rPr>
              <w:t>分。</w:t>
            </w:r>
          </w:p>
        </w:tc>
      </w:tr>
      <w:tr w14:paraId="6970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7368EF16">
            <w:pPr>
              <w:rPr>
                <w:rFonts w:hint="eastAsia" w:asciiTheme="minorEastAsia" w:hAnsiTheme="minorEastAsia" w:eastAsiaTheme="minorEastAsia" w:cstheme="minorEastAsia"/>
                <w:sz w:val="21"/>
              </w:rPr>
            </w:pPr>
          </w:p>
        </w:tc>
        <w:tc>
          <w:tcPr>
            <w:tcW w:w="2571" w:type="dxa"/>
            <w:vAlign w:val="top"/>
          </w:tcPr>
          <w:p w14:paraId="3858D227">
            <w:pPr>
              <w:spacing w:line="397" w:lineRule="auto"/>
              <w:rPr>
                <w:rFonts w:hint="eastAsia" w:asciiTheme="minorEastAsia" w:hAnsiTheme="minorEastAsia" w:eastAsiaTheme="minorEastAsia" w:cstheme="minorEastAsia"/>
                <w:sz w:val="21"/>
              </w:rPr>
            </w:pPr>
          </w:p>
          <w:p w14:paraId="00D9F7CD">
            <w:pPr>
              <w:pStyle w:val="23"/>
              <w:spacing w:before="72" w:line="204"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施工安全文明措施计划</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0DCD9EE3">
            <w:pPr>
              <w:pStyle w:val="23"/>
              <w:numPr>
                <w:ilvl w:val="0"/>
                <w:numId w:val="4"/>
              </w:numPr>
              <w:spacing w:before="87" w:line="305" w:lineRule="auto"/>
              <w:ind w:left="104" w:right="158" w:hanging="1"/>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lang w:val="en-US" w:eastAsia="zh-CN"/>
              </w:rPr>
              <w:t>施工</w:t>
            </w:r>
            <w:r>
              <w:rPr>
                <w:rFonts w:hint="eastAsia" w:asciiTheme="minorEastAsia" w:hAnsiTheme="minorEastAsia" w:eastAsiaTheme="minorEastAsia" w:cstheme="minorEastAsia"/>
                <w:spacing w:val="1"/>
              </w:rPr>
              <w:t>措施完善可行，安全及保卫工作有针对性得</w:t>
            </w:r>
            <w:r>
              <w:rPr>
                <w:rFonts w:hint="eastAsia" w:asciiTheme="minorEastAsia" w:hAnsiTheme="minorEastAsia" w:eastAsiaTheme="minorEastAsia" w:cstheme="minorEastAsia"/>
                <w:spacing w:val="-18"/>
                <w:lang w:val="en-US" w:eastAsia="zh-CN"/>
              </w:rPr>
              <w:t>5</w:t>
            </w:r>
            <w:r>
              <w:rPr>
                <w:rFonts w:hint="eastAsia" w:asciiTheme="minorEastAsia" w:hAnsiTheme="minorEastAsia" w:eastAsiaTheme="minorEastAsia" w:cstheme="minorEastAsia"/>
                <w:spacing w:val="1"/>
              </w:rPr>
              <w:t>分。</w:t>
            </w:r>
          </w:p>
          <w:p w14:paraId="7417E256">
            <w:pPr>
              <w:pStyle w:val="23"/>
              <w:numPr>
                <w:ilvl w:val="0"/>
                <w:numId w:val="4"/>
              </w:numPr>
              <w:spacing w:before="87" w:line="305" w:lineRule="auto"/>
              <w:ind w:left="104" w:right="158" w:hang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1"/>
              </w:rPr>
              <w:t>措施较完善</w:t>
            </w:r>
            <w:r>
              <w:rPr>
                <w:rFonts w:hint="eastAsia" w:asciiTheme="minorEastAsia" w:hAnsiTheme="minorEastAsia" w:eastAsiaTheme="minorEastAsia" w:cstheme="minorEastAsia"/>
              </w:rPr>
              <w:t>，安全及保卫工作较有针对性得</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14:paraId="2919EE81">
            <w:pPr>
              <w:pStyle w:val="23"/>
              <w:numPr>
                <w:ilvl w:val="0"/>
                <w:numId w:val="4"/>
              </w:numPr>
              <w:spacing w:before="87" w:line="305" w:lineRule="auto"/>
              <w:ind w:left="104" w:right="158" w:hang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措施不完善，安全及保卫工作针对性差的得</w:t>
            </w:r>
            <w:r>
              <w:rPr>
                <w:rFonts w:hint="eastAsia" w:asciiTheme="minorEastAsia" w:hAnsiTheme="minorEastAsia" w:eastAsiaTheme="minorEastAsia" w:cstheme="minorEastAsia"/>
                <w:spacing w:val="-19"/>
                <w:lang w:val="en-US" w:eastAsia="zh-CN"/>
              </w:rPr>
              <w:t>1</w:t>
            </w:r>
            <w:r>
              <w:rPr>
                <w:rFonts w:hint="eastAsia" w:asciiTheme="minorEastAsia" w:hAnsiTheme="minorEastAsia" w:eastAsiaTheme="minorEastAsia" w:cstheme="minorEastAsia"/>
                <w:spacing w:val="-5"/>
              </w:rPr>
              <w:t>分。</w:t>
            </w:r>
          </w:p>
        </w:tc>
      </w:tr>
      <w:tr w14:paraId="41AD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7077BBAB">
            <w:pPr>
              <w:rPr>
                <w:rFonts w:hint="eastAsia" w:asciiTheme="minorEastAsia" w:hAnsiTheme="minorEastAsia" w:eastAsiaTheme="minorEastAsia" w:cstheme="minorEastAsia"/>
                <w:sz w:val="21"/>
              </w:rPr>
            </w:pPr>
          </w:p>
        </w:tc>
        <w:tc>
          <w:tcPr>
            <w:tcW w:w="2571" w:type="dxa"/>
            <w:vAlign w:val="top"/>
          </w:tcPr>
          <w:p w14:paraId="60959387">
            <w:pPr>
              <w:pStyle w:val="23"/>
              <w:spacing w:before="280" w:line="313" w:lineRule="auto"/>
              <w:ind w:left="105" w:right="20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质量、环境管理体系与措施</w:t>
            </w:r>
            <w:r>
              <w:rPr>
                <w:rFonts w:hint="eastAsia" w:asciiTheme="minorEastAsia" w:hAnsiTheme="minorEastAsia" w:eastAsiaTheme="minorEastAsia" w:cstheme="minorEastAsia"/>
                <w:spacing w:val="-10"/>
              </w:rPr>
              <w:t xml:space="preserve"> </w:t>
            </w:r>
            <w:r>
              <w:rPr>
                <w:rFonts w:hint="eastAsia" w:asciiTheme="minorEastAsia" w:hAnsiTheme="minorEastAsia" w:eastAsiaTheme="minorEastAsia" w:cstheme="minorEastAsia"/>
              </w:rPr>
              <w:t>(5. 0分)</w:t>
            </w:r>
          </w:p>
        </w:tc>
        <w:tc>
          <w:tcPr>
            <w:tcW w:w="7200" w:type="dxa"/>
            <w:vAlign w:val="top"/>
          </w:tcPr>
          <w:p w14:paraId="5440144A">
            <w:pPr>
              <w:pStyle w:val="23"/>
              <w:numPr>
                <w:ilvl w:val="0"/>
                <w:numId w:val="5"/>
              </w:numPr>
              <w:spacing w:before="88" w:line="289" w:lineRule="auto"/>
              <w:ind w:left="107" w:right="230" w:firstLine="9"/>
              <w:jc w:val="both"/>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pacing w:val="1"/>
              </w:rPr>
              <w:t>质量管理体系与措施的合理、有效、有针</w:t>
            </w:r>
            <w:r>
              <w:rPr>
                <w:rFonts w:hint="eastAsia" w:asciiTheme="minorEastAsia" w:hAnsiTheme="minorEastAsia" w:eastAsiaTheme="minorEastAsia" w:cstheme="minorEastAsia"/>
              </w:rPr>
              <w:t>对性，得5分。</w:t>
            </w:r>
            <w:r>
              <w:rPr>
                <w:rFonts w:hint="eastAsia" w:asciiTheme="minorEastAsia" w:hAnsiTheme="minorEastAsia" w:eastAsiaTheme="minorEastAsia" w:cstheme="minorEastAsia"/>
                <w:spacing w:val="-20"/>
              </w:rPr>
              <w:t xml:space="preserve"> </w:t>
            </w:r>
          </w:p>
          <w:p w14:paraId="7903811D">
            <w:pPr>
              <w:pStyle w:val="23"/>
              <w:numPr>
                <w:ilvl w:val="0"/>
                <w:numId w:val="5"/>
              </w:numPr>
              <w:spacing w:before="88" w:line="289" w:lineRule="auto"/>
              <w:ind w:left="107" w:right="230" w:firstLine="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质量管理体 </w:t>
            </w:r>
            <w:r>
              <w:rPr>
                <w:rFonts w:hint="eastAsia" w:asciiTheme="minorEastAsia" w:hAnsiTheme="minorEastAsia" w:eastAsiaTheme="minorEastAsia" w:cstheme="minorEastAsia"/>
                <w:spacing w:val="1"/>
              </w:rPr>
              <w:t>系与措施较合理、可靠、较有效的，得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1"/>
                <w:lang w:eastAsia="zh-CN"/>
              </w:rPr>
              <w:t>。</w:t>
            </w:r>
          </w:p>
          <w:p w14:paraId="3305BC53">
            <w:pPr>
              <w:pStyle w:val="23"/>
              <w:numPr>
                <w:ilvl w:val="0"/>
                <w:numId w:val="5"/>
              </w:numPr>
              <w:spacing w:before="88" w:line="289" w:lineRule="auto"/>
              <w:ind w:left="107" w:right="230" w:firstLine="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质量管理体系与</w:t>
            </w:r>
            <w:r>
              <w:rPr>
                <w:rFonts w:hint="eastAsia" w:asciiTheme="minorEastAsia" w:hAnsiTheme="minorEastAsia" w:eastAsiaTheme="minorEastAsia" w:cstheme="minorEastAsia"/>
              </w:rPr>
              <w:t>措施较差 、可靠性有效性差的得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w:t>
            </w:r>
          </w:p>
        </w:tc>
      </w:tr>
      <w:tr w14:paraId="245D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1F78E09A">
            <w:pPr>
              <w:rPr>
                <w:rFonts w:hint="eastAsia" w:asciiTheme="minorEastAsia" w:hAnsiTheme="minorEastAsia" w:eastAsiaTheme="minorEastAsia" w:cstheme="minorEastAsia"/>
                <w:sz w:val="21"/>
              </w:rPr>
            </w:pPr>
          </w:p>
        </w:tc>
        <w:tc>
          <w:tcPr>
            <w:tcW w:w="2571" w:type="dxa"/>
            <w:vAlign w:val="top"/>
          </w:tcPr>
          <w:p w14:paraId="71FDF706">
            <w:pPr>
              <w:spacing w:line="399" w:lineRule="auto"/>
              <w:rPr>
                <w:rFonts w:hint="eastAsia" w:asciiTheme="minorEastAsia" w:hAnsiTheme="minorEastAsia" w:eastAsiaTheme="minorEastAsia" w:cstheme="minorEastAsia"/>
                <w:sz w:val="21"/>
              </w:rPr>
            </w:pPr>
          </w:p>
          <w:p w14:paraId="2225399C">
            <w:pPr>
              <w:pStyle w:val="23"/>
              <w:spacing w:before="73" w:line="204"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工程进度计划与措施</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6FD0175E">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spacing w:val="-24"/>
              </w:rPr>
            </w:pPr>
            <w:r>
              <w:rPr>
                <w:rFonts w:hint="eastAsia" w:asciiTheme="minorEastAsia" w:hAnsiTheme="minorEastAsia" w:eastAsiaTheme="minorEastAsia" w:cstheme="minorEastAsia"/>
                <w:spacing w:val="1"/>
              </w:rPr>
              <w:t>工程进度计划与措施合理、可靠、有效，得</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24"/>
              </w:rPr>
              <w:t xml:space="preserve"> </w:t>
            </w:r>
          </w:p>
          <w:p w14:paraId="3EB2610C">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4"/>
                <w:lang w:eastAsia="zh-CN"/>
              </w:rPr>
              <w:t>对</w:t>
            </w:r>
            <w:r>
              <w:rPr>
                <w:rFonts w:hint="eastAsia" w:asciiTheme="minorEastAsia" w:hAnsiTheme="minorEastAsia" w:eastAsiaTheme="minorEastAsia" w:cstheme="minorEastAsia"/>
                <w:spacing w:val="1"/>
              </w:rPr>
              <w:t>工程</w:t>
            </w:r>
            <w:r>
              <w:rPr>
                <w:rFonts w:hint="eastAsia" w:asciiTheme="minorEastAsia" w:hAnsiTheme="minorEastAsia" w:eastAsiaTheme="minorEastAsia" w:cstheme="minorEastAsia"/>
              </w:rPr>
              <w:t xml:space="preserve">进度计划与控制 </w:t>
            </w:r>
            <w:r>
              <w:rPr>
                <w:rFonts w:hint="eastAsia" w:asciiTheme="minorEastAsia" w:hAnsiTheme="minorEastAsia" w:eastAsiaTheme="minorEastAsia" w:cstheme="minorEastAsia"/>
                <w:spacing w:val="1"/>
              </w:rPr>
              <w:t>工期的保证措施较合理、较可靠、较有效的，得3分;</w:t>
            </w:r>
          </w:p>
          <w:p w14:paraId="62618E2D">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工程进度计划与控</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1"/>
              </w:rPr>
              <w:t>制，工期的保证措施差、可靠性有效性差的，得</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rPr>
              <w:t>分。</w:t>
            </w:r>
          </w:p>
        </w:tc>
      </w:tr>
      <w:tr w14:paraId="2915D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169" w:type="dxa"/>
            <w:vMerge w:val="continue"/>
            <w:tcBorders>
              <w:top w:val="nil"/>
              <w:bottom w:val="nil"/>
            </w:tcBorders>
            <w:vAlign w:val="top"/>
          </w:tcPr>
          <w:p w14:paraId="7275E156">
            <w:pPr>
              <w:rPr>
                <w:rFonts w:hint="eastAsia" w:asciiTheme="minorEastAsia" w:hAnsiTheme="minorEastAsia" w:eastAsiaTheme="minorEastAsia" w:cstheme="minorEastAsia"/>
                <w:sz w:val="21"/>
              </w:rPr>
            </w:pPr>
          </w:p>
        </w:tc>
        <w:tc>
          <w:tcPr>
            <w:tcW w:w="2571" w:type="dxa"/>
            <w:vAlign w:val="top"/>
          </w:tcPr>
          <w:p w14:paraId="059D2D98">
            <w:pPr>
              <w:spacing w:line="411" w:lineRule="auto"/>
              <w:rPr>
                <w:rFonts w:hint="eastAsia" w:asciiTheme="minorEastAsia" w:hAnsiTheme="minorEastAsia" w:eastAsiaTheme="minorEastAsia" w:cstheme="minorEastAsia"/>
                <w:sz w:val="21"/>
              </w:rPr>
            </w:pPr>
          </w:p>
          <w:p w14:paraId="4508C53D">
            <w:pPr>
              <w:pStyle w:val="23"/>
              <w:spacing w:before="62" w:line="339" w:lineRule="auto"/>
              <w:ind w:left="101" w:right="135"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关键施工技术重点、难点和解决 </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.0分)</w:t>
            </w:r>
          </w:p>
        </w:tc>
        <w:tc>
          <w:tcPr>
            <w:tcW w:w="7200" w:type="dxa"/>
            <w:vAlign w:val="top"/>
          </w:tcPr>
          <w:p w14:paraId="39C56BC8">
            <w:pPr>
              <w:pStyle w:val="23"/>
              <w:numPr>
                <w:ilvl w:val="0"/>
                <w:numId w:val="7"/>
              </w:numPr>
              <w:spacing w:before="91" w:line="321" w:lineRule="auto"/>
              <w:ind w:left="104" w:right="206" w:firstLine="2"/>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2"/>
              </w:rPr>
              <w:t>关键施工技术、工艺及工程项目实施的重点、</w:t>
            </w:r>
            <w:r>
              <w:rPr>
                <w:rFonts w:hint="eastAsia" w:asciiTheme="minorEastAsia" w:hAnsiTheme="minorEastAsia" w:eastAsiaTheme="minorEastAsia" w:cstheme="minorEastAsia"/>
                <w:spacing w:val="1"/>
              </w:rPr>
              <w:t>难点提供有效解决方案，得</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分。</w:t>
            </w:r>
          </w:p>
          <w:p w14:paraId="4C4E58D9">
            <w:pPr>
              <w:pStyle w:val="23"/>
              <w:numPr>
                <w:ilvl w:val="0"/>
                <w:numId w:val="7"/>
              </w:numPr>
              <w:spacing w:before="91" w:line="321" w:lineRule="auto"/>
              <w:ind w:left="104" w:right="206"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1"/>
              </w:rPr>
              <w:t>关键施工技术、工艺及工程项目实施的重点、难点提供较有效解决</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方案，得3分。</w:t>
            </w:r>
          </w:p>
          <w:p w14:paraId="65EE9438">
            <w:pPr>
              <w:pStyle w:val="23"/>
              <w:numPr>
                <w:ilvl w:val="0"/>
                <w:numId w:val="7"/>
              </w:numPr>
              <w:spacing w:before="91" w:line="321" w:lineRule="auto"/>
              <w:ind w:left="104" w:right="206"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关键施工技术、工艺及工程项目实施的重点、难点提供较</w:t>
            </w:r>
            <w:r>
              <w:rPr>
                <w:rFonts w:hint="eastAsia" w:asciiTheme="minorEastAsia" w:hAnsiTheme="minorEastAsia" w:eastAsiaTheme="minorEastAsia" w:cstheme="minorEastAsia"/>
              </w:rPr>
              <w:t xml:space="preserve"> 差的解决方案，得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p>
        </w:tc>
      </w:tr>
    </w:tbl>
    <w:tbl>
      <w:tblPr>
        <w:tblStyle w:val="21"/>
        <w:tblW w:w="10309" w:type="dxa"/>
        <w:tblInd w:w="-1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2577"/>
        <w:gridCol w:w="6573"/>
      </w:tblGrid>
      <w:tr w14:paraId="2C58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1159" w:type="dxa"/>
            <w:vMerge w:val="restart"/>
            <w:tcBorders>
              <w:top w:val="nil"/>
              <w:bottom w:val="nil"/>
            </w:tcBorders>
            <w:vAlign w:val="top"/>
          </w:tcPr>
          <w:p w14:paraId="0EEF5E09">
            <w:pPr>
              <w:rPr>
                <w:rFonts w:hint="eastAsia" w:asciiTheme="minorEastAsia" w:hAnsiTheme="minorEastAsia" w:eastAsiaTheme="minorEastAsia" w:cstheme="minorEastAsia"/>
                <w:sz w:val="21"/>
              </w:rPr>
            </w:pPr>
          </w:p>
        </w:tc>
        <w:tc>
          <w:tcPr>
            <w:tcW w:w="2577" w:type="dxa"/>
            <w:vAlign w:val="top"/>
          </w:tcPr>
          <w:p w14:paraId="59240C80">
            <w:pPr>
              <w:spacing w:line="289" w:lineRule="auto"/>
              <w:rPr>
                <w:rFonts w:hint="eastAsia" w:asciiTheme="minorEastAsia" w:hAnsiTheme="minorEastAsia" w:eastAsiaTheme="minorEastAsia" w:cstheme="minorEastAsia"/>
                <w:sz w:val="21"/>
              </w:rPr>
            </w:pPr>
          </w:p>
          <w:p w14:paraId="24D0021E">
            <w:pPr>
              <w:spacing w:line="290" w:lineRule="auto"/>
              <w:rPr>
                <w:rFonts w:hint="eastAsia" w:asciiTheme="minorEastAsia" w:hAnsiTheme="minorEastAsia" w:eastAsiaTheme="minorEastAsia" w:cstheme="minorEastAsia"/>
                <w:sz w:val="21"/>
              </w:rPr>
            </w:pPr>
          </w:p>
          <w:p w14:paraId="20711B12">
            <w:pPr>
              <w:pStyle w:val="23"/>
              <w:spacing w:before="83"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应急预案以及应对措施</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26356C9D">
            <w:pPr>
              <w:pStyle w:val="23"/>
              <w:numPr>
                <w:ilvl w:val="0"/>
                <w:numId w:val="8"/>
              </w:numPr>
              <w:spacing w:before="89" w:line="281" w:lineRule="auto"/>
              <w:ind w:left="102" w:right="206"/>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针对工程施工过程中可能遇到的各种风险的预案以及</w:t>
            </w:r>
            <w:r>
              <w:rPr>
                <w:rFonts w:hint="eastAsia" w:asciiTheme="minorEastAsia" w:hAnsiTheme="minorEastAsia" w:eastAsiaTheme="minorEastAsia" w:cstheme="minorEastAsia"/>
                <w:spacing w:val="1"/>
              </w:rPr>
              <w:t>应对措施合理、切实</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可行得</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
              </w:rPr>
              <w:t>分。</w:t>
            </w:r>
          </w:p>
          <w:p w14:paraId="3D049E95">
            <w:pPr>
              <w:pStyle w:val="23"/>
              <w:numPr>
                <w:ilvl w:val="0"/>
                <w:numId w:val="8"/>
              </w:numPr>
              <w:spacing w:before="89" w:line="281" w:lineRule="auto"/>
              <w:ind w:left="102" w:right="20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2"/>
              </w:rPr>
              <w:t>针对工程施工过程中可能遇到的各种风</w:t>
            </w:r>
            <w:r>
              <w:rPr>
                <w:rFonts w:hint="eastAsia" w:asciiTheme="minorEastAsia" w:hAnsiTheme="minorEastAsia" w:eastAsiaTheme="minorEastAsia" w:cstheme="minorEastAsia"/>
                <w:spacing w:val="1"/>
              </w:rPr>
              <w:t>险的预案以及应对措</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施较合理可行得</w:t>
            </w:r>
            <w:r>
              <w:rPr>
                <w:rFonts w:hint="eastAsia" w:asciiTheme="minorEastAsia" w:hAnsiTheme="minorEastAsia" w:eastAsiaTheme="minorEastAsia" w:cstheme="minorEastAsia"/>
                <w:spacing w:val="2"/>
                <w:lang w:val="en-US" w:eastAsia="zh-CN"/>
              </w:rPr>
              <w:t>3</w:t>
            </w:r>
            <w:r>
              <w:rPr>
                <w:rFonts w:hint="eastAsia" w:asciiTheme="minorEastAsia" w:hAnsiTheme="minorEastAsia" w:eastAsiaTheme="minorEastAsia" w:cstheme="minorEastAsia"/>
                <w:spacing w:val="2"/>
              </w:rPr>
              <w:t>分。</w:t>
            </w:r>
          </w:p>
          <w:p w14:paraId="71D78557">
            <w:pPr>
              <w:pStyle w:val="23"/>
              <w:numPr>
                <w:ilvl w:val="0"/>
                <w:numId w:val="8"/>
              </w:numPr>
              <w:spacing w:before="89" w:line="281" w:lineRule="auto"/>
              <w:ind w:left="102" w:right="20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针对工程施工过程中可能遇到</w:t>
            </w:r>
            <w:r>
              <w:rPr>
                <w:rFonts w:hint="eastAsia" w:asciiTheme="minorEastAsia" w:hAnsiTheme="minorEastAsia" w:eastAsiaTheme="minorEastAsia" w:cstheme="minorEastAsia"/>
                <w:spacing w:val="1"/>
              </w:rPr>
              <w:t>的各种风险的预案以</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及应对措施合理可行行较差得</w:t>
            </w:r>
            <w:r>
              <w:rPr>
                <w:rFonts w:hint="eastAsia" w:asciiTheme="minorEastAsia" w:hAnsiTheme="minorEastAsia" w:eastAsiaTheme="minorEastAsia" w:cstheme="minorEastAsia"/>
                <w:spacing w:val="2"/>
                <w:lang w:val="en-US" w:eastAsia="zh-CN"/>
              </w:rPr>
              <w:t>1</w:t>
            </w:r>
            <w:r>
              <w:rPr>
                <w:rFonts w:hint="eastAsia" w:asciiTheme="minorEastAsia" w:hAnsiTheme="minorEastAsia" w:eastAsiaTheme="minorEastAsia" w:cstheme="minorEastAsia"/>
                <w:spacing w:val="2"/>
              </w:rPr>
              <w:t>分</w:t>
            </w:r>
          </w:p>
        </w:tc>
      </w:tr>
      <w:tr w14:paraId="49F5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1159" w:type="dxa"/>
            <w:vMerge w:val="continue"/>
            <w:tcBorders>
              <w:top w:val="nil"/>
            </w:tcBorders>
            <w:vAlign w:val="top"/>
          </w:tcPr>
          <w:p w14:paraId="01FE41FC">
            <w:pPr>
              <w:rPr>
                <w:rFonts w:hint="eastAsia" w:asciiTheme="minorEastAsia" w:hAnsiTheme="minorEastAsia" w:eastAsiaTheme="minorEastAsia" w:cstheme="minorEastAsia"/>
                <w:sz w:val="21"/>
              </w:rPr>
            </w:pPr>
          </w:p>
        </w:tc>
        <w:tc>
          <w:tcPr>
            <w:tcW w:w="2577" w:type="dxa"/>
            <w:vAlign w:val="top"/>
          </w:tcPr>
          <w:p w14:paraId="6E739F56">
            <w:pPr>
              <w:spacing w:line="384" w:lineRule="auto"/>
              <w:rPr>
                <w:rFonts w:hint="eastAsia" w:asciiTheme="minorEastAsia" w:hAnsiTheme="minorEastAsia" w:eastAsiaTheme="minorEastAsia" w:cstheme="minorEastAsia"/>
                <w:sz w:val="21"/>
              </w:rPr>
            </w:pPr>
          </w:p>
          <w:p w14:paraId="44F711CC">
            <w:pPr>
              <w:pStyle w:val="23"/>
              <w:spacing w:before="82" w:line="179" w:lineRule="auto"/>
              <w:ind w:left="1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资源配备计划</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1"/>
              </w:rPr>
              <w:t>.0分)</w:t>
            </w:r>
          </w:p>
        </w:tc>
        <w:tc>
          <w:tcPr>
            <w:tcW w:w="6573" w:type="dxa"/>
            <w:vAlign w:val="top"/>
          </w:tcPr>
          <w:p w14:paraId="5852B398">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投入的劳动力与施工设备数量、种类的全面、合理、有效，得</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
              </w:rPr>
              <w:t>分。</w:t>
            </w:r>
          </w:p>
          <w:p w14:paraId="47D4F506">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投入的劳动力与施工设备数量、种类较全面</w:t>
            </w:r>
            <w:r>
              <w:rPr>
                <w:rFonts w:hint="eastAsia" w:asciiTheme="minorEastAsia" w:hAnsiTheme="minorEastAsia" w:eastAsiaTheme="minorEastAsia" w:cstheme="minorEastAsia"/>
                <w:spacing w:val="1"/>
              </w:rPr>
              <w:t>、较合理，得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p>
          <w:p w14:paraId="33114C30">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投入的劳</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动力与施工设备数量、种类的基本</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合理，得2分。</w:t>
            </w:r>
            <w:r>
              <w:rPr>
                <w:rFonts w:hint="eastAsia" w:asciiTheme="minorEastAsia" w:hAnsiTheme="minorEastAsia" w:eastAsiaTheme="minorEastAsia" w:cstheme="minorEastAsia"/>
                <w:spacing w:val="1"/>
                <w:lang w:eastAsia="zh-CN"/>
              </w:rPr>
              <w:t>（需配备建筑工程专业贰级及以上项目经理、技术负责人须具备中级工程师有效证件、施工员、质量员、资料员、安全员、材料员、造价师等有效证件；如证件缺失，不得分）</w:t>
            </w:r>
          </w:p>
        </w:tc>
      </w:tr>
      <w:tr w14:paraId="1866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59" w:type="dxa"/>
            <w:vMerge w:val="restart"/>
            <w:tcBorders>
              <w:bottom w:val="nil"/>
            </w:tcBorders>
            <w:vAlign w:val="top"/>
          </w:tcPr>
          <w:p w14:paraId="0356087A">
            <w:pPr>
              <w:spacing w:line="246" w:lineRule="auto"/>
              <w:rPr>
                <w:rFonts w:hint="eastAsia" w:asciiTheme="minorEastAsia" w:hAnsiTheme="minorEastAsia" w:eastAsiaTheme="minorEastAsia" w:cstheme="minorEastAsia"/>
                <w:sz w:val="21"/>
              </w:rPr>
            </w:pPr>
          </w:p>
          <w:p w14:paraId="035761E3">
            <w:pPr>
              <w:spacing w:line="246" w:lineRule="auto"/>
              <w:rPr>
                <w:rFonts w:hint="eastAsia" w:asciiTheme="minorEastAsia" w:hAnsiTheme="minorEastAsia" w:eastAsiaTheme="minorEastAsia" w:cstheme="minorEastAsia"/>
                <w:sz w:val="21"/>
              </w:rPr>
            </w:pPr>
          </w:p>
          <w:p w14:paraId="69FB6724">
            <w:pPr>
              <w:spacing w:line="246" w:lineRule="auto"/>
              <w:rPr>
                <w:rFonts w:hint="eastAsia" w:asciiTheme="minorEastAsia" w:hAnsiTheme="minorEastAsia" w:eastAsiaTheme="minorEastAsia" w:cstheme="minorEastAsia"/>
                <w:sz w:val="21"/>
              </w:rPr>
            </w:pPr>
          </w:p>
          <w:p w14:paraId="7AAFE6CC">
            <w:pPr>
              <w:spacing w:line="246" w:lineRule="auto"/>
              <w:rPr>
                <w:rFonts w:hint="eastAsia" w:asciiTheme="minorEastAsia" w:hAnsiTheme="minorEastAsia" w:eastAsiaTheme="minorEastAsia" w:cstheme="minorEastAsia"/>
                <w:sz w:val="21"/>
              </w:rPr>
            </w:pPr>
          </w:p>
          <w:p w14:paraId="115AF0DD">
            <w:pPr>
              <w:spacing w:line="247" w:lineRule="auto"/>
              <w:jc w:val="right"/>
              <w:rPr>
                <w:rFonts w:hint="eastAsia" w:asciiTheme="minorEastAsia" w:hAnsiTheme="minorEastAsia" w:eastAsiaTheme="minorEastAsia" w:cstheme="minorEastAsia"/>
                <w:sz w:val="21"/>
              </w:rPr>
            </w:pPr>
          </w:p>
          <w:p w14:paraId="71C4EB2C">
            <w:pPr>
              <w:spacing w:line="247" w:lineRule="auto"/>
              <w:rPr>
                <w:rFonts w:hint="eastAsia" w:asciiTheme="minorEastAsia" w:hAnsiTheme="minorEastAsia" w:eastAsiaTheme="minorEastAsia" w:cstheme="minorEastAsia"/>
                <w:sz w:val="21"/>
              </w:rPr>
            </w:pPr>
          </w:p>
          <w:p w14:paraId="55BCAD08">
            <w:pPr>
              <w:pStyle w:val="23"/>
              <w:spacing w:before="62" w:line="221"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商务部分</w:t>
            </w:r>
          </w:p>
        </w:tc>
        <w:tc>
          <w:tcPr>
            <w:tcW w:w="2577" w:type="dxa"/>
            <w:vAlign w:val="top"/>
          </w:tcPr>
          <w:p w14:paraId="77C52BF8">
            <w:pPr>
              <w:spacing w:line="288" w:lineRule="auto"/>
              <w:rPr>
                <w:rFonts w:hint="eastAsia" w:asciiTheme="minorEastAsia" w:hAnsiTheme="minorEastAsia" w:eastAsiaTheme="minorEastAsia" w:cstheme="minorEastAsia"/>
                <w:sz w:val="21"/>
              </w:rPr>
            </w:pPr>
          </w:p>
          <w:p w14:paraId="6CBD7F6F">
            <w:pPr>
              <w:pStyle w:val="23"/>
              <w:spacing w:before="82"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业绩</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4</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7C520DF7">
            <w:pPr>
              <w:spacing w:before="120" w:line="360" w:lineRule="auto"/>
              <w:jc w:val="left"/>
              <w:rPr>
                <w:rFonts w:hint="eastAsia" w:ascii="宋体" w:hAnsi="宋体"/>
              </w:rPr>
            </w:pPr>
            <w:r>
              <w:rPr>
                <w:rFonts w:hint="eastAsia" w:ascii="宋体" w:hAnsi="宋体"/>
              </w:rPr>
              <w:t>标人提供202</w:t>
            </w:r>
            <w:r>
              <w:rPr>
                <w:rFonts w:hint="eastAsia" w:ascii="宋体" w:hAnsi="宋体"/>
                <w:lang w:val="en-US" w:eastAsia="zh-CN"/>
              </w:rPr>
              <w:t>1</w:t>
            </w:r>
            <w:r>
              <w:rPr>
                <w:rFonts w:hint="eastAsia" w:ascii="宋体" w:hAnsi="宋体"/>
              </w:rPr>
              <w:t>年</w:t>
            </w:r>
            <w:r>
              <w:rPr>
                <w:rFonts w:hint="eastAsia" w:ascii="宋体" w:hAnsi="宋体" w:eastAsia="宋体"/>
                <w:lang w:val="en-US" w:eastAsia="zh-CN"/>
              </w:rPr>
              <w:t>9</w:t>
            </w:r>
            <w:r>
              <w:rPr>
                <w:rFonts w:hint="eastAsia" w:ascii="宋体" w:hAnsi="宋体"/>
              </w:rPr>
              <w:t>月1日至今</w:t>
            </w:r>
            <w:r>
              <w:rPr>
                <w:rFonts w:hint="eastAsia" w:ascii="宋体" w:hAnsi="宋体"/>
                <w:lang w:val="en-US" w:eastAsia="zh-CN"/>
              </w:rPr>
              <w:t>类似项目业绩</w:t>
            </w:r>
            <w:r>
              <w:rPr>
                <w:rFonts w:hint="eastAsia" w:ascii="宋体" w:hAnsi="宋体"/>
                <w:lang w:eastAsia="zh-CN"/>
              </w:rPr>
              <w:t>（</w:t>
            </w:r>
            <w:r>
              <w:rPr>
                <w:rFonts w:hint="eastAsia" w:ascii="宋体" w:hAnsi="宋体"/>
                <w:lang w:val="en-US" w:eastAsia="zh-CN"/>
              </w:rPr>
              <w:t>工程</w:t>
            </w:r>
            <w:r>
              <w:rPr>
                <w:rFonts w:hint="eastAsia" w:ascii="宋体" w:hAnsi="宋体"/>
                <w:lang w:eastAsia="zh-CN"/>
              </w:rPr>
              <w:t>），</w:t>
            </w:r>
            <w:r>
              <w:rPr>
                <w:rFonts w:hint="eastAsia" w:ascii="宋体" w:hAnsi="宋体"/>
              </w:rPr>
              <w:t>要求时间以合同签订时间为准，投标文件中附有其业绩证明材料，业绩以投标人的销售或服务合同为依据，每提供一个计</w:t>
            </w:r>
            <w:r>
              <w:rPr>
                <w:rFonts w:hint="eastAsia" w:ascii="宋体" w:hAnsi="宋体" w:eastAsia="宋体"/>
                <w:lang w:val="en-US" w:eastAsia="zh-CN"/>
              </w:rPr>
              <w:t>2</w:t>
            </w:r>
            <w:r>
              <w:rPr>
                <w:rFonts w:hint="eastAsia" w:ascii="宋体" w:hAnsi="宋体"/>
              </w:rPr>
              <w:t>分，满分</w:t>
            </w:r>
            <w:r>
              <w:rPr>
                <w:rFonts w:hint="eastAsia" w:ascii="宋体" w:hAnsi="宋体" w:eastAsia="宋体"/>
                <w:lang w:val="en-US" w:eastAsia="zh-CN"/>
              </w:rPr>
              <w:t>4</w:t>
            </w:r>
            <w:r>
              <w:rPr>
                <w:rFonts w:hint="eastAsia" w:ascii="宋体" w:hAnsi="宋体"/>
              </w:rPr>
              <w:t>分。</w:t>
            </w:r>
          </w:p>
          <w:p w14:paraId="7E4FD622">
            <w:pPr>
              <w:pStyle w:val="23"/>
              <w:spacing w:before="124" w:line="281" w:lineRule="auto"/>
              <w:ind w:left="106" w:right="110" w:hanging="3"/>
              <w:rPr>
                <w:rFonts w:hint="eastAsia" w:asciiTheme="minorEastAsia" w:hAnsiTheme="minorEastAsia" w:eastAsiaTheme="minorEastAsia" w:cstheme="minorEastAsia"/>
              </w:rPr>
            </w:pPr>
            <w:r>
              <w:rPr>
                <w:rFonts w:hint="eastAsia" w:ascii="宋体" w:hAnsi="宋体"/>
              </w:rPr>
              <w:t>注:业绩(销售或服务合同)中甲乙双方签章、合同签订时间、合同金额和设备名称必须清晰，否则不予评分。</w:t>
            </w:r>
          </w:p>
        </w:tc>
      </w:tr>
      <w:tr w14:paraId="40B4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59" w:type="dxa"/>
            <w:vMerge w:val="continue"/>
            <w:tcBorders>
              <w:top w:val="nil"/>
              <w:bottom w:val="nil"/>
            </w:tcBorders>
            <w:vAlign w:val="top"/>
          </w:tcPr>
          <w:p w14:paraId="70653D82">
            <w:pPr>
              <w:rPr>
                <w:rFonts w:hint="eastAsia" w:asciiTheme="minorEastAsia" w:hAnsiTheme="minorEastAsia" w:eastAsiaTheme="minorEastAsia" w:cstheme="minorEastAsia"/>
                <w:sz w:val="21"/>
              </w:rPr>
            </w:pPr>
          </w:p>
        </w:tc>
        <w:tc>
          <w:tcPr>
            <w:tcW w:w="2577" w:type="dxa"/>
            <w:vAlign w:val="top"/>
          </w:tcPr>
          <w:p w14:paraId="6D9A6492">
            <w:pPr>
              <w:spacing w:line="289" w:lineRule="auto"/>
              <w:rPr>
                <w:rFonts w:hint="eastAsia" w:asciiTheme="minorEastAsia" w:hAnsiTheme="minorEastAsia" w:eastAsiaTheme="minorEastAsia" w:cstheme="minorEastAsia"/>
                <w:sz w:val="21"/>
              </w:rPr>
            </w:pPr>
          </w:p>
          <w:p w14:paraId="299C6804">
            <w:pPr>
              <w:spacing w:line="289" w:lineRule="auto"/>
              <w:rPr>
                <w:rFonts w:hint="eastAsia" w:asciiTheme="minorEastAsia" w:hAnsiTheme="minorEastAsia" w:eastAsiaTheme="minorEastAsia" w:cstheme="minorEastAsia"/>
                <w:sz w:val="21"/>
              </w:rPr>
            </w:pPr>
          </w:p>
          <w:p w14:paraId="31CDA060">
            <w:pPr>
              <w:pStyle w:val="23"/>
              <w:spacing w:before="82"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三大体系证书</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2.0</w:t>
            </w:r>
            <w:r>
              <w:rPr>
                <w:rFonts w:hint="eastAsia" w:asciiTheme="minorEastAsia" w:hAnsiTheme="minorEastAsia" w:eastAsiaTheme="minorEastAsia" w:cstheme="minorEastAsia"/>
                <w:spacing w:val="2"/>
              </w:rPr>
              <w:t>分)</w:t>
            </w:r>
          </w:p>
        </w:tc>
        <w:tc>
          <w:tcPr>
            <w:tcW w:w="6573" w:type="dxa"/>
            <w:vAlign w:val="top"/>
          </w:tcPr>
          <w:p w14:paraId="6F6666AB">
            <w:pPr>
              <w:pStyle w:val="23"/>
              <w:spacing w:before="88" w:line="300" w:lineRule="auto"/>
              <w:ind w:left="104" w:right="1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rPr>
              <w:t>提供质量管理体系认证证书(有效期内)、职业</w:t>
            </w:r>
            <w:r>
              <w:rPr>
                <w:rFonts w:hint="eastAsia" w:asciiTheme="minorEastAsia" w:hAnsiTheme="minorEastAsia" w:eastAsiaTheme="minorEastAsia" w:cstheme="minorEastAsia"/>
                <w:spacing w:val="2"/>
              </w:rPr>
              <w:t>健康安全管理体系认证证书(</w:t>
            </w:r>
            <w:r>
              <w:rPr>
                <w:rFonts w:hint="eastAsia" w:asciiTheme="minorEastAsia" w:hAnsiTheme="minorEastAsia" w:eastAsiaTheme="minorEastAsia" w:cstheme="minorEastAsia"/>
                <w:spacing w:val="3"/>
              </w:rPr>
              <w:t>有效期内)、环境管理体系认证证书(有效期内)三证齐</w:t>
            </w:r>
            <w:r>
              <w:rPr>
                <w:rFonts w:hint="eastAsia" w:asciiTheme="minorEastAsia" w:hAnsiTheme="minorEastAsia" w:eastAsiaTheme="minorEastAsia" w:cstheme="minorEastAsia"/>
                <w:spacing w:val="2"/>
              </w:rPr>
              <w:t>全得</w:t>
            </w:r>
            <w:r>
              <w:rPr>
                <w:rFonts w:hint="eastAsia" w:asciiTheme="minorEastAsia" w:hAnsiTheme="minorEastAsia" w:eastAsiaTheme="minorEastAsia" w:cstheme="minorEastAsia"/>
                <w:spacing w:val="2"/>
                <w:lang w:val="en-US" w:eastAsia="zh-CN"/>
              </w:rPr>
              <w:t>2</w:t>
            </w:r>
            <w:r>
              <w:rPr>
                <w:rFonts w:hint="eastAsia" w:asciiTheme="minorEastAsia" w:hAnsiTheme="minorEastAsia" w:eastAsiaTheme="minorEastAsia" w:cstheme="minorEastAsia"/>
                <w:spacing w:val="2"/>
              </w:rPr>
              <w:t>分，缺少任意</w:t>
            </w:r>
            <w:r>
              <w:rPr>
                <w:rFonts w:hint="eastAsia" w:asciiTheme="minorEastAsia" w:hAnsiTheme="minorEastAsia" w:eastAsiaTheme="minorEastAsia" w:cstheme="minorEastAsia"/>
                <w:spacing w:val="3"/>
              </w:rPr>
              <w:t>一证，本项不得分</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25"/>
                <w:lang w:eastAsia="zh-CN"/>
              </w:rPr>
              <w:t>。</w:t>
            </w:r>
          </w:p>
        </w:tc>
      </w:tr>
      <w:tr w14:paraId="1941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59" w:type="dxa"/>
            <w:vMerge w:val="continue"/>
            <w:tcBorders>
              <w:top w:val="nil"/>
              <w:bottom w:val="nil"/>
            </w:tcBorders>
            <w:vAlign w:val="top"/>
          </w:tcPr>
          <w:p w14:paraId="63D7166E">
            <w:pPr>
              <w:rPr>
                <w:rFonts w:hint="eastAsia" w:asciiTheme="minorEastAsia" w:hAnsiTheme="minorEastAsia" w:eastAsiaTheme="minorEastAsia" w:cstheme="minorEastAsia"/>
                <w:sz w:val="21"/>
              </w:rPr>
            </w:pPr>
          </w:p>
        </w:tc>
        <w:tc>
          <w:tcPr>
            <w:tcW w:w="2577" w:type="dxa"/>
            <w:vAlign w:val="top"/>
          </w:tcPr>
          <w:p w14:paraId="63858AD3">
            <w:pPr>
              <w:spacing w:line="257" w:lineRule="auto"/>
              <w:rPr>
                <w:rFonts w:hint="eastAsia" w:asciiTheme="minorEastAsia" w:hAnsiTheme="minorEastAsia" w:eastAsiaTheme="minorEastAsia" w:cstheme="minorEastAsia"/>
                <w:sz w:val="21"/>
              </w:rPr>
            </w:pPr>
          </w:p>
          <w:p w14:paraId="01553E0B">
            <w:pPr>
              <w:pStyle w:val="23"/>
              <w:spacing w:before="82" w:line="179"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项目经理</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1</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1ADFA072">
            <w:pPr>
              <w:pStyle w:val="23"/>
              <w:spacing w:before="91" w:line="295" w:lineRule="auto"/>
              <w:ind w:left="103" w:right="131"/>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spacing w:val="1"/>
                <w:lang w:eastAsia="zh-CN"/>
              </w:rPr>
              <w:t>配备项目经理持有</w:t>
            </w:r>
            <w:r>
              <w:rPr>
                <w:rFonts w:hint="eastAsia" w:asciiTheme="minorEastAsia" w:hAnsiTheme="minorEastAsia" w:eastAsiaTheme="minorEastAsia" w:cstheme="minorEastAsia"/>
                <w:spacing w:val="1"/>
                <w:lang w:val="en-US" w:eastAsia="zh-CN"/>
              </w:rPr>
              <w:t>【</w:t>
            </w:r>
            <w:r>
              <w:rPr>
                <w:rFonts w:hint="eastAsia" w:asciiTheme="minorEastAsia" w:hAnsiTheme="minorEastAsia" w:eastAsiaTheme="minorEastAsia" w:cstheme="minorEastAsia"/>
                <w:spacing w:val="1"/>
                <w:lang w:eastAsia="zh-CN"/>
              </w:rPr>
              <w:t>建筑工程专业贰级】及以上的</w:t>
            </w:r>
            <w:r>
              <w:rPr>
                <w:rFonts w:hint="eastAsia" w:ascii="宋体" w:hAnsi="宋体" w:eastAsia="宋体" w:cs="宋体"/>
                <w:sz w:val="20"/>
                <w:szCs w:val="20"/>
              </w:rPr>
              <w:t>注册建造师</w:t>
            </w:r>
            <w:r>
              <w:rPr>
                <w:rFonts w:hint="eastAsia" w:ascii="宋体" w:hAnsi="宋体" w:eastAsia="宋体" w:cs="宋体"/>
                <w:sz w:val="20"/>
                <w:szCs w:val="20"/>
                <w:lang w:val="en-US" w:eastAsia="zh-CN"/>
              </w:rPr>
              <w:t>资格</w:t>
            </w:r>
            <w:r>
              <w:rPr>
                <w:rFonts w:hint="eastAsia" w:asciiTheme="minorEastAsia" w:hAnsiTheme="minorEastAsia" w:eastAsiaTheme="minorEastAsia" w:cstheme="minorEastAsia"/>
                <w:spacing w:val="1"/>
                <w:lang w:eastAsia="zh-CN"/>
              </w:rPr>
              <w:t>，项目经理无在建并具备有效的社保证明</w:t>
            </w:r>
            <w:r>
              <w:rPr>
                <w:rFonts w:hint="eastAsia" w:asciiTheme="minorEastAsia" w:hAnsiTheme="minorEastAsia" w:eastAsiaTheme="minorEastAsia" w:cstheme="minorEastAsia"/>
                <w:spacing w:val="1"/>
                <w:lang w:val="en-US" w:eastAsia="zh-CN"/>
              </w:rPr>
              <w:t>得1分</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lang w:val="en-US" w:eastAsia="zh-CN"/>
              </w:rPr>
              <w:t>无法配备不得分。</w:t>
            </w:r>
          </w:p>
        </w:tc>
      </w:tr>
      <w:tr w14:paraId="7634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59" w:type="dxa"/>
            <w:vMerge w:val="continue"/>
            <w:tcBorders>
              <w:top w:val="nil"/>
            </w:tcBorders>
            <w:vAlign w:val="top"/>
          </w:tcPr>
          <w:p w14:paraId="55412C6D">
            <w:pPr>
              <w:rPr>
                <w:rFonts w:hint="eastAsia" w:asciiTheme="minorEastAsia" w:hAnsiTheme="minorEastAsia" w:eastAsiaTheme="minorEastAsia" w:cstheme="minorEastAsia"/>
                <w:sz w:val="21"/>
              </w:rPr>
            </w:pPr>
          </w:p>
        </w:tc>
        <w:tc>
          <w:tcPr>
            <w:tcW w:w="2577" w:type="dxa"/>
            <w:vAlign w:val="top"/>
          </w:tcPr>
          <w:p w14:paraId="626143DF">
            <w:pPr>
              <w:pStyle w:val="23"/>
              <w:spacing w:before="283" w:line="179" w:lineRule="auto"/>
              <w:ind w:left="1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人员配置</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3</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465EB00D">
            <w:pPr>
              <w:pStyle w:val="23"/>
              <w:spacing w:before="92" w:line="278" w:lineRule="auto"/>
              <w:ind w:left="110" w:right="146" w:hanging="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lang w:eastAsia="zh-CN"/>
              </w:rPr>
              <w:t>技术负责人须具备中级工程师有效证件，</w:t>
            </w:r>
            <w:r>
              <w:rPr>
                <w:rFonts w:hint="eastAsia" w:ascii="宋体" w:hAnsi="宋体" w:eastAsia="宋体" w:cs="宋体"/>
                <w:sz w:val="20"/>
                <w:szCs w:val="20"/>
              </w:rPr>
              <w:t>施工员、材料员、质检员或质量员、安全员、资料员，人员</w:t>
            </w:r>
            <w:r>
              <w:rPr>
                <w:rFonts w:hint="eastAsia" w:ascii="宋体" w:hAnsi="宋体" w:eastAsia="宋体" w:cs="宋体"/>
                <w:sz w:val="20"/>
                <w:szCs w:val="20"/>
                <w:lang w:eastAsia="zh-CN"/>
              </w:rPr>
              <w:t>资格证书</w:t>
            </w:r>
            <w:r>
              <w:rPr>
                <w:rFonts w:hint="eastAsia" w:ascii="宋体" w:hAnsi="宋体" w:eastAsia="宋体" w:cs="宋体"/>
                <w:sz w:val="20"/>
                <w:szCs w:val="20"/>
              </w:rPr>
              <w:t>资料齐全</w:t>
            </w:r>
            <w:r>
              <w:rPr>
                <w:rFonts w:hint="eastAsia" w:asciiTheme="minorEastAsia" w:hAnsiTheme="minorEastAsia" w:eastAsiaTheme="minorEastAsia" w:cstheme="minorEastAsia"/>
                <w:spacing w:val="1"/>
                <w:lang w:val="en-US" w:eastAsia="zh-CN"/>
              </w:rPr>
              <w:t>得3分</w:t>
            </w:r>
            <w:r>
              <w:rPr>
                <w:rFonts w:hint="eastAsia" w:asciiTheme="minorEastAsia" w:hAnsiTheme="minorEastAsia" w:eastAsiaTheme="minorEastAsia" w:cstheme="minorEastAsia"/>
                <w:spacing w:val="1"/>
                <w:lang w:eastAsia="zh-CN"/>
              </w:rPr>
              <w:t>；如证件缺失，</w:t>
            </w:r>
            <w:r>
              <w:rPr>
                <w:rFonts w:hint="eastAsia" w:asciiTheme="minorEastAsia" w:hAnsiTheme="minorEastAsia" w:eastAsiaTheme="minorEastAsia" w:cstheme="minorEastAsia"/>
                <w:spacing w:val="1"/>
                <w:lang w:val="en-US" w:eastAsia="zh-CN"/>
              </w:rPr>
              <w:t>无法提供</w:t>
            </w:r>
            <w:r>
              <w:rPr>
                <w:rFonts w:hint="eastAsia" w:asciiTheme="minorEastAsia" w:hAnsiTheme="minorEastAsia" w:eastAsiaTheme="minorEastAsia" w:cstheme="minorEastAsia"/>
                <w:spacing w:val="1"/>
                <w:lang w:eastAsia="zh-CN"/>
              </w:rPr>
              <w:t>不得分。</w:t>
            </w:r>
          </w:p>
        </w:tc>
      </w:tr>
      <w:tr w14:paraId="2B35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159" w:type="dxa"/>
            <w:vAlign w:val="top"/>
          </w:tcPr>
          <w:p w14:paraId="7B430752">
            <w:pPr>
              <w:spacing w:line="301" w:lineRule="auto"/>
              <w:rPr>
                <w:rFonts w:hint="eastAsia" w:asciiTheme="minorEastAsia" w:hAnsiTheme="minorEastAsia" w:eastAsiaTheme="minorEastAsia" w:cstheme="minorEastAsia"/>
                <w:sz w:val="21"/>
              </w:rPr>
            </w:pPr>
          </w:p>
          <w:p w14:paraId="6D9FA2A4">
            <w:pPr>
              <w:spacing w:line="302" w:lineRule="auto"/>
              <w:rPr>
                <w:rFonts w:hint="eastAsia" w:asciiTheme="minorEastAsia" w:hAnsiTheme="minorEastAsia" w:eastAsiaTheme="minorEastAsia" w:cstheme="minorEastAsia"/>
                <w:sz w:val="21"/>
              </w:rPr>
            </w:pPr>
          </w:p>
          <w:p w14:paraId="0F299E69">
            <w:pPr>
              <w:pStyle w:val="23"/>
              <w:spacing w:before="61" w:line="220" w:lineRule="auto"/>
              <w:ind w:left="2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投标报价</w:t>
            </w:r>
          </w:p>
        </w:tc>
        <w:tc>
          <w:tcPr>
            <w:tcW w:w="2577" w:type="dxa"/>
            <w:vAlign w:val="top"/>
          </w:tcPr>
          <w:p w14:paraId="24D55DE3">
            <w:pPr>
              <w:spacing w:line="291" w:lineRule="auto"/>
              <w:rPr>
                <w:rFonts w:hint="eastAsia" w:asciiTheme="minorEastAsia" w:hAnsiTheme="minorEastAsia" w:eastAsiaTheme="minorEastAsia" w:cstheme="minorEastAsia"/>
                <w:sz w:val="21"/>
              </w:rPr>
            </w:pPr>
          </w:p>
          <w:p w14:paraId="75E130DC">
            <w:pPr>
              <w:spacing w:line="292" w:lineRule="auto"/>
              <w:rPr>
                <w:rFonts w:hint="eastAsia" w:asciiTheme="minorEastAsia" w:hAnsiTheme="minorEastAsia" w:eastAsiaTheme="minorEastAsia" w:cstheme="minorEastAsia"/>
                <w:sz w:val="21"/>
              </w:rPr>
            </w:pPr>
          </w:p>
          <w:p w14:paraId="28EF900F">
            <w:pPr>
              <w:pStyle w:val="23"/>
              <w:spacing w:before="82" w:line="179"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投标报价得分</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(30</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3BCF290F">
            <w:pPr>
              <w:pStyle w:val="23"/>
              <w:spacing w:before="93" w:line="323" w:lineRule="auto"/>
              <w:ind w:left="103" w:right="182"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投标报价得分</w:t>
            </w:r>
            <w:r>
              <w:rPr>
                <w:rFonts w:hint="eastAsia" w:asciiTheme="minorEastAsia" w:hAnsiTheme="minorEastAsia" w:eastAsiaTheme="minorEastAsia" w:cstheme="minorEastAsia"/>
                <w:spacing w:val="-22"/>
              </w:rPr>
              <w:t>＝（</w:t>
            </w:r>
            <w:r>
              <w:rPr>
                <w:rFonts w:hint="eastAsia" w:asciiTheme="minorEastAsia" w:hAnsiTheme="minorEastAsia" w:eastAsiaTheme="minorEastAsia" w:cstheme="minorEastAsia"/>
                <w:spacing w:val="2"/>
              </w:rPr>
              <w:t>评标基准价/投标报价）</w:t>
            </w:r>
            <w:r>
              <w:rPr>
                <w:rFonts w:hint="eastAsia" w:asciiTheme="minorEastAsia" w:hAnsiTheme="minorEastAsia" w:eastAsiaTheme="minorEastAsia" w:cstheme="minorEastAsia"/>
                <w:spacing w:val="-65"/>
              </w:rPr>
              <w:t xml:space="preserve"> </w:t>
            </w:r>
            <w:r>
              <w:rPr>
                <w:rFonts w:hint="eastAsia" w:asciiTheme="minorEastAsia" w:hAnsiTheme="minorEastAsia" w:eastAsiaTheme="minorEastAsia" w:cstheme="minorEastAsia"/>
                <w:spacing w:val="2"/>
              </w:rPr>
              <w:t>×价格分值【注：满足招标文件</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要求且投标价格最低的投标报价为评标基准价。】最</w:t>
            </w:r>
            <w:r>
              <w:rPr>
                <w:rFonts w:hint="eastAsia" w:asciiTheme="minorEastAsia" w:hAnsiTheme="minorEastAsia" w:eastAsiaTheme="minorEastAsia" w:cstheme="minorEastAsia"/>
                <w:spacing w:val="1"/>
              </w:rPr>
              <w:t>低报价不是中标的唯</w:t>
            </w:r>
            <w:r>
              <w:rPr>
                <w:rFonts w:hint="eastAsia" w:asciiTheme="minorEastAsia" w:hAnsiTheme="minorEastAsia" w:eastAsiaTheme="minorEastAsia" w:cstheme="minorEastAsia"/>
                <w:spacing w:val="2"/>
              </w:rPr>
              <w:t>一依据。因落实政府采购政策进行价格调整的，以调</w:t>
            </w:r>
            <w:r>
              <w:rPr>
                <w:rFonts w:hint="eastAsia" w:asciiTheme="minorEastAsia" w:hAnsiTheme="minorEastAsia" w:eastAsiaTheme="minorEastAsia" w:cstheme="minorEastAsia"/>
                <w:spacing w:val="1"/>
              </w:rPr>
              <w:t>整后的价格计算评标</w:t>
            </w:r>
            <w:r>
              <w:rPr>
                <w:rFonts w:hint="eastAsia" w:asciiTheme="minorEastAsia" w:hAnsiTheme="minorEastAsia" w:eastAsiaTheme="minorEastAsia" w:cstheme="minorEastAsia"/>
              </w:rPr>
              <w:t xml:space="preserve"> 基准价和投标报价。</w:t>
            </w:r>
          </w:p>
        </w:tc>
      </w:tr>
    </w:tbl>
    <w:p w14:paraId="116AC4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F4A2F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4"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4"/>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6AE0E4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ECAA3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11"/>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11"/>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12"/>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12"/>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十六、产品情况介绍</w:t>
      </w:r>
    </w:p>
    <w:p w14:paraId="5E3D36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十七、技术参数响应表</w:t>
      </w:r>
    </w:p>
    <w:p w14:paraId="700C92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十八、其他（综合评审表里其他需要响应内容）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E0B"/>
    <w:multiLevelType w:val="singleLevel"/>
    <w:tmpl w:val="86397E0B"/>
    <w:lvl w:ilvl="0" w:tentative="0">
      <w:start w:val="1"/>
      <w:numFmt w:val="decimal"/>
      <w:lvlText w:val="%1."/>
      <w:lvlJc w:val="left"/>
      <w:pPr>
        <w:tabs>
          <w:tab w:val="left" w:pos="312"/>
        </w:tabs>
      </w:pPr>
    </w:lvl>
  </w:abstractNum>
  <w:abstractNum w:abstractNumId="1">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2">
    <w:nsid w:val="A390664E"/>
    <w:multiLevelType w:val="singleLevel"/>
    <w:tmpl w:val="A390664E"/>
    <w:lvl w:ilvl="0" w:tentative="0">
      <w:start w:val="1"/>
      <w:numFmt w:val="decimal"/>
      <w:lvlText w:val="%1."/>
      <w:lvlJc w:val="left"/>
      <w:pPr>
        <w:tabs>
          <w:tab w:val="left" w:pos="312"/>
        </w:tabs>
      </w:pPr>
    </w:lvl>
  </w:abstractNum>
  <w:abstractNum w:abstractNumId="3">
    <w:nsid w:val="BD410B6C"/>
    <w:multiLevelType w:val="singleLevel"/>
    <w:tmpl w:val="BD410B6C"/>
    <w:lvl w:ilvl="0" w:tentative="0">
      <w:start w:val="1"/>
      <w:numFmt w:val="decimal"/>
      <w:lvlText w:val="%1."/>
      <w:lvlJc w:val="left"/>
      <w:pPr>
        <w:tabs>
          <w:tab w:val="left" w:pos="312"/>
        </w:tabs>
      </w:pPr>
    </w:lvl>
  </w:abstractNum>
  <w:abstractNum w:abstractNumId="4">
    <w:nsid w:val="D468FA4D"/>
    <w:multiLevelType w:val="singleLevel"/>
    <w:tmpl w:val="D468FA4D"/>
    <w:lvl w:ilvl="0" w:tentative="0">
      <w:start w:val="1"/>
      <w:numFmt w:val="decimal"/>
      <w:lvlText w:val="%1."/>
      <w:lvlJc w:val="left"/>
      <w:pPr>
        <w:tabs>
          <w:tab w:val="left" w:pos="312"/>
        </w:tabs>
      </w:pPr>
    </w:lvl>
  </w:abstractNum>
  <w:abstractNum w:abstractNumId="5">
    <w:nsid w:val="F25AC356"/>
    <w:multiLevelType w:val="singleLevel"/>
    <w:tmpl w:val="F25AC356"/>
    <w:lvl w:ilvl="0" w:tentative="0">
      <w:start w:val="1"/>
      <w:numFmt w:val="decimal"/>
      <w:lvlText w:val="%1."/>
      <w:lvlJc w:val="left"/>
      <w:pPr>
        <w:tabs>
          <w:tab w:val="left" w:pos="312"/>
        </w:tabs>
      </w:pPr>
    </w:lvl>
  </w:abstractNum>
  <w:abstractNum w:abstractNumId="6">
    <w:nsid w:val="240CE15E"/>
    <w:multiLevelType w:val="singleLevel"/>
    <w:tmpl w:val="240CE15E"/>
    <w:lvl w:ilvl="0" w:tentative="0">
      <w:start w:val="6"/>
      <w:numFmt w:val="chineseCounting"/>
      <w:suff w:val="nothing"/>
      <w:lvlText w:val="%1、"/>
      <w:lvlJc w:val="left"/>
      <w:rPr>
        <w:rFonts w:hint="eastAsia"/>
      </w:rPr>
    </w:lvl>
  </w:abstractNum>
  <w:abstractNum w:abstractNumId="7">
    <w:nsid w:val="34FF37EC"/>
    <w:multiLevelType w:val="singleLevel"/>
    <w:tmpl w:val="34FF37EC"/>
    <w:lvl w:ilvl="0" w:tentative="0">
      <w:start w:val="1"/>
      <w:numFmt w:val="decimal"/>
      <w:lvlText w:val="%1."/>
      <w:lvlJc w:val="left"/>
      <w:pPr>
        <w:tabs>
          <w:tab w:val="left" w:pos="312"/>
        </w:tabs>
      </w:pPr>
    </w:lvl>
  </w:abstractNum>
  <w:abstractNum w:abstractNumId="8">
    <w:nsid w:val="5AA96EAC"/>
    <w:multiLevelType w:val="singleLevel"/>
    <w:tmpl w:val="5AA96EAC"/>
    <w:lvl w:ilvl="0" w:tentative="0">
      <w:start w:val="2"/>
      <w:numFmt w:val="chineseCounting"/>
      <w:suff w:val="nothing"/>
      <w:lvlText w:val="%1、"/>
      <w:lvlJc w:val="left"/>
      <w:rPr>
        <w:rFonts w:hint="eastAsia"/>
      </w:rPr>
    </w:lvl>
  </w:abstractNum>
  <w:abstractNum w:abstractNumId="9">
    <w:nsid w:val="7656DE5C"/>
    <w:multiLevelType w:val="singleLevel"/>
    <w:tmpl w:val="7656DE5C"/>
    <w:lvl w:ilvl="0" w:tentative="0">
      <w:start w:val="1"/>
      <w:numFmt w:val="decimal"/>
      <w:suff w:val="nothing"/>
      <w:lvlText w:val="%1、"/>
      <w:lvlJc w:val="left"/>
    </w:lvl>
  </w:abstractNum>
  <w:abstractNum w:abstractNumId="10">
    <w:nsid w:val="7C91F3AF"/>
    <w:multiLevelType w:val="singleLevel"/>
    <w:tmpl w:val="7C91F3AF"/>
    <w:lvl w:ilvl="0" w:tentative="0">
      <w:start w:val="2"/>
      <w:numFmt w:val="chineseCounting"/>
      <w:suff w:val="nothing"/>
      <w:lvlText w:val="%1、"/>
      <w:lvlJc w:val="left"/>
      <w:rPr>
        <w:rFonts w:hint="eastAsia"/>
      </w:rPr>
    </w:lvl>
  </w:abstractNum>
  <w:abstractNum w:abstractNumId="11">
    <w:nsid w:val="7F820F1A"/>
    <w:multiLevelType w:val="singleLevel"/>
    <w:tmpl w:val="7F820F1A"/>
    <w:lvl w:ilvl="0" w:tentative="0">
      <w:start w:val="1"/>
      <w:numFmt w:val="decimal"/>
      <w:lvlText w:val="%1."/>
      <w:lvlJc w:val="left"/>
      <w:pPr>
        <w:tabs>
          <w:tab w:val="left" w:pos="312"/>
        </w:tabs>
      </w:pPr>
    </w:lvl>
  </w:abstractNum>
  <w:num w:numId="1">
    <w:abstractNumId w:val="10"/>
  </w:num>
  <w:num w:numId="2">
    <w:abstractNumId w:val="9"/>
  </w:num>
  <w:num w:numId="3">
    <w:abstractNumId w:val="7"/>
  </w:num>
  <w:num w:numId="4">
    <w:abstractNumId w:val="5"/>
  </w:num>
  <w:num w:numId="5">
    <w:abstractNumId w:val="4"/>
  </w:num>
  <w:num w:numId="6">
    <w:abstractNumId w:val="0"/>
  </w:num>
  <w:num w:numId="7">
    <w:abstractNumId w:val="11"/>
  </w:num>
  <w:num w:numId="8">
    <w:abstractNumId w:val="3"/>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9BF215A"/>
    <w:rsid w:val="0ABD092B"/>
    <w:rsid w:val="0ADE5B84"/>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7F018D3"/>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422869"/>
    <w:rsid w:val="5CBB64D2"/>
    <w:rsid w:val="5CF27DD3"/>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8120</Words>
  <Characters>8468</Characters>
  <Lines>0</Lines>
  <Paragraphs>0</Paragraphs>
  <TotalTime>3</TotalTime>
  <ScaleCrop>false</ScaleCrop>
  <LinksUpToDate>false</LinksUpToDate>
  <CharactersWithSpaces>8948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2024-10-18T03:19:43Z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3ADB98DE2B2B426491C2688AC6452EFD_13</vt:lpwstr>
  </property>
</Properties>
</file>