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1590" w:h="382" w:wrap="around" w:vAnchor="margin" w:hAnchor="page" w:x="1527" w:y="1"/>
        <w:spacing w:line="240" w:lineRule="auto"/>
        <w:ind w:firstLine="0"/>
        <w:jc w:val="both"/>
        <w:rPr>
          <w:rFonts w:ascii="楷体_GB2312" w:hAnsi="楷体_GB2312" w:eastAsia="楷体_GB2312" w:cs="楷体_GB2312"/>
        </w:rPr>
      </w:pPr>
      <w:bookmarkStart w:id="66" w:name="_GoBack"/>
      <w:bookmarkEnd w:id="66"/>
      <w:r>
        <w:rPr>
          <w:rFonts w:hint="eastAsia" w:ascii="楷体_GB2312" w:hAnsi="楷体_GB2312" w:eastAsia="楷体_GB2312" w:cs="楷体_GB2312"/>
        </w:rPr>
        <w:t>附件</w:t>
      </w:r>
      <w:r>
        <w:rPr>
          <w:rFonts w:hint="eastAsia" w:ascii="楷体_GB2312" w:hAnsi="楷体_GB2312" w:eastAsia="楷体_GB2312" w:cs="楷体_GB2312"/>
          <w:lang w:val="zh-CN" w:eastAsia="zh-CN" w:bidi="zh-CN"/>
        </w:rPr>
        <w:t>3：</w:t>
      </w: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pStyle w:val="9"/>
        <w:framePr w:w="9950" w:h="3610" w:wrap="around" w:vAnchor="page" w:hAnchor="page" w:x="1366" w:y="3498"/>
        <w:spacing w:after="460"/>
        <w:rPr>
          <w:rFonts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鄂尔多斯市卫生健康委员会所属</w:t>
      </w:r>
      <w:r>
        <w:rPr>
          <w:rFonts w:hint="eastAsia" w:ascii="方正小标宋简体" w:hAnsi="方正小标宋简体" w:eastAsia="方正小标宋简体" w:cs="方正小标宋简体"/>
        </w:rPr>
        <w:t>鄂尔多斯市</w:t>
      </w:r>
      <w:r>
        <w:rPr>
          <w:rFonts w:hint="eastAsia" w:ascii="方正小标宋简体" w:hAnsi="方正小标宋简体" w:eastAsia="方正小标宋简体" w:cs="方正小标宋简体"/>
          <w:lang w:eastAsia="zh-CN"/>
        </w:rPr>
        <w:t>中心医院</w:t>
      </w:r>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eastAsia="zh-CN"/>
        </w:rPr>
        <w:t>1</w:t>
      </w:r>
      <w:r>
        <w:rPr>
          <w:rFonts w:hint="eastAsia" w:ascii="方正小标宋简体" w:hAnsi="方正小标宋简体" w:eastAsia="方正小标宋简体" w:cs="方正小标宋简体"/>
        </w:rPr>
        <w:t>年度部门预算公开报告</w:t>
      </w: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60" w:lineRule="exact"/>
        <w:rPr>
          <w:rFonts w:ascii="楷体_GB2312" w:hAnsi="楷体_GB2312" w:eastAsia="楷体_GB2312" w:cs="楷体_GB2312"/>
          <w:sz w:val="32"/>
          <w:szCs w:val="32"/>
          <w:lang w:eastAsia="zh-CN"/>
        </w:rPr>
      </w:pPr>
    </w:p>
    <w:p>
      <w:pPr>
        <w:spacing w:line="336" w:lineRule="auto"/>
        <w:ind w:firstLine="3040" w:firstLineChars="950"/>
        <w:rPr>
          <w:rFonts w:ascii="楷体_GB2312" w:eastAsia="楷体_GB2312"/>
          <w:sz w:val="32"/>
          <w:szCs w:val="32"/>
          <w:lang w:eastAsia="zh-CN"/>
        </w:rPr>
      </w:pPr>
      <w:r>
        <w:rPr>
          <w:rFonts w:hint="eastAsia" w:ascii="楷体_GB2312" w:eastAsia="楷体_GB2312"/>
          <w:sz w:val="32"/>
          <w:szCs w:val="32"/>
          <w:lang w:eastAsia="zh-CN"/>
        </w:rPr>
        <w:t>2021年4月6日</w:t>
      </w:r>
    </w:p>
    <w:p>
      <w:pPr>
        <w:spacing w:line="360" w:lineRule="exact"/>
        <w:rPr>
          <w:rFonts w:ascii="楷体_GB2312" w:hAnsi="楷体_GB2312" w:eastAsia="楷体_GB2312" w:cs="楷体_GB2312"/>
          <w:sz w:val="32"/>
          <w:szCs w:val="32"/>
          <w:lang w:eastAsia="zh-CN"/>
        </w:rPr>
      </w:pPr>
    </w:p>
    <w:p>
      <w:pPr>
        <w:spacing w:after="445" w:line="1" w:lineRule="exact"/>
        <w:rPr>
          <w:rFonts w:ascii="楷体_GB2312" w:hAnsi="楷体_GB2312" w:eastAsia="楷体_GB2312" w:cs="楷体_GB2312"/>
          <w:sz w:val="32"/>
          <w:szCs w:val="32"/>
          <w:lang w:eastAsia="zh-CN"/>
        </w:rPr>
      </w:pPr>
    </w:p>
    <w:p>
      <w:pPr>
        <w:spacing w:line="1" w:lineRule="exact"/>
        <w:rPr>
          <w:rFonts w:ascii="楷体_GB2312" w:hAnsi="楷体_GB2312" w:eastAsia="楷体_GB2312" w:cs="楷体_GB2312"/>
          <w:sz w:val="32"/>
          <w:szCs w:val="32"/>
          <w:lang w:eastAsia="zh-CN"/>
        </w:rPr>
        <w:sectPr>
          <w:footerReference r:id="rId5" w:type="default"/>
          <w:pgSz w:w="11900" w:h="16840"/>
          <w:pgMar w:top="1476" w:right="2858" w:bottom="2053" w:left="1526" w:header="1048" w:footer="3" w:gutter="0"/>
          <w:pgNumType w:start="5"/>
          <w:cols w:space="720" w:num="1"/>
          <w:docGrid w:linePitch="360" w:charSpace="0"/>
        </w:sectPr>
      </w:pPr>
    </w:p>
    <w:p>
      <w:pPr>
        <w:pStyle w:val="1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部门预算信息公开目录</w:t>
      </w:r>
    </w:p>
    <w:p>
      <w:pPr>
        <w:pStyle w:val="15"/>
        <w:keepNext/>
        <w:keepLines/>
        <w:spacing w:after="220"/>
        <w:rPr>
          <w:rFonts w:ascii="楷体_GB2312" w:hAnsi="楷体_GB2312" w:eastAsia="楷体_GB2312" w:cs="楷体_GB2312"/>
          <w:sz w:val="32"/>
          <w:szCs w:val="32"/>
        </w:rPr>
      </w:pPr>
      <w:bookmarkStart w:id="0" w:name="bookmark0"/>
      <w:bookmarkStart w:id="1" w:name="bookmark1"/>
      <w:bookmarkStart w:id="2" w:name="bookmark2"/>
      <w:r>
        <w:rPr>
          <w:rFonts w:hint="eastAsia" w:ascii="楷体_GB2312" w:hAnsi="楷体_GB2312" w:eastAsia="楷体_GB2312" w:cs="楷体_GB2312"/>
          <w:sz w:val="32"/>
          <w:szCs w:val="32"/>
        </w:rPr>
        <w:t>第一部分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本部门概况</w:t>
      </w:r>
      <w:bookmarkEnd w:id="0"/>
      <w:bookmarkEnd w:id="1"/>
      <w:bookmarkEnd w:id="2"/>
    </w:p>
    <w:p>
      <w:pPr>
        <w:pStyle w:val="17"/>
        <w:tabs>
          <w:tab w:val="left" w:pos="1321"/>
        </w:tabs>
        <w:spacing w:after="220" w:line="240" w:lineRule="auto"/>
        <w:ind w:firstLine="700"/>
        <w:rPr>
          <w:rFonts w:ascii="楷体_GB2312" w:hAnsi="楷体_GB2312" w:eastAsia="楷体_GB2312" w:cs="楷体_GB2312"/>
          <w:sz w:val="32"/>
          <w:szCs w:val="32"/>
        </w:rPr>
      </w:pPr>
      <w:bookmarkStart w:id="3" w:name="bookmark3"/>
      <w:r>
        <w:rPr>
          <w:rFonts w:hint="eastAsia" w:ascii="楷体_GB2312" w:hAnsi="楷体_GB2312" w:eastAsia="楷体_GB2312" w:cs="楷体_GB2312"/>
          <w:sz w:val="32"/>
          <w:szCs w:val="32"/>
        </w:rPr>
        <w:t>一</w:t>
      </w:r>
      <w:bookmarkEnd w:id="3"/>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主要职能、职责</w:t>
      </w:r>
    </w:p>
    <w:p>
      <w:pPr>
        <w:pStyle w:val="17"/>
        <w:tabs>
          <w:tab w:val="left" w:pos="1321"/>
        </w:tabs>
        <w:spacing w:after="740" w:line="240" w:lineRule="auto"/>
        <w:ind w:firstLine="700"/>
        <w:rPr>
          <w:rFonts w:ascii="楷体_GB2312" w:hAnsi="楷体_GB2312" w:eastAsia="楷体_GB2312" w:cs="楷体_GB2312"/>
          <w:sz w:val="32"/>
          <w:szCs w:val="32"/>
        </w:rPr>
      </w:pPr>
      <w:bookmarkStart w:id="4" w:name="bookmark4"/>
      <w:r>
        <w:rPr>
          <w:rFonts w:hint="eastAsia" w:ascii="楷体_GB2312" w:hAnsi="楷体_GB2312" w:eastAsia="楷体_GB2312" w:cs="楷体_GB2312"/>
          <w:sz w:val="32"/>
          <w:szCs w:val="32"/>
        </w:rPr>
        <w:t>二</w:t>
      </w:r>
      <w:bookmarkEnd w:id="4"/>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机构设置情况</w:t>
      </w:r>
    </w:p>
    <w:p>
      <w:pPr>
        <w:pStyle w:val="15"/>
        <w:keepNext/>
        <w:keepLines/>
        <w:spacing w:after="220"/>
        <w:rPr>
          <w:rFonts w:ascii="楷体_GB2312" w:hAnsi="楷体_GB2312" w:eastAsia="楷体_GB2312" w:cs="楷体_GB2312"/>
          <w:sz w:val="32"/>
          <w:szCs w:val="32"/>
        </w:rPr>
      </w:pPr>
      <w:bookmarkStart w:id="5" w:name="bookmark7"/>
      <w:bookmarkStart w:id="6" w:name="bookmark5"/>
      <w:bookmarkStart w:id="7" w:name="bookmark6"/>
      <w:r>
        <w:rPr>
          <w:rFonts w:hint="eastAsia" w:ascii="楷体_GB2312" w:hAnsi="楷体_GB2312" w:eastAsia="楷体_GB2312" w:cs="楷体_GB2312"/>
          <w:sz w:val="32"/>
          <w:szCs w:val="32"/>
        </w:rPr>
        <w:t>第二部分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eastAsia="zh-CN"/>
        </w:rPr>
        <w:t>1</w:t>
      </w:r>
      <w:r>
        <w:rPr>
          <w:rFonts w:hint="eastAsia" w:ascii="楷体_GB2312" w:hAnsi="楷体_GB2312" w:eastAsia="楷体_GB2312" w:cs="楷体_GB2312"/>
          <w:sz w:val="32"/>
          <w:szCs w:val="32"/>
        </w:rPr>
        <w:t>年部门预算收支情况</w:t>
      </w:r>
      <w:bookmarkEnd w:id="5"/>
      <w:bookmarkEnd w:id="6"/>
      <w:bookmarkEnd w:id="7"/>
    </w:p>
    <w:p>
      <w:pPr>
        <w:pStyle w:val="17"/>
        <w:tabs>
          <w:tab w:val="left" w:pos="1321"/>
        </w:tabs>
        <w:spacing w:after="220" w:line="240" w:lineRule="auto"/>
        <w:ind w:firstLine="700"/>
        <w:rPr>
          <w:rFonts w:ascii="楷体_GB2312" w:hAnsi="楷体_GB2312" w:eastAsia="楷体_GB2312" w:cs="楷体_GB2312"/>
          <w:sz w:val="32"/>
          <w:szCs w:val="32"/>
        </w:rPr>
      </w:pPr>
      <w:bookmarkStart w:id="8" w:name="bookmark8"/>
      <w:r>
        <w:rPr>
          <w:rFonts w:hint="eastAsia" w:ascii="楷体_GB2312" w:hAnsi="楷体_GB2312" w:eastAsia="楷体_GB2312" w:cs="楷体_GB2312"/>
          <w:sz w:val="32"/>
          <w:szCs w:val="32"/>
        </w:rPr>
        <w:t>一</w:t>
      </w:r>
      <w:bookmarkEnd w:id="8"/>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部门预算收支总体情况说明</w:t>
      </w:r>
    </w:p>
    <w:p>
      <w:pPr>
        <w:pStyle w:val="17"/>
        <w:tabs>
          <w:tab w:val="left" w:pos="1321"/>
        </w:tabs>
        <w:spacing w:after="220" w:line="240" w:lineRule="auto"/>
        <w:ind w:firstLine="700"/>
        <w:rPr>
          <w:rFonts w:ascii="楷体_GB2312" w:hAnsi="楷体_GB2312" w:eastAsia="楷体_GB2312" w:cs="楷体_GB2312"/>
          <w:sz w:val="32"/>
          <w:szCs w:val="32"/>
        </w:rPr>
      </w:pPr>
      <w:bookmarkStart w:id="9" w:name="bookmark9"/>
      <w:r>
        <w:rPr>
          <w:rFonts w:hint="eastAsia" w:ascii="楷体_GB2312" w:hAnsi="楷体_GB2312" w:eastAsia="楷体_GB2312" w:cs="楷体_GB2312"/>
          <w:sz w:val="32"/>
          <w:szCs w:val="32"/>
        </w:rPr>
        <w:t>二</w:t>
      </w:r>
      <w:bookmarkEnd w:id="9"/>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一般公共预算财政拨款收支情况说明</w:t>
      </w:r>
    </w:p>
    <w:p>
      <w:pPr>
        <w:pStyle w:val="17"/>
        <w:tabs>
          <w:tab w:val="left" w:pos="1321"/>
        </w:tabs>
        <w:spacing w:after="220" w:line="240" w:lineRule="auto"/>
        <w:ind w:firstLine="700"/>
        <w:rPr>
          <w:rFonts w:ascii="楷体_GB2312" w:hAnsi="楷体_GB2312" w:eastAsia="楷体_GB2312" w:cs="楷体_GB2312"/>
          <w:sz w:val="32"/>
          <w:szCs w:val="32"/>
        </w:rPr>
      </w:pPr>
      <w:bookmarkStart w:id="10" w:name="bookmark10"/>
      <w:r>
        <w:rPr>
          <w:rFonts w:hint="eastAsia" w:ascii="楷体_GB2312" w:hAnsi="楷体_GB2312" w:eastAsia="楷体_GB2312" w:cs="楷体_GB2312"/>
          <w:sz w:val="32"/>
          <w:szCs w:val="32"/>
        </w:rPr>
        <w:t>三</w:t>
      </w:r>
      <w:bookmarkEnd w:id="10"/>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zh-CN" w:eastAsia="zh-CN" w:bidi="zh-CN"/>
        </w:rPr>
        <w:t>“三</w:t>
      </w:r>
      <w:r>
        <w:rPr>
          <w:rFonts w:hint="eastAsia" w:ascii="楷体_GB2312" w:hAnsi="楷体_GB2312" w:eastAsia="楷体_GB2312" w:cs="楷体_GB2312"/>
          <w:sz w:val="32"/>
          <w:szCs w:val="32"/>
        </w:rPr>
        <w:t>公”经费财政预算安排情况说明</w:t>
      </w:r>
    </w:p>
    <w:p>
      <w:pPr>
        <w:pStyle w:val="17"/>
        <w:tabs>
          <w:tab w:val="left" w:pos="1321"/>
        </w:tabs>
        <w:spacing w:after="220" w:line="240" w:lineRule="auto"/>
        <w:ind w:firstLine="700"/>
        <w:rPr>
          <w:rFonts w:ascii="楷体_GB2312" w:hAnsi="楷体_GB2312" w:eastAsia="楷体_GB2312" w:cs="楷体_GB2312"/>
          <w:sz w:val="32"/>
          <w:szCs w:val="32"/>
        </w:rPr>
      </w:pPr>
      <w:bookmarkStart w:id="11" w:name="bookmark11"/>
      <w:r>
        <w:rPr>
          <w:rFonts w:hint="eastAsia" w:ascii="楷体_GB2312" w:hAnsi="楷体_GB2312" w:eastAsia="楷体_GB2312" w:cs="楷体_GB2312"/>
          <w:sz w:val="32"/>
          <w:szCs w:val="32"/>
        </w:rPr>
        <w:t>四</w:t>
      </w:r>
      <w:bookmarkEnd w:id="11"/>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机关运行经费安排情况说明</w:t>
      </w:r>
    </w:p>
    <w:p>
      <w:pPr>
        <w:pStyle w:val="17"/>
        <w:tabs>
          <w:tab w:val="left" w:pos="1321"/>
        </w:tabs>
        <w:spacing w:after="220" w:line="240" w:lineRule="auto"/>
        <w:ind w:firstLine="700"/>
        <w:rPr>
          <w:rFonts w:ascii="楷体_GB2312" w:hAnsi="楷体_GB2312" w:eastAsia="楷体_GB2312" w:cs="楷体_GB2312"/>
          <w:sz w:val="32"/>
          <w:szCs w:val="32"/>
        </w:rPr>
      </w:pPr>
      <w:bookmarkStart w:id="12" w:name="bookmark12"/>
      <w:r>
        <w:rPr>
          <w:rFonts w:hint="eastAsia" w:ascii="楷体_GB2312" w:hAnsi="楷体_GB2312" w:eastAsia="楷体_GB2312" w:cs="楷体_GB2312"/>
          <w:sz w:val="32"/>
          <w:szCs w:val="32"/>
        </w:rPr>
        <w:t>五</w:t>
      </w:r>
      <w:bookmarkEnd w:id="12"/>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政府采购预算情况说明</w:t>
      </w:r>
    </w:p>
    <w:p>
      <w:pPr>
        <w:pStyle w:val="17"/>
        <w:tabs>
          <w:tab w:val="left" w:pos="1321"/>
        </w:tabs>
        <w:spacing w:after="500" w:line="240" w:lineRule="auto"/>
        <w:ind w:firstLine="700"/>
        <w:rPr>
          <w:rFonts w:ascii="楷体_GB2312" w:hAnsi="楷体_GB2312" w:eastAsia="楷体_GB2312" w:cs="楷体_GB2312"/>
          <w:sz w:val="32"/>
          <w:szCs w:val="32"/>
        </w:rPr>
      </w:pPr>
      <w:bookmarkStart w:id="13" w:name="bookmark13"/>
      <w:r>
        <w:rPr>
          <w:rFonts w:hint="eastAsia" w:ascii="楷体_GB2312" w:hAnsi="楷体_GB2312" w:eastAsia="楷体_GB2312" w:cs="楷体_GB2312"/>
          <w:sz w:val="32"/>
          <w:szCs w:val="32"/>
        </w:rPr>
        <w:t>六</w:t>
      </w:r>
      <w:bookmarkEnd w:id="13"/>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政府性基金预算财政拨款支出情况说明</w:t>
      </w:r>
    </w:p>
    <w:p>
      <w:pPr>
        <w:pStyle w:val="15"/>
        <w:keepNext/>
        <w:keepLines/>
        <w:spacing w:after="220"/>
        <w:rPr>
          <w:rFonts w:ascii="楷体_GB2312" w:hAnsi="楷体_GB2312" w:eastAsia="楷体_GB2312" w:cs="楷体_GB2312"/>
          <w:sz w:val="32"/>
          <w:szCs w:val="32"/>
        </w:rPr>
      </w:pPr>
      <w:bookmarkStart w:id="14" w:name="bookmark14"/>
      <w:bookmarkStart w:id="15" w:name="bookmark15"/>
      <w:bookmarkStart w:id="16" w:name="bookmark16"/>
      <w:r>
        <w:rPr>
          <w:rFonts w:hint="eastAsia" w:ascii="楷体_GB2312" w:hAnsi="楷体_GB2312" w:eastAsia="楷体_GB2312" w:cs="楷体_GB2312"/>
          <w:sz w:val="32"/>
          <w:szCs w:val="32"/>
        </w:rPr>
        <w:t>第三部分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其他公开事项</w:t>
      </w:r>
      <w:bookmarkEnd w:id="14"/>
      <w:bookmarkEnd w:id="15"/>
      <w:bookmarkEnd w:id="16"/>
    </w:p>
    <w:p>
      <w:pPr>
        <w:pStyle w:val="17"/>
        <w:tabs>
          <w:tab w:val="left" w:pos="1321"/>
        </w:tabs>
        <w:spacing w:after="220" w:line="240" w:lineRule="auto"/>
        <w:ind w:firstLine="700"/>
        <w:rPr>
          <w:rFonts w:ascii="楷体_GB2312" w:hAnsi="楷体_GB2312" w:eastAsia="楷体_GB2312" w:cs="楷体_GB2312"/>
          <w:sz w:val="32"/>
          <w:szCs w:val="32"/>
        </w:rPr>
      </w:pPr>
      <w:bookmarkStart w:id="17" w:name="bookmark17"/>
      <w:r>
        <w:rPr>
          <w:rFonts w:hint="eastAsia" w:ascii="楷体_GB2312" w:hAnsi="楷体_GB2312" w:eastAsia="楷体_GB2312" w:cs="楷体_GB2312"/>
          <w:sz w:val="32"/>
          <w:szCs w:val="32"/>
        </w:rPr>
        <w:t>一</w:t>
      </w:r>
      <w:bookmarkEnd w:id="17"/>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项目支出绩效目标情况说明</w:t>
      </w:r>
    </w:p>
    <w:p>
      <w:pPr>
        <w:pStyle w:val="17"/>
        <w:tabs>
          <w:tab w:val="left" w:pos="1321"/>
        </w:tabs>
        <w:spacing w:after="100" w:line="240" w:lineRule="auto"/>
        <w:ind w:firstLine="700"/>
        <w:rPr>
          <w:rFonts w:ascii="楷体_GB2312" w:hAnsi="楷体_GB2312" w:eastAsia="楷体_GB2312" w:cs="楷体_GB2312"/>
          <w:sz w:val="32"/>
          <w:szCs w:val="32"/>
        </w:rPr>
      </w:pPr>
      <w:bookmarkStart w:id="18" w:name="bookmark18"/>
      <w:r>
        <w:rPr>
          <w:rFonts w:hint="eastAsia" w:ascii="楷体_GB2312" w:hAnsi="楷体_GB2312" w:eastAsia="楷体_GB2312" w:cs="楷体_GB2312"/>
          <w:sz w:val="32"/>
          <w:szCs w:val="32"/>
        </w:rPr>
        <w:t>二</w:t>
      </w:r>
      <w:bookmarkEnd w:id="18"/>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国有资产占有使用悟况说明</w:t>
      </w:r>
    </w:p>
    <w:p>
      <w:pPr>
        <w:pStyle w:val="17"/>
        <w:numPr>
          <w:ilvl w:val="0"/>
          <w:numId w:val="1"/>
        </w:numPr>
        <w:spacing w:after="220" w:line="240" w:lineRule="auto"/>
        <w:ind w:firstLine="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分</w:t>
      </w:r>
      <w:r>
        <w:rPr>
          <w:rFonts w:hint="eastAsia" w:ascii="楷体_GB2312" w:hAnsi="楷体_GB2312" w:eastAsia="楷体_GB2312" w:cs="楷体_GB2312"/>
          <w:b/>
          <w:bCs/>
          <w:sz w:val="32"/>
          <w:szCs w:val="32"/>
          <w:lang w:eastAsia="zh-CN"/>
        </w:rPr>
        <w:t xml:space="preserve"> </w:t>
      </w:r>
      <w:r>
        <w:rPr>
          <w:rFonts w:hint="eastAsia" w:ascii="楷体_GB2312" w:hAnsi="楷体_GB2312" w:eastAsia="楷体_GB2312" w:cs="楷体_GB2312"/>
          <w:b/>
          <w:bCs/>
          <w:sz w:val="32"/>
          <w:szCs w:val="32"/>
        </w:rPr>
        <w:t>名词解释</w:t>
      </w:r>
    </w:p>
    <w:p>
      <w:pPr>
        <w:pStyle w:val="17"/>
        <w:spacing w:after="220" w:line="240" w:lineRule="auto"/>
        <w:ind w:firstLine="0"/>
        <w:rPr>
          <w:rFonts w:ascii="楷体_GB2312" w:hAnsi="楷体_GB2312" w:eastAsia="楷体_GB2312" w:cs="楷体_GB2312"/>
          <w:sz w:val="32"/>
          <w:szCs w:val="32"/>
        </w:rPr>
      </w:pPr>
      <w:r>
        <w:rPr>
          <w:rFonts w:hint="eastAsia" w:ascii="楷体_GB2312" w:hAnsi="楷体_GB2312" w:eastAsia="楷体_GB2312" w:cs="楷体_GB2312"/>
          <w:b/>
          <w:bCs/>
          <w:sz w:val="32"/>
          <w:szCs w:val="32"/>
        </w:rPr>
        <w:t>第五部分 预算公开联系方式及信息反馈渠道</w:t>
      </w:r>
    </w:p>
    <w:p>
      <w:pPr>
        <w:pStyle w:val="15"/>
        <w:keepNext/>
        <w:keepLines/>
        <w:spacing w:after="180"/>
        <w:rPr>
          <w:rFonts w:ascii="楷体_GB2312" w:hAnsi="楷体_GB2312" w:eastAsia="楷体_GB2312" w:cs="楷体_GB2312"/>
          <w:sz w:val="32"/>
          <w:szCs w:val="32"/>
        </w:rPr>
      </w:pPr>
      <w:bookmarkStart w:id="19" w:name="bookmark19"/>
      <w:bookmarkStart w:id="20" w:name="bookmark20"/>
      <w:bookmarkStart w:id="21" w:name="bookmark21"/>
      <w:r>
        <w:rPr>
          <w:rFonts w:hint="eastAsia" w:ascii="楷体_GB2312" w:hAnsi="楷体_GB2312" w:eastAsia="楷体_GB2312" w:cs="楷体_GB2312"/>
          <w:sz w:val="32"/>
          <w:szCs w:val="32"/>
        </w:rPr>
        <w:t>第六部分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eastAsia="zh-CN"/>
        </w:rPr>
        <w:t>1</w:t>
      </w:r>
      <w:r>
        <w:rPr>
          <w:rFonts w:hint="eastAsia" w:ascii="楷体_GB2312" w:hAnsi="楷体_GB2312" w:eastAsia="楷体_GB2312" w:cs="楷体_GB2312"/>
          <w:sz w:val="32"/>
          <w:szCs w:val="32"/>
        </w:rPr>
        <w:t>年部门预算公开表</w:t>
      </w:r>
      <w:bookmarkEnd w:id="19"/>
      <w:bookmarkEnd w:id="20"/>
      <w:bookmarkEnd w:id="21"/>
    </w:p>
    <w:p>
      <w:pPr>
        <w:pStyle w:val="17"/>
        <w:tabs>
          <w:tab w:val="left" w:pos="1240"/>
        </w:tabs>
        <w:spacing w:after="180" w:line="240" w:lineRule="auto"/>
        <w:ind w:firstLine="600"/>
        <w:rPr>
          <w:rFonts w:ascii="楷体_GB2312" w:hAnsi="楷体_GB2312" w:eastAsia="楷体_GB2312" w:cs="楷体_GB2312"/>
          <w:sz w:val="32"/>
          <w:szCs w:val="32"/>
        </w:rPr>
      </w:pPr>
      <w:bookmarkStart w:id="22" w:name="bookmark22"/>
      <w:r>
        <w:rPr>
          <w:rFonts w:hint="eastAsia" w:ascii="楷体_GB2312" w:hAnsi="楷体_GB2312" w:eastAsia="楷体_GB2312" w:cs="楷体_GB2312"/>
          <w:sz w:val="32"/>
          <w:szCs w:val="32"/>
        </w:rPr>
        <w:t>一</w:t>
      </w:r>
      <w:bookmarkEnd w:id="22"/>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财政拨款收支预算总表</w:t>
      </w:r>
    </w:p>
    <w:p>
      <w:pPr>
        <w:pStyle w:val="17"/>
        <w:tabs>
          <w:tab w:val="left" w:pos="1240"/>
        </w:tabs>
        <w:spacing w:after="180" w:line="240" w:lineRule="auto"/>
        <w:ind w:firstLine="600"/>
        <w:rPr>
          <w:rFonts w:ascii="楷体_GB2312" w:hAnsi="楷体_GB2312" w:eastAsia="楷体_GB2312" w:cs="楷体_GB2312"/>
          <w:sz w:val="32"/>
          <w:szCs w:val="32"/>
        </w:rPr>
      </w:pPr>
      <w:bookmarkStart w:id="23" w:name="bookmark23"/>
      <w:r>
        <w:rPr>
          <w:rFonts w:hint="eastAsia" w:ascii="楷体_GB2312" w:hAnsi="楷体_GB2312" w:eastAsia="楷体_GB2312" w:cs="楷体_GB2312"/>
          <w:sz w:val="32"/>
          <w:szCs w:val="32"/>
        </w:rPr>
        <w:t>二</w:t>
      </w:r>
      <w:bookmarkEnd w:id="23"/>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年一般公共预算财政拨款支出预算表</w:t>
      </w:r>
    </w:p>
    <w:p>
      <w:pPr>
        <w:pStyle w:val="17"/>
        <w:tabs>
          <w:tab w:val="left" w:pos="1240"/>
        </w:tabs>
        <w:spacing w:after="240" w:line="240" w:lineRule="auto"/>
        <w:ind w:firstLine="600"/>
        <w:rPr>
          <w:rFonts w:ascii="楷体_GB2312" w:hAnsi="楷体_GB2312" w:eastAsia="楷体_GB2312" w:cs="楷体_GB2312"/>
          <w:sz w:val="32"/>
          <w:szCs w:val="32"/>
        </w:rPr>
      </w:pPr>
      <w:bookmarkStart w:id="24" w:name="bookmark24"/>
      <w:r>
        <w:rPr>
          <w:rFonts w:hint="eastAsia" w:ascii="楷体_GB2312" w:hAnsi="楷体_GB2312" w:eastAsia="楷体_GB2312" w:cs="楷体_GB2312"/>
          <w:sz w:val="32"/>
          <w:szCs w:val="32"/>
        </w:rPr>
        <w:t>三</w:t>
      </w:r>
      <w:bookmarkEnd w:id="24"/>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年一般公共预算财政拨款基本支出预算表</w:t>
      </w:r>
    </w:p>
    <w:p>
      <w:pPr>
        <w:pStyle w:val="17"/>
        <w:tabs>
          <w:tab w:val="left" w:pos="1240"/>
        </w:tabs>
        <w:spacing w:after="240" w:line="240" w:lineRule="auto"/>
        <w:ind w:firstLine="600"/>
        <w:rPr>
          <w:rFonts w:ascii="楷体_GB2312" w:hAnsi="楷体_GB2312" w:eastAsia="楷体_GB2312" w:cs="楷体_GB2312"/>
          <w:sz w:val="32"/>
          <w:szCs w:val="32"/>
        </w:rPr>
      </w:pPr>
      <w:bookmarkStart w:id="25" w:name="bookmark25"/>
      <w:r>
        <w:rPr>
          <w:rFonts w:hint="eastAsia" w:ascii="楷体_GB2312" w:hAnsi="楷体_GB2312" w:eastAsia="楷体_GB2312" w:cs="楷体_GB2312"/>
          <w:sz w:val="32"/>
          <w:szCs w:val="32"/>
        </w:rPr>
        <w:t>四</w:t>
      </w:r>
      <w:bookmarkEnd w:id="25"/>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部门收支预算总表</w:t>
      </w:r>
    </w:p>
    <w:p>
      <w:pPr>
        <w:pStyle w:val="17"/>
        <w:tabs>
          <w:tab w:val="left" w:pos="1240"/>
        </w:tabs>
        <w:spacing w:after="240" w:line="240" w:lineRule="auto"/>
        <w:ind w:firstLine="600"/>
        <w:rPr>
          <w:rFonts w:ascii="楷体_GB2312" w:hAnsi="楷体_GB2312" w:eastAsia="楷体_GB2312" w:cs="楷体_GB2312"/>
          <w:sz w:val="32"/>
          <w:szCs w:val="32"/>
        </w:rPr>
      </w:pPr>
      <w:bookmarkStart w:id="26" w:name="bookmark26"/>
      <w:r>
        <w:rPr>
          <w:rFonts w:hint="eastAsia" w:ascii="楷体_GB2312" w:hAnsi="楷体_GB2312" w:eastAsia="楷体_GB2312" w:cs="楷体_GB2312"/>
          <w:sz w:val="32"/>
          <w:szCs w:val="32"/>
        </w:rPr>
        <w:t>五</w:t>
      </w:r>
      <w:bookmarkEnd w:id="26"/>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部门收入预算总表</w:t>
      </w:r>
    </w:p>
    <w:p>
      <w:pPr>
        <w:pStyle w:val="17"/>
        <w:tabs>
          <w:tab w:val="left" w:pos="1240"/>
        </w:tabs>
        <w:spacing w:after="240" w:line="240" w:lineRule="auto"/>
        <w:ind w:firstLine="600"/>
        <w:rPr>
          <w:rFonts w:ascii="楷体_GB2312" w:hAnsi="楷体_GB2312" w:eastAsia="楷体_GB2312" w:cs="楷体_GB2312"/>
          <w:sz w:val="32"/>
          <w:szCs w:val="32"/>
        </w:rPr>
      </w:pPr>
      <w:bookmarkStart w:id="27" w:name="bookmark27"/>
      <w:r>
        <w:rPr>
          <w:rFonts w:hint="eastAsia" w:ascii="楷体_GB2312" w:hAnsi="楷体_GB2312" w:eastAsia="楷体_GB2312" w:cs="楷体_GB2312"/>
          <w:sz w:val="32"/>
          <w:szCs w:val="32"/>
        </w:rPr>
        <w:t>六</w:t>
      </w:r>
      <w:bookmarkEnd w:id="27"/>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部门支出预算总表</w:t>
      </w:r>
    </w:p>
    <w:p>
      <w:pPr>
        <w:pStyle w:val="17"/>
        <w:tabs>
          <w:tab w:val="left" w:pos="1240"/>
        </w:tabs>
        <w:spacing w:after="240" w:line="240" w:lineRule="auto"/>
        <w:ind w:firstLine="600"/>
        <w:rPr>
          <w:rFonts w:ascii="楷体_GB2312" w:hAnsi="楷体_GB2312" w:eastAsia="楷体_GB2312" w:cs="楷体_GB2312"/>
          <w:sz w:val="32"/>
          <w:szCs w:val="32"/>
        </w:rPr>
      </w:pPr>
      <w:bookmarkStart w:id="28" w:name="bookmark28"/>
      <w:r>
        <w:rPr>
          <w:rFonts w:hint="eastAsia" w:ascii="楷体_GB2312" w:hAnsi="楷体_GB2312" w:eastAsia="楷体_GB2312" w:cs="楷体_GB2312"/>
          <w:sz w:val="32"/>
          <w:szCs w:val="32"/>
        </w:rPr>
        <w:t>七</w:t>
      </w:r>
      <w:bookmarkEnd w:id="28"/>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政府性基金预算财政拨款支出预算表</w:t>
      </w:r>
    </w:p>
    <w:p>
      <w:pPr>
        <w:pStyle w:val="17"/>
        <w:tabs>
          <w:tab w:val="left" w:pos="1240"/>
        </w:tabs>
        <w:spacing w:after="180" w:line="240" w:lineRule="auto"/>
        <w:ind w:firstLine="600"/>
        <w:rPr>
          <w:rFonts w:ascii="楷体_GB2312" w:hAnsi="楷体_GB2312" w:eastAsia="楷体_GB2312" w:cs="楷体_GB2312"/>
          <w:sz w:val="32"/>
          <w:szCs w:val="32"/>
        </w:rPr>
      </w:pPr>
      <w:bookmarkStart w:id="29" w:name="bookmark29"/>
      <w:r>
        <w:rPr>
          <w:rFonts w:hint="eastAsia" w:ascii="楷体_GB2312" w:hAnsi="楷体_GB2312" w:eastAsia="楷体_GB2312" w:cs="楷体_GB2312"/>
          <w:sz w:val="32"/>
          <w:szCs w:val="32"/>
        </w:rPr>
        <w:t>八</w:t>
      </w:r>
      <w:bookmarkEnd w:id="29"/>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财政拨款</w:t>
      </w:r>
      <w:r>
        <w:rPr>
          <w:rFonts w:hint="eastAsia" w:ascii="楷体_GB2312" w:hAnsi="楷体_GB2312" w:eastAsia="楷体_GB2312" w:cs="楷体_GB2312"/>
          <w:sz w:val="32"/>
          <w:szCs w:val="32"/>
          <w:lang w:val="zh-CN" w:eastAsia="zh-CN" w:bidi="zh-CN"/>
        </w:rPr>
        <w:t>“三</w:t>
      </w:r>
      <w:r>
        <w:rPr>
          <w:rFonts w:hint="eastAsia" w:ascii="楷体_GB2312" w:hAnsi="楷体_GB2312" w:eastAsia="楷体_GB2312" w:cs="楷体_GB2312"/>
          <w:sz w:val="32"/>
          <w:szCs w:val="32"/>
        </w:rPr>
        <w:t>公”经费支出预算表</w:t>
      </w:r>
    </w:p>
    <w:p>
      <w:pPr>
        <w:pStyle w:val="17"/>
        <w:spacing w:after="240" w:line="240" w:lineRule="auto"/>
        <w:ind w:firstLine="6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年一般性支出经费预算表</w:t>
      </w:r>
    </w:p>
    <w:p>
      <w:pPr>
        <w:pStyle w:val="17"/>
        <w:spacing w:after="240" w:line="240" w:lineRule="auto"/>
        <w:ind w:firstLine="600"/>
        <w:rPr>
          <w:rFonts w:ascii="楷体_GB2312" w:hAnsi="楷体_GB2312" w:eastAsia="楷体_GB2312" w:cs="楷体_GB2312"/>
          <w:sz w:val="32"/>
          <w:szCs w:val="32"/>
        </w:rPr>
        <w:sectPr>
          <w:footerReference r:id="rId7" w:type="first"/>
          <w:footerReference r:id="rId6" w:type="default"/>
          <w:pgSz w:w="11900" w:h="16840"/>
          <w:pgMar w:top="2249" w:right="2026" w:bottom="2266" w:left="1292" w:header="0" w:footer="3" w:gutter="0"/>
          <w:pgNumType w:start="1"/>
          <w:cols w:space="720" w:num="1"/>
          <w:titlePg/>
          <w:docGrid w:linePitch="360" w:charSpace="0"/>
        </w:sectPr>
      </w:pPr>
      <w:r>
        <w:rPr>
          <w:rFonts w:hint="eastAsia" w:ascii="楷体_GB2312" w:hAnsi="楷体_GB2312" w:eastAsia="楷体_GB2312" w:cs="楷体_GB2312"/>
          <w:sz w:val="32"/>
          <w:szCs w:val="32"/>
        </w:rPr>
        <w:t>十、项目支出绩效目标申报表</w:t>
      </w:r>
    </w:p>
    <w:p>
      <w:pPr>
        <w:pStyle w:val="15"/>
        <w:keepNext/>
        <w:keepLines/>
        <w:spacing w:before="680" w:after="780"/>
        <w:jc w:val="center"/>
        <w:rPr>
          <w:rFonts w:ascii="楷体_GB2312" w:hAnsi="楷体_GB2312" w:eastAsia="楷体_GB2312" w:cs="楷体_GB2312"/>
          <w:sz w:val="32"/>
          <w:szCs w:val="32"/>
        </w:rPr>
      </w:pPr>
      <w:bookmarkStart w:id="30" w:name="bookmark32"/>
      <w:bookmarkStart w:id="31" w:name="bookmark33"/>
      <w:bookmarkStart w:id="32" w:name="bookmark31"/>
      <w:r>
        <w:rPr>
          <w:rFonts w:hint="eastAsia" w:ascii="楷体_GB2312" w:hAnsi="楷体_GB2312" w:eastAsia="楷体_GB2312" w:cs="楷体_GB2312"/>
          <w:sz w:val="32"/>
          <w:szCs w:val="32"/>
        </w:rPr>
        <w:t>第一部分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本部门概况</w:t>
      </w:r>
      <w:bookmarkEnd w:id="30"/>
      <w:bookmarkEnd w:id="31"/>
      <w:bookmarkEnd w:id="32"/>
    </w:p>
    <w:p>
      <w:pPr>
        <w:numPr>
          <w:ilvl w:val="0"/>
          <w:numId w:val="2"/>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主要职能、职责</w:t>
      </w:r>
    </w:p>
    <w:p>
      <w:pPr>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本部门是本地区及相邻省市地区设备先进、功能齐全、技术力量雄厚、集医疗、教学、科研、预防、保健康复于一体的国家三级甲等综合性医院，是内蒙古医科大学临床医学院。</w:t>
      </w:r>
    </w:p>
    <w:p>
      <w:pPr>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作为国家公共卫生医疗机构，本部门不仅承担着本市居民的医疗卫生任务，还承接来自周边地区及全国各地区的患者的保健和诊疗，一直肩负着社会基本医疗保障和公共卫生服务的职能，承担着救死扶伤、防病治病的社会责任，是实现政府保护国民健康、维持社会稳定政策目标的重要基础，运行机制始终是体现社会公益性质。</w:t>
      </w:r>
    </w:p>
    <w:p>
      <w:pPr>
        <w:numPr>
          <w:ilvl w:val="0"/>
          <w:numId w:val="2"/>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机构设置情况</w:t>
      </w:r>
    </w:p>
    <w:p>
      <w:pPr>
        <w:pStyle w:val="28"/>
        <w:numPr>
          <w:ilvl w:val="0"/>
          <w:numId w:val="3"/>
        </w:numPr>
        <w:spacing w:line="560" w:lineRule="exact"/>
        <w:ind w:firstLineChars="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机构基本情况</w:t>
      </w:r>
    </w:p>
    <w:p>
      <w:pPr>
        <w:snapToGrid w:val="0"/>
        <w:spacing w:line="560" w:lineRule="exact"/>
        <w:ind w:firstLine="640"/>
        <w:rPr>
          <w:rFonts w:ascii="仿宋_GB2312" w:hAnsi="宋体" w:eastAsia="仿宋_GB2312" w:cs="宋体"/>
          <w:sz w:val="32"/>
          <w:szCs w:val="32"/>
          <w:lang w:eastAsia="zh-CN"/>
        </w:rPr>
      </w:pPr>
      <w:r>
        <w:rPr>
          <w:rFonts w:hint="eastAsia" w:ascii="楷体_GB2312" w:hAnsi="楷体_GB2312" w:eastAsia="楷体_GB2312" w:cs="楷体_GB2312"/>
          <w:sz w:val="32"/>
          <w:szCs w:val="32"/>
          <w:lang w:eastAsia="zh-CN"/>
        </w:rPr>
        <w:t>鄂尔多斯市中心医院是一家三级甲等公立医院，是独立编制机构，</w:t>
      </w:r>
      <w:r>
        <w:rPr>
          <w:rFonts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eastAsia="zh-CN"/>
        </w:rPr>
        <w:t>21</w:t>
      </w:r>
      <w:r>
        <w:rPr>
          <w:rFonts w:ascii="楷体_GB2312" w:hAnsi="楷体_GB2312" w:eastAsia="楷体_GB2312" w:cs="楷体_GB2312"/>
          <w:sz w:val="32"/>
          <w:szCs w:val="32"/>
          <w:lang w:eastAsia="zh-CN"/>
        </w:rPr>
        <w:t>年本部门独立编制机构1个</w:t>
      </w:r>
      <w:r>
        <w:rPr>
          <w:rFonts w:hint="eastAsia" w:ascii="仿宋_GB2312" w:hAnsi="宋体" w:eastAsia="仿宋_GB2312" w:cs="宋体"/>
          <w:sz w:val="32"/>
          <w:szCs w:val="32"/>
          <w:lang w:eastAsia="zh-CN"/>
        </w:rPr>
        <w:t>；是</w:t>
      </w:r>
      <w:r>
        <w:rPr>
          <w:rFonts w:hint="eastAsia" w:ascii="楷体_GB2312" w:hAnsi="楷体_GB2312" w:eastAsia="楷体_GB2312" w:cs="楷体_GB2312"/>
          <w:sz w:val="32"/>
          <w:szCs w:val="32"/>
          <w:lang w:eastAsia="zh-CN"/>
        </w:rPr>
        <w:t>独立核算机构，</w:t>
      </w:r>
      <w:r>
        <w:rPr>
          <w:rFonts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eastAsia="zh-CN"/>
        </w:rPr>
        <w:t>21</w:t>
      </w:r>
      <w:r>
        <w:rPr>
          <w:rFonts w:ascii="楷体_GB2312" w:hAnsi="楷体_GB2312" w:eastAsia="楷体_GB2312" w:cs="楷体_GB2312"/>
          <w:sz w:val="32"/>
          <w:szCs w:val="32"/>
          <w:lang w:eastAsia="zh-CN"/>
        </w:rPr>
        <w:t>年本部门独立核算机构1个，</w:t>
      </w:r>
      <w:r>
        <w:rPr>
          <w:rFonts w:hint="eastAsia" w:ascii="仿宋_GB2312" w:hAnsi="宋体" w:eastAsia="仿宋_GB2312" w:cs="宋体"/>
          <w:sz w:val="32"/>
          <w:szCs w:val="32"/>
          <w:lang w:eastAsia="zh-CN"/>
        </w:rPr>
        <w:t>与去年相比，机构数量无变化</w:t>
      </w:r>
      <w:r>
        <w:rPr>
          <w:rFonts w:ascii="楷体_GB2312" w:hAnsi="楷体_GB2312" w:eastAsia="楷体_GB2312" w:cs="楷体_GB2312"/>
          <w:sz w:val="32"/>
          <w:szCs w:val="32"/>
          <w:lang w:eastAsia="zh-CN"/>
        </w:rPr>
        <w:t>。</w:t>
      </w:r>
    </w:p>
    <w:p>
      <w:pPr>
        <w:snapToGrid w:val="0"/>
        <w:spacing w:line="560" w:lineRule="exact"/>
        <w:ind w:firstLine="640" w:firstLineChars="200"/>
        <w:rPr>
          <w:rFonts w:ascii="楷体_GB2312" w:eastAsia="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eastAsia="楷体_GB2312"/>
          <w:sz w:val="32"/>
          <w:szCs w:val="32"/>
          <w:lang w:eastAsia="zh-CN"/>
        </w:rPr>
        <w:t>人员基本情况</w:t>
      </w:r>
    </w:p>
    <w:p>
      <w:pPr>
        <w:spacing w:line="580" w:lineRule="exact"/>
        <w:ind w:firstLine="640" w:firstLineChars="200"/>
        <w:jc w:val="both"/>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2021年编制数为2,571人。其中事业编制人数255人，政府购买1,959人，退休385人，离休2人；财政拨款人数比上年净增加77人，其中在编人员225人，比上年净减少19人；退休人员387人，比上年增加9人，其原因是在职人员退休；政府购买人员1,959人，比上年增加87人，其原因是新招聘工作人员所致。</w:t>
      </w: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spacing w:line="560" w:lineRule="exact"/>
        <w:ind w:firstLine="640" w:firstLineChars="200"/>
        <w:rPr>
          <w:rFonts w:ascii="楷体_GB2312" w:hAnsi="楷体_GB2312" w:eastAsia="楷体_GB2312" w:cs="楷体_GB2312"/>
          <w:sz w:val="32"/>
          <w:szCs w:val="32"/>
          <w:lang w:eastAsia="zh-CN"/>
        </w:rPr>
      </w:pPr>
    </w:p>
    <w:p>
      <w:pPr>
        <w:pStyle w:val="15"/>
        <w:keepNext/>
        <w:keepLines/>
        <w:spacing w:after="520"/>
        <w:jc w:val="center"/>
        <w:rPr>
          <w:rFonts w:ascii="楷体_GB2312" w:hAnsi="楷体_GB2312" w:eastAsia="楷体_GB2312" w:cs="楷体_GB2312"/>
          <w:sz w:val="32"/>
          <w:szCs w:val="32"/>
        </w:rPr>
      </w:pPr>
      <w:bookmarkStart w:id="33" w:name="bookmark35"/>
      <w:bookmarkStart w:id="34" w:name="bookmark36"/>
      <w:bookmarkStart w:id="35" w:name="bookmark34"/>
      <w:r>
        <w:rPr>
          <w:rFonts w:hint="eastAsia" w:ascii="楷体_GB2312" w:hAnsi="楷体_GB2312" w:eastAsia="楷体_GB2312" w:cs="楷体_GB2312"/>
          <w:sz w:val="32"/>
          <w:szCs w:val="32"/>
        </w:rPr>
        <w:t>第二部分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eastAsia="zh-CN"/>
        </w:rPr>
        <w:t>1</w:t>
      </w:r>
      <w:r>
        <w:rPr>
          <w:rFonts w:hint="eastAsia" w:ascii="楷体_GB2312" w:hAnsi="楷体_GB2312" w:eastAsia="楷体_GB2312" w:cs="楷体_GB2312"/>
          <w:sz w:val="32"/>
          <w:szCs w:val="32"/>
        </w:rPr>
        <w:t>年部门预算收支情况</w:t>
      </w:r>
      <w:bookmarkEnd w:id="33"/>
      <w:bookmarkEnd w:id="34"/>
      <w:bookmarkEnd w:id="35"/>
    </w:p>
    <w:p>
      <w:pPr>
        <w:pStyle w:val="17"/>
        <w:spacing w:line="576" w:lineRule="exact"/>
        <w:ind w:firstLine="62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一、部门预算收支总体情况说明</w:t>
      </w:r>
    </w:p>
    <w:p>
      <w:pPr>
        <w:pStyle w:val="17"/>
        <w:tabs>
          <w:tab w:val="left" w:leader="dot" w:pos="4798"/>
          <w:tab w:val="left" w:leader="dot" w:pos="8175"/>
        </w:tabs>
        <w:spacing w:line="576" w:lineRule="exact"/>
        <w:ind w:left="140" w:firstLine="5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收入预算</w:t>
      </w:r>
      <w:r>
        <w:rPr>
          <w:rFonts w:ascii="楷体_GB2312" w:hAnsi="楷体_GB2312" w:eastAsia="楷体_GB2312" w:cs="楷体_GB2312"/>
          <w:sz w:val="32"/>
          <w:szCs w:val="32"/>
          <w:lang w:val="en-US" w:eastAsia="zh-CN"/>
        </w:rPr>
        <w:t>124,052.46</w:t>
      </w:r>
      <w:r>
        <w:rPr>
          <w:rFonts w:hint="eastAsia" w:ascii="楷体_GB2312" w:hAnsi="楷体_GB2312" w:eastAsia="楷体_GB2312" w:cs="楷体_GB2312"/>
          <w:sz w:val="32"/>
          <w:szCs w:val="32"/>
          <w:lang w:val="en-US" w:eastAsia="zh-CN"/>
        </w:rPr>
        <w:t>万</w:t>
      </w:r>
      <w:r>
        <w:rPr>
          <w:rFonts w:hint="eastAsia" w:ascii="楷体_GB2312" w:hAnsi="楷体_GB2312" w:eastAsia="楷体_GB2312" w:cs="楷体_GB2312"/>
          <w:sz w:val="32"/>
          <w:szCs w:val="32"/>
        </w:rPr>
        <w:t>元，比上年预算12</w:t>
      </w:r>
      <w:r>
        <w:rPr>
          <w:rFonts w:hint="eastAsia" w:ascii="楷体_GB2312" w:hAnsi="楷体_GB2312" w:eastAsia="楷体_GB2312" w:cs="楷体_GB2312"/>
          <w:sz w:val="32"/>
          <w:szCs w:val="32"/>
          <w:lang w:val="en-US" w:eastAsia="zh-CN"/>
        </w:rPr>
        <w:t>4,655.88</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减少603.42</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下降0.48</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减少</w:t>
      </w:r>
      <w:r>
        <w:rPr>
          <w:rFonts w:hint="eastAsia" w:ascii="楷体_GB2312" w:hAnsi="楷体_GB2312" w:eastAsia="楷体_GB2312" w:cs="楷体_GB2312"/>
          <w:sz w:val="32"/>
          <w:szCs w:val="32"/>
        </w:rPr>
        <w:t>主要是由于</w:t>
      </w:r>
      <w:r>
        <w:rPr>
          <w:rFonts w:hint="eastAsia" w:ascii="楷体_GB2312" w:hAnsi="楷体_GB2312" w:eastAsia="楷体_GB2312" w:cs="楷体_GB2312"/>
          <w:sz w:val="32"/>
          <w:szCs w:val="32"/>
          <w:lang w:eastAsia="zh-CN"/>
        </w:rPr>
        <w:t>医疗收入预算较去年同期有所减少</w:t>
      </w:r>
      <w:r>
        <w:rPr>
          <w:rFonts w:hint="eastAsia" w:ascii="楷体_GB2312" w:hAnsi="楷体_GB2312" w:eastAsia="楷体_GB2312" w:cs="楷体_GB2312"/>
          <w:sz w:val="32"/>
          <w:szCs w:val="32"/>
        </w:rPr>
        <w:t>。</w:t>
      </w:r>
    </w:p>
    <w:p>
      <w:pPr>
        <w:pStyle w:val="17"/>
        <w:tabs>
          <w:tab w:val="left" w:leader="dot" w:pos="4798"/>
          <w:tab w:val="left" w:leader="dot" w:pos="8175"/>
        </w:tabs>
        <w:spacing w:line="576" w:lineRule="exact"/>
        <w:ind w:left="140" w:firstLine="500"/>
        <w:jc w:val="both"/>
        <w:rPr>
          <w:rFonts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支出预算</w:t>
      </w:r>
      <w:r>
        <w:rPr>
          <w:rFonts w:ascii="楷体_GB2312" w:hAnsi="楷体_GB2312" w:eastAsia="楷体_GB2312" w:cs="楷体_GB2312"/>
          <w:color w:val="auto"/>
          <w:sz w:val="32"/>
          <w:szCs w:val="32"/>
          <w:lang w:val="en-US" w:eastAsia="zh-CN"/>
        </w:rPr>
        <w:t>122,610.82</w:t>
      </w:r>
      <w:r>
        <w:rPr>
          <w:rFonts w:hint="eastAsia" w:ascii="楷体_GB2312" w:hAnsi="楷体_GB2312" w:eastAsia="楷体_GB2312" w:cs="楷体_GB2312"/>
          <w:color w:val="auto"/>
          <w:sz w:val="32"/>
          <w:szCs w:val="32"/>
        </w:rPr>
        <w:t>万元，比上年预算</w:t>
      </w:r>
      <w:r>
        <w:rPr>
          <w:rFonts w:hint="eastAsia" w:ascii="楷体_GB2312" w:hAnsi="楷体_GB2312" w:eastAsia="楷体_GB2312" w:cs="楷体_GB2312"/>
          <w:color w:val="auto"/>
          <w:sz w:val="32"/>
          <w:szCs w:val="32"/>
          <w:lang w:val="en-US" w:eastAsia="zh-CN"/>
        </w:rPr>
        <w:t>123,892.30</w:t>
      </w:r>
      <w:r>
        <w:rPr>
          <w:rFonts w:hint="eastAsia" w:ascii="楷体_GB2312" w:hAnsi="楷体_GB2312" w:eastAsia="楷体_GB2312" w:cs="楷体_GB2312"/>
          <w:color w:val="auto"/>
          <w:sz w:val="32"/>
          <w:szCs w:val="32"/>
        </w:rPr>
        <w:t>万元</w:t>
      </w:r>
      <w:r>
        <w:rPr>
          <w:rFonts w:hint="eastAsia" w:ascii="楷体_GB2312" w:hAnsi="楷体_GB2312" w:eastAsia="楷体_GB2312" w:cs="楷体_GB2312"/>
          <w:color w:val="auto"/>
          <w:sz w:val="32"/>
          <w:szCs w:val="32"/>
          <w:lang w:eastAsia="zh-CN"/>
        </w:rPr>
        <w:t>减少</w:t>
      </w:r>
      <w:r>
        <w:rPr>
          <w:rFonts w:ascii="楷体_GB2312" w:hAnsi="楷体_GB2312" w:eastAsia="楷体_GB2312" w:cs="楷体_GB2312"/>
          <w:color w:val="auto"/>
          <w:sz w:val="32"/>
          <w:szCs w:val="32"/>
          <w:lang w:val="en-US" w:eastAsia="zh-CN"/>
        </w:rPr>
        <w:t>1,281.48</w:t>
      </w:r>
      <w:r>
        <w:rPr>
          <w:rFonts w:hint="eastAsia" w:ascii="楷体_GB2312" w:hAnsi="楷体_GB2312" w:eastAsia="楷体_GB2312" w:cs="楷体_GB2312"/>
          <w:color w:val="auto"/>
          <w:sz w:val="32"/>
          <w:szCs w:val="32"/>
        </w:rPr>
        <w:t>万元，</w:t>
      </w:r>
      <w:r>
        <w:rPr>
          <w:rFonts w:hint="eastAsia" w:ascii="楷体_GB2312" w:hAnsi="楷体_GB2312" w:eastAsia="楷体_GB2312" w:cs="楷体_GB2312"/>
          <w:color w:val="auto"/>
          <w:sz w:val="32"/>
          <w:szCs w:val="32"/>
          <w:lang w:eastAsia="zh-CN"/>
        </w:rPr>
        <w:t>下降</w:t>
      </w:r>
      <w:r>
        <w:rPr>
          <w:rFonts w:hint="eastAsia" w:ascii="楷体_GB2312" w:hAnsi="楷体_GB2312" w:eastAsia="楷体_GB2312" w:cs="楷体_GB2312"/>
          <w:color w:val="auto"/>
          <w:sz w:val="32"/>
          <w:szCs w:val="32"/>
          <w:lang w:val="en-US" w:eastAsia="zh-CN"/>
        </w:rPr>
        <w:t>1.03</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，减少</w:t>
      </w:r>
      <w:r>
        <w:rPr>
          <w:rFonts w:hint="eastAsia" w:ascii="楷体_GB2312" w:hAnsi="楷体_GB2312" w:eastAsia="楷体_GB2312" w:cs="楷体_GB2312"/>
          <w:color w:val="auto"/>
          <w:sz w:val="32"/>
          <w:szCs w:val="32"/>
        </w:rPr>
        <w:t>主要是由于</w:t>
      </w:r>
      <w:r>
        <w:rPr>
          <w:rFonts w:hint="eastAsia" w:ascii="楷体_GB2312" w:hAnsi="楷体_GB2312" w:eastAsia="楷体_GB2312" w:cs="楷体_GB2312"/>
          <w:color w:val="auto"/>
          <w:sz w:val="32"/>
          <w:szCs w:val="32"/>
          <w:lang w:eastAsia="zh-CN"/>
        </w:rPr>
        <w:t>事业支出预算较去年同期有所减少</w:t>
      </w:r>
      <w:r>
        <w:rPr>
          <w:rFonts w:hint="eastAsia" w:ascii="楷体_GB2312" w:hAnsi="楷体_GB2312" w:eastAsia="楷体_GB2312" w:cs="楷体_GB2312"/>
          <w:color w:val="auto"/>
          <w:sz w:val="32"/>
          <w:szCs w:val="32"/>
        </w:rPr>
        <w:t>。</w:t>
      </w:r>
    </w:p>
    <w:p>
      <w:pPr>
        <w:pStyle w:val="17"/>
        <w:tabs>
          <w:tab w:val="left" w:pos="1608"/>
        </w:tabs>
        <w:spacing w:line="562" w:lineRule="exact"/>
        <w:ind w:firstLine="760"/>
        <w:jc w:val="both"/>
        <w:rPr>
          <w:rFonts w:ascii="楷体_GB2312" w:hAnsi="楷体_GB2312" w:eastAsia="楷体_GB2312" w:cs="楷体_GB2312"/>
          <w:sz w:val="32"/>
          <w:szCs w:val="32"/>
        </w:rPr>
      </w:pPr>
      <w:bookmarkStart w:id="36" w:name="bookmark37"/>
      <w:r>
        <w:rPr>
          <w:rFonts w:hint="eastAsia" w:ascii="楷体_GB2312" w:hAnsi="楷体_GB2312" w:eastAsia="楷体_GB2312" w:cs="楷体_GB2312"/>
          <w:sz w:val="32"/>
          <w:szCs w:val="32"/>
        </w:rPr>
        <w:t>（</w:t>
      </w:r>
      <w:bookmarkEnd w:id="36"/>
      <w:r>
        <w:rPr>
          <w:rFonts w:hint="eastAsia" w:ascii="楷体_GB2312" w:hAnsi="楷体_GB2312" w:eastAsia="楷体_GB2312" w:cs="楷体_GB2312"/>
          <w:sz w:val="32"/>
          <w:szCs w:val="32"/>
        </w:rPr>
        <w:t>一）202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年部门预算收入情况说明</w:t>
      </w:r>
    </w:p>
    <w:p>
      <w:pPr>
        <w:pStyle w:val="17"/>
        <w:spacing w:line="562"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部门预算收入</w:t>
      </w:r>
      <w:r>
        <w:rPr>
          <w:rFonts w:ascii="楷体_GB2312" w:hAnsi="楷体_GB2312" w:eastAsia="楷体_GB2312" w:cs="楷体_GB2312"/>
          <w:sz w:val="32"/>
          <w:szCs w:val="32"/>
          <w:lang w:val="en-US" w:eastAsia="zh-CN"/>
        </w:rPr>
        <w:t>124,052.46</w:t>
      </w:r>
      <w:r>
        <w:rPr>
          <w:rFonts w:hint="eastAsia" w:ascii="楷体_GB2312" w:hAnsi="楷体_GB2312" w:eastAsia="楷体_GB2312" w:cs="楷体_GB2312"/>
          <w:sz w:val="32"/>
          <w:szCs w:val="32"/>
        </w:rPr>
        <w:t>万元，其中：一般公共预算拨款收入</w:t>
      </w:r>
      <w:r>
        <w:rPr>
          <w:rFonts w:ascii="楷体_GB2312" w:hAnsi="楷体_GB2312" w:eastAsia="楷体_GB2312" w:cs="楷体_GB2312"/>
          <w:sz w:val="32"/>
          <w:szCs w:val="32"/>
          <w:lang w:val="en-US" w:eastAsia="zh-CN"/>
        </w:rPr>
        <w:t>17,993.03</w:t>
      </w:r>
      <w:r>
        <w:rPr>
          <w:rFonts w:hint="eastAsia" w:ascii="楷体_GB2312" w:hAnsi="楷体_GB2312" w:eastAsia="楷体_GB2312" w:cs="楷体_GB2312"/>
          <w:sz w:val="32"/>
          <w:szCs w:val="32"/>
        </w:rPr>
        <w:t>万元，占比</w:t>
      </w:r>
      <w:r>
        <w:rPr>
          <w:rFonts w:hint="eastAsia" w:ascii="楷体_GB2312" w:hAnsi="楷体_GB2312" w:eastAsia="楷体_GB2312" w:cs="楷体_GB2312"/>
          <w:sz w:val="32"/>
          <w:szCs w:val="32"/>
          <w:lang w:val="en-US" w:eastAsia="zh-CN"/>
        </w:rPr>
        <w:t>14.50</w:t>
      </w:r>
      <w:r>
        <w:rPr>
          <w:rFonts w:hint="eastAsia" w:ascii="楷体_GB2312" w:hAnsi="楷体_GB2312" w:eastAsia="楷体_GB2312" w:cs="楷体_GB2312"/>
          <w:sz w:val="32"/>
          <w:szCs w:val="32"/>
        </w:rPr>
        <w:t>%；政府性基金预算拨款收入</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 xml:space="preserve"> 万元，占比</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%;事业收入</w:t>
      </w:r>
      <w:r>
        <w:rPr>
          <w:rFonts w:ascii="楷体_GB2312" w:hAnsi="楷体_GB2312" w:eastAsia="楷体_GB2312" w:cs="楷体_GB2312"/>
          <w:sz w:val="32"/>
          <w:szCs w:val="32"/>
          <w:lang w:val="en-US" w:eastAsia="zh-CN"/>
        </w:rPr>
        <w:t>105,790.96</w:t>
      </w:r>
      <w:r>
        <w:rPr>
          <w:rFonts w:hint="eastAsia" w:ascii="楷体_GB2312" w:hAnsi="楷体_GB2312" w:eastAsia="楷体_GB2312" w:cs="楷体_GB2312"/>
          <w:sz w:val="32"/>
          <w:szCs w:val="32"/>
        </w:rPr>
        <w:t>万元，占比</w:t>
      </w:r>
      <w:r>
        <w:rPr>
          <w:rFonts w:hint="eastAsia" w:ascii="楷体_GB2312" w:hAnsi="楷体_GB2312" w:eastAsia="楷体_GB2312" w:cs="楷体_GB2312"/>
          <w:sz w:val="32"/>
          <w:szCs w:val="32"/>
          <w:lang w:val="en-US" w:eastAsia="zh-CN"/>
        </w:rPr>
        <w:t>85.28</w:t>
      </w:r>
      <w:r>
        <w:rPr>
          <w:rFonts w:hint="eastAsia" w:ascii="楷体_GB2312" w:hAnsi="楷体_GB2312" w:eastAsia="楷体_GB2312" w:cs="楷体_GB2312"/>
          <w:sz w:val="32"/>
          <w:szCs w:val="32"/>
        </w:rPr>
        <w:t>%;事业单位经营收入</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 xml:space="preserve"> 万元，占比</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 xml:space="preserve"> %;其他收入</w:t>
      </w:r>
      <w:r>
        <w:rPr>
          <w:rFonts w:hint="eastAsia" w:ascii="楷体_GB2312" w:hAnsi="楷体_GB2312" w:eastAsia="楷体_GB2312" w:cs="楷体_GB2312"/>
          <w:sz w:val="32"/>
          <w:szCs w:val="32"/>
          <w:lang w:val="en-US" w:eastAsia="zh-CN"/>
        </w:rPr>
        <w:t>268.46</w:t>
      </w:r>
      <w:r>
        <w:rPr>
          <w:rFonts w:hint="eastAsia" w:ascii="楷体_GB2312" w:hAnsi="楷体_GB2312" w:eastAsia="楷体_GB2312" w:cs="楷体_GB2312"/>
          <w:sz w:val="32"/>
          <w:szCs w:val="32"/>
        </w:rPr>
        <w:t>万元，占比</w:t>
      </w:r>
      <w:r>
        <w:rPr>
          <w:rFonts w:hint="eastAsia" w:ascii="楷体_GB2312" w:hAnsi="楷体_GB2312" w:eastAsia="楷体_GB2312" w:cs="楷体_GB2312"/>
          <w:sz w:val="32"/>
          <w:szCs w:val="32"/>
          <w:lang w:val="en-US" w:eastAsia="zh-CN"/>
        </w:rPr>
        <w:t>0.22</w:t>
      </w:r>
      <w:r>
        <w:rPr>
          <w:rFonts w:hint="eastAsia" w:ascii="楷体_GB2312" w:hAnsi="楷体_GB2312" w:eastAsia="楷体_GB2312" w:cs="楷体_GB2312"/>
          <w:sz w:val="32"/>
          <w:szCs w:val="32"/>
        </w:rPr>
        <w:t>%;上年结转</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万元，占比</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％，用事业基金弥补的收支差额</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万元，占比</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w:t>
      </w:r>
    </w:p>
    <w:p>
      <w:pPr>
        <w:pStyle w:val="17"/>
        <w:tabs>
          <w:tab w:val="left" w:pos="1608"/>
        </w:tabs>
        <w:spacing w:line="562" w:lineRule="exact"/>
        <w:ind w:firstLine="760"/>
        <w:jc w:val="both"/>
        <w:rPr>
          <w:rFonts w:ascii="楷体_GB2312" w:hAnsi="楷体_GB2312" w:eastAsia="楷体_GB2312" w:cs="楷体_GB2312"/>
          <w:sz w:val="32"/>
          <w:szCs w:val="32"/>
        </w:rPr>
      </w:pPr>
      <w:bookmarkStart w:id="37" w:name="bookmark38"/>
      <w:r>
        <w:rPr>
          <w:rFonts w:hint="eastAsia" w:ascii="楷体_GB2312" w:hAnsi="楷体_GB2312" w:eastAsia="楷体_GB2312" w:cs="楷体_GB2312"/>
          <w:sz w:val="32"/>
          <w:szCs w:val="32"/>
        </w:rPr>
        <w:t>（</w:t>
      </w:r>
      <w:bookmarkEnd w:id="37"/>
      <w:r>
        <w:rPr>
          <w:rFonts w:hint="eastAsia" w:ascii="楷体_GB2312" w:hAnsi="楷体_GB2312" w:eastAsia="楷体_GB2312" w:cs="楷体_GB2312"/>
          <w:sz w:val="32"/>
          <w:szCs w:val="32"/>
        </w:rPr>
        <w:t>二）202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年部门预算支出情况说明</w:t>
      </w:r>
    </w:p>
    <w:p>
      <w:pPr>
        <w:adjustRightInd w:val="0"/>
        <w:snapToGrid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部门预算支出</w:t>
      </w:r>
      <w:r>
        <w:rPr>
          <w:rFonts w:ascii="楷体_GB2312" w:hAnsi="楷体_GB2312" w:eastAsia="楷体_GB2312" w:cs="楷体_GB2312"/>
          <w:sz w:val="32"/>
          <w:szCs w:val="32"/>
          <w:lang w:eastAsia="zh-CN"/>
        </w:rPr>
        <w:t>122,610.82</w:t>
      </w:r>
      <w:r>
        <w:rPr>
          <w:rFonts w:hint="eastAsia" w:ascii="楷体_GB2312" w:hAnsi="楷体_GB2312" w:eastAsia="楷体_GB2312" w:cs="楷体_GB2312"/>
          <w:sz w:val="32"/>
          <w:szCs w:val="32"/>
          <w:lang w:eastAsia="zh-CN"/>
        </w:rPr>
        <w:t>万元，其中：基本支出</w:t>
      </w:r>
      <w:r>
        <w:rPr>
          <w:rFonts w:ascii="楷体_GB2312" w:hAnsi="楷体_GB2312" w:eastAsia="楷体_GB2312" w:cs="楷体_GB2312"/>
          <w:sz w:val="32"/>
          <w:szCs w:val="32"/>
          <w:lang w:eastAsia="zh-CN"/>
        </w:rPr>
        <w:t>17,983.03</w:t>
      </w:r>
      <w:r>
        <w:rPr>
          <w:rFonts w:hint="eastAsia" w:ascii="楷体_GB2312" w:hAnsi="楷体_GB2312" w:eastAsia="楷体_GB2312" w:cs="楷体_GB2312"/>
          <w:sz w:val="32"/>
          <w:szCs w:val="32"/>
          <w:lang w:eastAsia="zh-CN"/>
        </w:rPr>
        <w:t>万元，占比14.67%；项目支出10.00万元，占比0.01％；事业支出</w:t>
      </w:r>
      <w:r>
        <w:rPr>
          <w:rFonts w:ascii="楷体_GB2312" w:hAnsi="楷体_GB2312" w:eastAsia="楷体_GB2312" w:cs="楷体_GB2312"/>
          <w:sz w:val="32"/>
          <w:szCs w:val="32"/>
          <w:lang w:eastAsia="zh-CN"/>
        </w:rPr>
        <w:t>104,559.79</w:t>
      </w:r>
      <w:r>
        <w:rPr>
          <w:rFonts w:hint="eastAsia" w:ascii="楷体_GB2312" w:hAnsi="楷体_GB2312" w:eastAsia="楷体_GB2312" w:cs="楷体_GB2312"/>
          <w:sz w:val="32"/>
          <w:szCs w:val="32"/>
          <w:lang w:eastAsia="zh-CN"/>
        </w:rPr>
        <w:t>万元，占比85.28％；其他支出</w:t>
      </w:r>
      <w:r>
        <w:rPr>
          <w:rFonts w:ascii="楷体_GB2312" w:hAnsi="楷体_GB2312" w:eastAsia="楷体_GB2312" w:cs="楷体_GB2312"/>
          <w:sz w:val="32"/>
          <w:szCs w:val="32"/>
          <w:lang w:eastAsia="zh-CN"/>
        </w:rPr>
        <w:t>57.99</w:t>
      </w:r>
      <w:r>
        <w:rPr>
          <w:rFonts w:hint="eastAsia" w:ascii="楷体_GB2312" w:hAnsi="楷体_GB2312" w:eastAsia="楷体_GB2312" w:cs="楷体_GB2312"/>
          <w:sz w:val="32"/>
          <w:szCs w:val="32"/>
          <w:lang w:eastAsia="zh-CN"/>
        </w:rPr>
        <w:t>万元，占比0.05%。</w:t>
      </w:r>
    </w:p>
    <w:p>
      <w:pPr>
        <w:adjustRightInd w:val="0"/>
        <w:snapToGrid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主要用于“机构运转、专业活动等”方面支出。</w:t>
      </w:r>
    </w:p>
    <w:p>
      <w:pPr>
        <w:adjustRightInd w:val="0"/>
        <w:snapToGrid w:val="0"/>
        <w:spacing w:line="560" w:lineRule="exact"/>
        <w:ind w:firstLine="640" w:firstLineChars="200"/>
        <w:rPr>
          <w:rFonts w:ascii="楷体_GB2312" w:hAnsi="楷体_GB2312" w:eastAsia="楷体_GB2312" w:cs="楷体_GB2312"/>
          <w:sz w:val="32"/>
          <w:szCs w:val="32"/>
          <w:lang w:eastAsia="zh-CN"/>
        </w:rPr>
      </w:pPr>
    </w:p>
    <w:p>
      <w:pPr>
        <w:spacing w:line="1" w:lineRule="exact"/>
        <w:rPr>
          <w:rFonts w:ascii="楷体_GB2312" w:hAnsi="楷体_GB2312" w:eastAsia="楷体_GB2312" w:cs="楷体_GB2312"/>
          <w:sz w:val="32"/>
          <w:szCs w:val="32"/>
          <w:lang w:eastAsia="zh-CN"/>
        </w:rPr>
      </w:pPr>
    </w:p>
    <w:p>
      <w:pPr>
        <w:spacing w:line="1" w:lineRule="exact"/>
        <w:rPr>
          <w:rFonts w:ascii="楷体_GB2312" w:hAnsi="楷体_GB2312" w:eastAsia="楷体_GB2312" w:cs="楷体_GB2312"/>
          <w:sz w:val="32"/>
          <w:szCs w:val="32"/>
          <w:lang w:eastAsia="zh-CN"/>
        </w:rPr>
        <w:sectPr>
          <w:footerReference r:id="rId8" w:type="default"/>
          <w:pgSz w:w="11900" w:h="16840"/>
          <w:pgMar w:top="1662" w:right="1706" w:bottom="2219" w:left="1532" w:header="1234" w:footer="3" w:gutter="0"/>
          <w:cols w:space="720" w:num="1"/>
          <w:docGrid w:linePitch="360" w:charSpace="0"/>
        </w:sectPr>
      </w:pPr>
    </w:p>
    <w:p>
      <w:pPr>
        <w:spacing w:line="1" w:lineRule="exact"/>
        <w:rPr>
          <w:rFonts w:ascii="楷体_GB2312" w:hAnsi="楷体_GB2312" w:eastAsia="楷体_GB2312" w:cs="楷体_GB2312"/>
          <w:sz w:val="32"/>
          <w:szCs w:val="32"/>
          <w:lang w:eastAsia="zh-CN"/>
        </w:rPr>
        <w:sectPr>
          <w:type w:val="continuous"/>
          <w:pgSz w:w="11900" w:h="16840"/>
          <w:pgMar w:top="1507" w:right="0" w:bottom="2143" w:left="0" w:header="0" w:footer="3" w:gutter="0"/>
          <w:cols w:space="720" w:num="1"/>
          <w:docGrid w:linePitch="360" w:charSpace="0"/>
        </w:sectPr>
      </w:pPr>
    </w:p>
    <w:p>
      <w:pPr>
        <w:pStyle w:val="17"/>
        <w:spacing w:after="240" w:line="240" w:lineRule="auto"/>
        <w:ind w:firstLine="620"/>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二、一般公共预算财政拨款收支情况说明</w:t>
      </w:r>
    </w:p>
    <w:p>
      <w:pPr>
        <w:pStyle w:val="17"/>
        <w:spacing w:line="240" w:lineRule="auto"/>
        <w:ind w:firstLine="760"/>
        <w:rPr>
          <w:rFonts w:ascii="楷体_GB2312" w:hAnsi="楷体_GB2312" w:eastAsia="楷体_GB2312" w:cs="楷体_GB2312"/>
          <w:sz w:val="32"/>
          <w:szCs w:val="32"/>
        </w:rPr>
      </w:pPr>
      <w:r>
        <w:rPr>
          <w:rFonts w:hint="eastAsia" w:ascii="楷体_GB2312" w:hAnsi="楷体_GB2312" w:eastAsia="楷体_GB2312" w:cs="楷体_GB2312"/>
          <w:sz w:val="32"/>
          <w:szCs w:val="32"/>
        </w:rPr>
        <w:t>（一）财政拨款规模情况</w:t>
      </w:r>
    </w:p>
    <w:p>
      <w:pPr>
        <w:pStyle w:val="17"/>
        <w:tabs>
          <w:tab w:val="left" w:pos="4982"/>
        </w:tabs>
        <w:spacing w:line="562" w:lineRule="exact"/>
        <w:ind w:firstLine="62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财政拨款收支预算</w:t>
      </w:r>
      <w:r>
        <w:rPr>
          <w:rFonts w:ascii="楷体_GB2312" w:hAnsi="楷体_GB2312" w:eastAsia="楷体_GB2312" w:cs="楷体_GB2312"/>
          <w:sz w:val="32"/>
          <w:szCs w:val="32"/>
          <w:lang w:val="en-US" w:eastAsia="zh-CN"/>
        </w:rPr>
        <w:t>17,993.03</w:t>
      </w:r>
      <w:r>
        <w:rPr>
          <w:rFonts w:hint="eastAsia" w:ascii="楷体_GB2312" w:hAnsi="楷体_GB2312" w:eastAsia="楷体_GB2312" w:cs="楷体_GB2312"/>
          <w:sz w:val="32"/>
          <w:szCs w:val="32"/>
        </w:rPr>
        <w:t>万元，包括：一般公共预算财政拨款</w:t>
      </w:r>
      <w:r>
        <w:rPr>
          <w:rFonts w:ascii="楷体_GB2312" w:hAnsi="楷体_GB2312" w:eastAsia="楷体_GB2312" w:cs="楷体_GB2312"/>
          <w:sz w:val="32"/>
          <w:szCs w:val="32"/>
          <w:lang w:val="en-US" w:eastAsia="zh-CN"/>
        </w:rPr>
        <w:t>17,993.03</w:t>
      </w:r>
      <w:r>
        <w:rPr>
          <w:rFonts w:hint="eastAsia" w:ascii="楷体_GB2312" w:hAnsi="楷体_GB2312" w:eastAsia="楷体_GB2312" w:cs="楷体_GB2312"/>
          <w:sz w:val="32"/>
          <w:szCs w:val="32"/>
        </w:rPr>
        <w:t>万元，政府性基金预算财政拨款</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上年结转</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万元。</w:t>
      </w:r>
    </w:p>
    <w:p>
      <w:pPr>
        <w:pStyle w:val="17"/>
        <w:spacing w:line="562" w:lineRule="exact"/>
        <w:ind w:firstLine="760"/>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（二）一般公共预算财政拨款具体使用安排情况</w:t>
      </w:r>
    </w:p>
    <w:p>
      <w:pPr>
        <w:pStyle w:val="17"/>
        <w:spacing w:after="120" w:line="562" w:lineRule="exact"/>
        <w:ind w:firstLine="62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b/>
          <w:bCs/>
          <w:sz w:val="32"/>
          <w:szCs w:val="32"/>
          <w:lang w:val="zh-CN" w:eastAsia="zh-CN" w:bidi="zh-CN"/>
        </w:rPr>
        <w:t>一</w:t>
      </w:r>
      <w:r>
        <w:rPr>
          <w:rFonts w:hint="eastAsia" w:ascii="楷体_GB2312" w:hAnsi="楷体_GB2312" w:eastAsia="楷体_GB2312" w:cs="楷体_GB2312"/>
          <w:b/>
          <w:bCs/>
          <w:sz w:val="32"/>
          <w:szCs w:val="32"/>
        </w:rPr>
        <w:t>般公共服务</w:t>
      </w:r>
      <w:r>
        <w:rPr>
          <w:rFonts w:hint="eastAsia" w:ascii="楷体_GB2312" w:hAnsi="楷体_GB2312" w:eastAsia="楷体_GB2312" w:cs="楷体_GB2312"/>
          <w:b/>
          <w:bCs/>
          <w:sz w:val="32"/>
          <w:szCs w:val="32"/>
          <w:lang w:eastAsia="zh-CN"/>
        </w:rPr>
        <w:t>支出</w:t>
      </w:r>
      <w:r>
        <w:rPr>
          <w:rFonts w:hint="eastAsia" w:ascii="楷体_GB2312" w:hAnsi="楷体_GB2312" w:eastAsia="楷体_GB2312" w:cs="楷体_GB2312"/>
          <w:b/>
          <w:bCs/>
          <w:sz w:val="32"/>
          <w:szCs w:val="32"/>
          <w:lang w:val="en-US" w:eastAsia="zh-CN"/>
        </w:rPr>
        <w:t>10.00</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与上年预算数持平</w:t>
      </w:r>
      <w:r>
        <w:rPr>
          <w:rFonts w:hint="eastAsia" w:ascii="楷体_GB2312" w:hAnsi="楷体_GB2312" w:eastAsia="楷体_GB2312" w:cs="楷体_GB2312"/>
          <w:sz w:val="32"/>
          <w:szCs w:val="32"/>
        </w:rPr>
        <w:t>。</w:t>
      </w:r>
    </w:p>
    <w:p>
      <w:pPr>
        <w:adjustRightInd w:val="0"/>
        <w:snapToGrid w:val="0"/>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w:t>
      </w:r>
      <w:r>
        <w:rPr>
          <w:rFonts w:hint="eastAsia" w:ascii="楷体_GB2312" w:hAnsi="楷体_GB2312" w:eastAsia="楷体_GB2312" w:cs="楷体_GB2312"/>
          <w:b/>
          <w:bCs/>
          <w:sz w:val="32"/>
          <w:szCs w:val="32"/>
          <w:lang w:eastAsia="zh-CN"/>
        </w:rPr>
        <w:t>社会保障和就业支出534.83</w:t>
      </w:r>
      <w:r>
        <w:rPr>
          <w:rFonts w:hint="eastAsia" w:ascii="楷体_GB2312" w:hAnsi="楷体_GB2312" w:eastAsia="楷体_GB2312" w:cs="楷体_GB2312"/>
          <w:bCs/>
          <w:sz w:val="32"/>
          <w:szCs w:val="32"/>
          <w:lang w:eastAsia="zh-CN"/>
        </w:rPr>
        <w:t>万元</w:t>
      </w:r>
      <w:r>
        <w:rPr>
          <w:rFonts w:hint="eastAsia" w:ascii="楷体_GB2312" w:hAnsi="楷体_GB2312" w:eastAsia="楷体_GB2312" w:cs="楷体_GB2312"/>
          <w:sz w:val="32"/>
          <w:szCs w:val="32"/>
          <w:lang w:eastAsia="zh-CN"/>
        </w:rPr>
        <w:t>，比上年预算数减少31.70万元，下</w:t>
      </w:r>
      <w:r>
        <w:rPr>
          <w:rFonts w:hint="eastAsia" w:ascii="楷体_GB2312" w:hAnsi="楷体_GB2312" w:eastAsia="楷体_GB2312" w:cs="楷体_GB2312"/>
          <w:color w:val="auto"/>
          <w:sz w:val="32"/>
          <w:szCs w:val="32"/>
          <w:lang w:eastAsia="zh-CN"/>
        </w:rPr>
        <w:t>降5.60%。</w:t>
      </w:r>
      <w:r>
        <w:rPr>
          <w:rFonts w:hint="eastAsia" w:ascii="楷体_GB2312" w:hAnsi="楷体_GB2312" w:eastAsia="楷体_GB2312" w:cs="楷体_GB2312"/>
          <w:sz w:val="32"/>
          <w:szCs w:val="32"/>
          <w:lang w:eastAsia="zh-CN"/>
        </w:rPr>
        <w:t>主要用于事业单位离退休职工工资和机关事业单位基本养老保险缴费支出。</w:t>
      </w:r>
    </w:p>
    <w:p>
      <w:pPr>
        <w:adjustRightInd w:val="0"/>
        <w:snapToGrid w:val="0"/>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3、</w:t>
      </w:r>
      <w:r>
        <w:rPr>
          <w:rFonts w:hint="eastAsia" w:ascii="楷体_GB2312" w:hAnsi="楷体_GB2312" w:eastAsia="楷体_GB2312" w:cs="楷体_GB2312"/>
          <w:b/>
          <w:bCs/>
          <w:sz w:val="32"/>
          <w:szCs w:val="32"/>
          <w:lang w:eastAsia="zh-CN"/>
        </w:rPr>
        <w:t>卫生健康支出</w:t>
      </w:r>
      <w:r>
        <w:rPr>
          <w:rFonts w:ascii="楷体_GB2312" w:hAnsi="楷体_GB2312" w:eastAsia="楷体_GB2312" w:cs="楷体_GB2312"/>
          <w:b/>
          <w:bCs/>
          <w:sz w:val="32"/>
          <w:szCs w:val="32"/>
          <w:lang w:eastAsia="zh-CN"/>
        </w:rPr>
        <w:t>17,202.87</w:t>
      </w:r>
      <w:r>
        <w:rPr>
          <w:rFonts w:hint="eastAsia" w:ascii="楷体_GB2312" w:hAnsi="楷体_GB2312" w:eastAsia="楷体_GB2312" w:cs="楷体_GB2312"/>
          <w:sz w:val="32"/>
          <w:szCs w:val="32"/>
          <w:lang w:eastAsia="zh-CN"/>
        </w:rPr>
        <w:t>万元，比上年预算数增加1,002.81万元，增长6.19%，增加主要是由于（1）拨款人数增加（2）调标和岗位聘用。主要用于事业单位工作人员工资福利支出和交通补贴支出等。</w:t>
      </w:r>
    </w:p>
    <w:p>
      <w:pPr>
        <w:adjustRightInd w:val="0"/>
        <w:snapToGrid w:val="0"/>
        <w:spacing w:line="560" w:lineRule="exact"/>
        <w:ind w:left="1"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4、</w:t>
      </w:r>
      <w:r>
        <w:rPr>
          <w:rFonts w:hint="eastAsia" w:ascii="楷体_GB2312" w:hAnsi="楷体_GB2312" w:eastAsia="楷体_GB2312" w:cs="楷体_GB2312"/>
          <w:b/>
          <w:bCs/>
          <w:sz w:val="32"/>
          <w:szCs w:val="32"/>
          <w:lang w:eastAsia="zh-CN"/>
        </w:rPr>
        <w:t>住房保障支出</w:t>
      </w:r>
      <w:r>
        <w:rPr>
          <w:rFonts w:ascii="楷体_GB2312" w:hAnsi="楷体_GB2312" w:eastAsia="楷体_GB2312" w:cs="楷体_GB2312"/>
          <w:b/>
          <w:bCs/>
          <w:sz w:val="32"/>
          <w:szCs w:val="32"/>
          <w:lang w:eastAsia="zh-CN"/>
        </w:rPr>
        <w:t>245.33</w:t>
      </w:r>
      <w:r>
        <w:rPr>
          <w:rFonts w:hint="eastAsia" w:ascii="楷体_GB2312" w:hAnsi="楷体_GB2312" w:eastAsia="楷体_GB2312" w:cs="楷体_GB2312"/>
          <w:bCs/>
          <w:sz w:val="32"/>
          <w:szCs w:val="32"/>
          <w:lang w:eastAsia="zh-CN"/>
        </w:rPr>
        <w:t>万元</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sz w:val="32"/>
          <w:szCs w:val="32"/>
          <w:lang w:eastAsia="zh-CN"/>
        </w:rPr>
        <w:t>比上年预算数减少27.22万元，下</w:t>
      </w:r>
      <w:r>
        <w:rPr>
          <w:rFonts w:hint="eastAsia" w:ascii="楷体_GB2312" w:hAnsi="楷体_GB2312" w:eastAsia="楷体_GB2312" w:cs="楷体_GB2312"/>
          <w:color w:val="auto"/>
          <w:sz w:val="32"/>
          <w:szCs w:val="32"/>
          <w:lang w:eastAsia="zh-CN"/>
        </w:rPr>
        <w:t>降9.99%。</w:t>
      </w:r>
      <w:r>
        <w:rPr>
          <w:rFonts w:hint="eastAsia" w:ascii="楷体_GB2312" w:hAnsi="楷体_GB2312" w:eastAsia="楷体_GB2312" w:cs="楷体_GB2312"/>
          <w:sz w:val="32"/>
          <w:szCs w:val="32"/>
          <w:lang w:eastAsia="zh-CN"/>
        </w:rPr>
        <w:t>主要用于事业单位在编人员住房公积金支出。</w:t>
      </w:r>
    </w:p>
    <w:p>
      <w:pPr>
        <w:pStyle w:val="17"/>
        <w:tabs>
          <w:tab w:val="left" w:pos="1223"/>
        </w:tabs>
        <w:spacing w:line="569" w:lineRule="exact"/>
        <w:ind w:firstLine="620"/>
        <w:rPr>
          <w:rFonts w:ascii="楷体_GB2312" w:hAnsi="楷体_GB2312" w:eastAsia="楷体_GB2312" w:cs="楷体_GB2312"/>
          <w:sz w:val="32"/>
          <w:szCs w:val="32"/>
        </w:rPr>
      </w:pPr>
      <w:bookmarkStart w:id="38" w:name="bookmark39"/>
      <w:r>
        <w:rPr>
          <w:rFonts w:hint="eastAsia" w:ascii="楷体_GB2312" w:hAnsi="楷体_GB2312" w:eastAsia="楷体_GB2312" w:cs="楷体_GB2312"/>
          <w:sz w:val="32"/>
          <w:szCs w:val="32"/>
        </w:rPr>
        <w:t>三</w:t>
      </w:r>
      <w:bookmarkEnd w:id="38"/>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zh-CN" w:eastAsia="zh-CN" w:bidi="zh-CN"/>
        </w:rPr>
        <w:t>“三</w:t>
      </w:r>
      <w:r>
        <w:rPr>
          <w:rFonts w:hint="eastAsia" w:ascii="楷体_GB2312" w:hAnsi="楷体_GB2312" w:eastAsia="楷体_GB2312" w:cs="楷体_GB2312"/>
          <w:sz w:val="32"/>
          <w:szCs w:val="32"/>
        </w:rPr>
        <w:t>公”经费财政预算安排情况说明</w:t>
      </w:r>
    </w:p>
    <w:p>
      <w:pPr>
        <w:adjustRightInd w:val="0"/>
        <w:snapToGrid w:val="0"/>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财政拨款</w:t>
      </w:r>
      <w:r>
        <w:rPr>
          <w:rFonts w:hint="eastAsia" w:ascii="楷体_GB2312" w:hAnsi="楷体_GB2312" w:eastAsia="楷体_GB2312" w:cs="楷体_GB2312"/>
          <w:color w:val="auto"/>
          <w:sz w:val="32"/>
          <w:szCs w:val="32"/>
          <w:lang w:val="zh-CN" w:eastAsia="zh-CN" w:bidi="zh-CN"/>
        </w:rPr>
        <w:t>“三</w:t>
      </w:r>
      <w:r>
        <w:rPr>
          <w:rFonts w:hint="eastAsia" w:ascii="楷体_GB2312" w:hAnsi="楷体_GB2312" w:eastAsia="楷体_GB2312" w:cs="楷体_GB2312"/>
          <w:color w:val="auto"/>
          <w:sz w:val="32"/>
          <w:szCs w:val="32"/>
          <w:lang w:eastAsia="zh-CN"/>
        </w:rPr>
        <w:t>公”经费支出预算0.00万元，与上年持平。</w:t>
      </w:r>
      <w:r>
        <w:rPr>
          <w:rFonts w:hint="eastAsia" w:ascii="楷体_GB2312" w:hAnsi="楷体_GB2312" w:eastAsia="楷体_GB2312" w:cs="楷体_GB2312"/>
          <w:color w:val="auto"/>
          <w:sz w:val="32"/>
          <w:szCs w:val="32"/>
        </w:rPr>
        <w:t>其中：</w:t>
      </w:r>
    </w:p>
    <w:p>
      <w:pPr>
        <w:adjustRightInd w:val="0"/>
        <w:snapToGrid w:val="0"/>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1、因公出国（境）费用</w:t>
      </w:r>
      <w:r>
        <w:rPr>
          <w:rFonts w:hint="eastAsia" w:ascii="楷体_GB2312" w:hAnsi="楷体_GB2312" w:eastAsia="楷体_GB2312" w:cs="楷体_GB2312"/>
          <w:color w:val="auto"/>
          <w:sz w:val="32"/>
          <w:szCs w:val="32"/>
          <w:lang w:eastAsia="zh-CN"/>
        </w:rPr>
        <w:t>0.00</w:t>
      </w:r>
      <w:r>
        <w:rPr>
          <w:rFonts w:hint="eastAsia" w:ascii="楷体_GB2312" w:hAnsi="楷体_GB2312" w:eastAsia="楷体_GB2312" w:cs="楷体_GB2312"/>
          <w:color w:val="auto"/>
          <w:sz w:val="32"/>
          <w:szCs w:val="32"/>
        </w:rPr>
        <w:t>万元，</w:t>
      </w:r>
      <w:r>
        <w:rPr>
          <w:rFonts w:hint="eastAsia" w:ascii="楷体_GB2312" w:hAnsi="楷体_GB2312" w:eastAsia="楷体_GB2312" w:cs="楷体_GB2312"/>
          <w:color w:val="auto"/>
          <w:sz w:val="32"/>
          <w:szCs w:val="32"/>
          <w:lang w:eastAsia="zh-CN"/>
        </w:rPr>
        <w:t>与上年持平。</w:t>
      </w:r>
    </w:p>
    <w:p>
      <w:pPr>
        <w:adjustRightInd w:val="0"/>
        <w:snapToGrid w:val="0"/>
        <w:spacing w:line="560" w:lineRule="exact"/>
        <w:ind w:firstLine="640" w:firstLineChars="200"/>
        <w:rPr>
          <w:rFonts w:ascii="楷体_GB2312" w:hAnsi="楷体_GB2312" w:eastAsia="楷体_GB2312" w:cs="楷体_GB2312"/>
          <w:color w:val="auto"/>
          <w:sz w:val="32"/>
          <w:szCs w:val="32"/>
          <w:highlight w:val="yellow"/>
        </w:rPr>
      </w:pPr>
      <w:r>
        <w:rPr>
          <w:rFonts w:hint="eastAsia" w:ascii="楷体_GB2312" w:hAnsi="楷体_GB2312" w:eastAsia="楷体_GB2312" w:cs="楷体_GB2312"/>
          <w:color w:val="auto"/>
          <w:sz w:val="32"/>
          <w:szCs w:val="32"/>
        </w:rPr>
        <w:t>2、公务接待费</w:t>
      </w:r>
      <w:r>
        <w:rPr>
          <w:rFonts w:hint="eastAsia" w:ascii="楷体_GB2312" w:hAnsi="楷体_GB2312" w:eastAsia="楷体_GB2312" w:cs="楷体_GB2312"/>
          <w:color w:val="auto"/>
          <w:sz w:val="32"/>
          <w:szCs w:val="32"/>
          <w:lang w:eastAsia="zh-CN"/>
        </w:rPr>
        <w:t>0.00</w:t>
      </w:r>
      <w:r>
        <w:rPr>
          <w:rFonts w:hint="eastAsia" w:ascii="楷体_GB2312" w:hAnsi="楷体_GB2312" w:eastAsia="楷体_GB2312" w:cs="楷体_GB2312"/>
          <w:color w:val="auto"/>
          <w:sz w:val="32"/>
          <w:szCs w:val="32"/>
        </w:rPr>
        <w:t>万元，</w:t>
      </w:r>
      <w:r>
        <w:rPr>
          <w:rFonts w:hint="eastAsia" w:ascii="楷体_GB2312" w:hAnsi="楷体_GB2312" w:eastAsia="楷体_GB2312" w:cs="楷体_GB2312"/>
          <w:color w:val="auto"/>
          <w:sz w:val="32"/>
          <w:szCs w:val="32"/>
          <w:lang w:eastAsia="zh-CN"/>
        </w:rPr>
        <w:t>与上年持平</w:t>
      </w:r>
      <w:r>
        <w:rPr>
          <w:rFonts w:hint="eastAsia" w:ascii="楷体_GB2312" w:hAnsi="楷体_GB2312" w:eastAsia="楷体_GB2312" w:cs="楷体_GB2312"/>
          <w:color w:val="auto"/>
          <w:sz w:val="32"/>
          <w:szCs w:val="32"/>
        </w:rPr>
        <w:t>。</w:t>
      </w:r>
    </w:p>
    <w:p>
      <w:pPr>
        <w:adjustRightInd w:val="0"/>
        <w:snapToGrid w:val="0"/>
        <w:spacing w:line="560" w:lineRule="exact"/>
        <w:ind w:firstLine="640" w:firstLineChars="200"/>
        <w:rPr>
          <w:rFonts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3、公务用车购置及运行维护费</w:t>
      </w:r>
      <w:r>
        <w:rPr>
          <w:rFonts w:hint="eastAsia" w:ascii="楷体_GB2312" w:hAnsi="楷体_GB2312" w:eastAsia="楷体_GB2312" w:cs="楷体_GB2312"/>
          <w:color w:val="auto"/>
          <w:sz w:val="32"/>
          <w:szCs w:val="32"/>
          <w:lang w:eastAsia="zh-CN"/>
        </w:rPr>
        <w:t>0.00</w:t>
      </w:r>
      <w:r>
        <w:rPr>
          <w:rFonts w:hint="eastAsia" w:ascii="楷体_GB2312" w:hAnsi="楷体_GB2312" w:eastAsia="楷体_GB2312" w:cs="楷体_GB2312"/>
          <w:color w:val="auto"/>
          <w:sz w:val="32"/>
          <w:szCs w:val="32"/>
        </w:rPr>
        <w:t>万元，</w:t>
      </w:r>
      <w:r>
        <w:rPr>
          <w:rFonts w:hint="eastAsia" w:ascii="楷体_GB2312" w:hAnsi="楷体_GB2312" w:eastAsia="楷体_GB2312" w:cs="楷体_GB2312"/>
          <w:color w:val="auto"/>
          <w:sz w:val="32"/>
          <w:szCs w:val="32"/>
          <w:lang w:eastAsia="zh-CN"/>
        </w:rPr>
        <w:t>与上年持平</w:t>
      </w:r>
      <w:r>
        <w:rPr>
          <w:rFonts w:hint="eastAsia" w:ascii="楷体_GB2312" w:hAnsi="楷体_GB2312" w:eastAsia="楷体_GB2312" w:cs="楷体_GB2312"/>
          <w:color w:val="auto"/>
          <w:sz w:val="32"/>
          <w:szCs w:val="32"/>
        </w:rPr>
        <w:t>。其中，公务用车购置</w:t>
      </w:r>
      <w:r>
        <w:rPr>
          <w:rFonts w:hint="eastAsia" w:ascii="楷体_GB2312" w:hAnsi="楷体_GB2312" w:eastAsia="楷体_GB2312" w:cs="楷体_GB2312"/>
          <w:color w:val="auto"/>
          <w:sz w:val="32"/>
          <w:szCs w:val="32"/>
          <w:lang w:eastAsia="zh-CN"/>
        </w:rPr>
        <w:t>0.00</w:t>
      </w:r>
      <w:r>
        <w:rPr>
          <w:rFonts w:hint="eastAsia" w:ascii="楷体_GB2312" w:hAnsi="楷体_GB2312" w:eastAsia="楷体_GB2312" w:cs="楷体_GB2312"/>
          <w:color w:val="auto"/>
          <w:sz w:val="32"/>
          <w:szCs w:val="32"/>
        </w:rPr>
        <w:t>万元，</w:t>
      </w:r>
      <w:r>
        <w:rPr>
          <w:rFonts w:hint="eastAsia" w:ascii="楷体_GB2312" w:hAnsi="楷体_GB2312" w:eastAsia="楷体_GB2312" w:cs="楷体_GB2312"/>
          <w:color w:val="auto"/>
          <w:sz w:val="32"/>
          <w:szCs w:val="32"/>
          <w:lang w:eastAsia="zh-CN"/>
        </w:rPr>
        <w:t>与上年持平</w:t>
      </w:r>
      <w:r>
        <w:rPr>
          <w:rFonts w:hint="eastAsia" w:ascii="楷体_GB2312" w:hAnsi="楷体_GB2312" w:eastAsia="楷体_GB2312" w:cs="楷体_GB2312"/>
          <w:color w:val="auto"/>
          <w:sz w:val="32"/>
          <w:szCs w:val="32"/>
        </w:rPr>
        <w:t>；公务用车运行维护费</w:t>
      </w:r>
      <w:r>
        <w:rPr>
          <w:rFonts w:hint="eastAsia" w:ascii="楷体_GB2312" w:hAnsi="楷体_GB2312" w:eastAsia="楷体_GB2312" w:cs="楷体_GB2312"/>
          <w:color w:val="auto"/>
          <w:sz w:val="32"/>
          <w:szCs w:val="32"/>
          <w:lang w:eastAsia="zh-CN"/>
        </w:rPr>
        <w:t>0.00</w:t>
      </w:r>
      <w:r>
        <w:rPr>
          <w:rFonts w:hint="eastAsia" w:ascii="楷体_GB2312" w:hAnsi="楷体_GB2312" w:eastAsia="楷体_GB2312" w:cs="楷体_GB2312"/>
          <w:color w:val="auto"/>
          <w:sz w:val="32"/>
          <w:szCs w:val="32"/>
        </w:rPr>
        <w:t>万元，</w:t>
      </w:r>
      <w:r>
        <w:rPr>
          <w:rFonts w:hint="eastAsia" w:ascii="楷体_GB2312" w:hAnsi="楷体_GB2312" w:eastAsia="楷体_GB2312" w:cs="楷体_GB2312"/>
          <w:color w:val="auto"/>
          <w:sz w:val="32"/>
          <w:szCs w:val="32"/>
          <w:lang w:eastAsia="zh-CN"/>
        </w:rPr>
        <w:t>与上年持平</w:t>
      </w:r>
      <w:r>
        <w:rPr>
          <w:rFonts w:hint="eastAsia" w:ascii="楷体_GB2312" w:hAnsi="楷体_GB2312" w:eastAsia="楷体_GB2312" w:cs="楷体_GB2312"/>
          <w:color w:val="auto"/>
          <w:sz w:val="32"/>
          <w:szCs w:val="32"/>
        </w:rPr>
        <w:t>。</w:t>
      </w:r>
    </w:p>
    <w:p>
      <w:pPr>
        <w:pStyle w:val="17"/>
        <w:tabs>
          <w:tab w:val="left" w:pos="1263"/>
        </w:tabs>
        <w:spacing w:line="559" w:lineRule="exact"/>
        <w:ind w:firstLine="660"/>
        <w:jc w:val="both"/>
        <w:rPr>
          <w:rFonts w:ascii="楷体_GB2312" w:hAnsi="楷体_GB2312" w:eastAsia="楷体_GB2312" w:cs="楷体_GB2312"/>
          <w:sz w:val="32"/>
          <w:szCs w:val="32"/>
        </w:rPr>
      </w:pPr>
      <w:bookmarkStart w:id="39" w:name="bookmark43"/>
      <w:r>
        <w:rPr>
          <w:rFonts w:hint="eastAsia" w:ascii="楷体_GB2312" w:hAnsi="楷体_GB2312" w:eastAsia="楷体_GB2312" w:cs="楷体_GB2312"/>
          <w:sz w:val="32"/>
          <w:szCs w:val="32"/>
        </w:rPr>
        <w:t>四</w:t>
      </w:r>
      <w:bookmarkEnd w:id="39"/>
      <w:r>
        <w:rPr>
          <w:rFonts w:hint="eastAsia" w:ascii="楷体_GB2312" w:hAnsi="楷体_GB2312" w:eastAsia="楷体_GB2312" w:cs="楷体_GB2312"/>
          <w:sz w:val="32"/>
          <w:szCs w:val="32"/>
        </w:rPr>
        <w:t>、机关运行经费安排情况说明</w:t>
      </w:r>
    </w:p>
    <w:p>
      <w:pPr>
        <w:pStyle w:val="17"/>
        <w:spacing w:line="559" w:lineRule="exact"/>
        <w:ind w:firstLine="66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机关运行经费，是指各部门的公用经费，包括办公及印刷 费、邮电费、差旅费、会议费、福利费、日常维修费、专业材 料及一般设备购置费、办公用房水电费、办公用房取暖费、办 公用房物业管理费、公务用车运行维护费以及其他费用。</w:t>
      </w:r>
    </w:p>
    <w:p>
      <w:pPr>
        <w:pStyle w:val="17"/>
        <w:spacing w:line="559" w:lineRule="exact"/>
        <w:ind w:firstLine="66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年，我单位机关运行经费财政拨款预算</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与上年持平</w:t>
      </w:r>
      <w:r>
        <w:rPr>
          <w:rFonts w:hint="eastAsia" w:ascii="楷体_GB2312" w:hAnsi="楷体_GB2312" w:eastAsia="楷体_GB2312" w:cs="楷体_GB2312"/>
          <w:sz w:val="32"/>
          <w:szCs w:val="32"/>
        </w:rPr>
        <w:t>。</w:t>
      </w:r>
    </w:p>
    <w:p>
      <w:pPr>
        <w:pStyle w:val="17"/>
        <w:tabs>
          <w:tab w:val="left" w:pos="1261"/>
        </w:tabs>
        <w:spacing w:line="562" w:lineRule="exact"/>
        <w:ind w:firstLine="640"/>
        <w:jc w:val="both"/>
        <w:rPr>
          <w:rFonts w:ascii="楷体_GB2312" w:hAnsi="楷体_GB2312" w:eastAsia="楷体_GB2312" w:cs="楷体_GB2312"/>
          <w:sz w:val="32"/>
          <w:szCs w:val="32"/>
        </w:rPr>
      </w:pPr>
      <w:bookmarkStart w:id="40" w:name="bookmark47"/>
      <w:r>
        <w:rPr>
          <w:rFonts w:hint="eastAsia" w:ascii="楷体_GB2312" w:hAnsi="楷体_GB2312" w:eastAsia="楷体_GB2312" w:cs="楷体_GB2312"/>
          <w:sz w:val="32"/>
          <w:szCs w:val="32"/>
        </w:rPr>
        <w:t>五</w:t>
      </w:r>
      <w:bookmarkEnd w:id="40"/>
      <w:r>
        <w:rPr>
          <w:rFonts w:hint="eastAsia" w:ascii="楷体_GB2312" w:hAnsi="楷体_GB2312" w:eastAsia="楷体_GB2312" w:cs="楷体_GB2312"/>
          <w:sz w:val="32"/>
          <w:szCs w:val="32"/>
        </w:rPr>
        <w:t>、政府采购预算情况说明</w:t>
      </w:r>
    </w:p>
    <w:p>
      <w:pPr>
        <w:pStyle w:val="17"/>
        <w:spacing w:line="562"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政府采购预算总额</w:t>
      </w:r>
      <w:r>
        <w:rPr>
          <w:rFonts w:hint="eastAsia" w:ascii="楷体_GB2312" w:hAnsi="楷体_GB2312" w:eastAsia="楷体_GB2312" w:cs="楷体_GB2312"/>
          <w:sz w:val="32"/>
          <w:szCs w:val="32"/>
          <w:lang w:val="en-US" w:eastAsia="zh-CN"/>
        </w:rPr>
        <w:t>0.00</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p>
    <w:p>
      <w:pPr>
        <w:pStyle w:val="17"/>
        <w:tabs>
          <w:tab w:val="left" w:pos="1261"/>
        </w:tabs>
        <w:spacing w:line="533" w:lineRule="exact"/>
        <w:ind w:left="640" w:firstLine="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 xml:space="preserve">政府性基金预算财政拨款支出情况说明 </w:t>
      </w:r>
    </w:p>
    <w:p>
      <w:pPr>
        <w:pStyle w:val="17"/>
        <w:tabs>
          <w:tab w:val="left" w:pos="1261"/>
        </w:tabs>
        <w:spacing w:line="533" w:lineRule="exact"/>
        <w:ind w:left="640" w:firstLine="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我单位</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年无政府性基金支出预算。</w:t>
      </w:r>
    </w:p>
    <w:p>
      <w:pPr>
        <w:pStyle w:val="15"/>
        <w:keepNext/>
        <w:keepLines/>
        <w:spacing w:after="540"/>
        <w:jc w:val="center"/>
        <w:rPr>
          <w:rFonts w:ascii="楷体_GB2312" w:hAnsi="楷体_GB2312" w:eastAsia="楷体_GB2312" w:cs="楷体_GB2312"/>
          <w:sz w:val="32"/>
          <w:szCs w:val="32"/>
        </w:rPr>
      </w:pPr>
      <w:bookmarkStart w:id="41" w:name="bookmark52"/>
      <w:bookmarkStart w:id="42" w:name="bookmark53"/>
      <w:bookmarkStart w:id="43" w:name="bookmark54"/>
    </w:p>
    <w:p>
      <w:pPr>
        <w:pStyle w:val="15"/>
        <w:keepNext/>
        <w:keepLines/>
        <w:spacing w:after="54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第三部分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其他公开事项说明</w:t>
      </w:r>
      <w:bookmarkEnd w:id="41"/>
      <w:bookmarkEnd w:id="42"/>
      <w:bookmarkEnd w:id="43"/>
    </w:p>
    <w:p>
      <w:pPr>
        <w:pStyle w:val="17"/>
        <w:spacing w:line="569" w:lineRule="exact"/>
        <w:ind w:firstLine="78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一、项目支出绩效目标情况说明</w:t>
      </w:r>
    </w:p>
    <w:p>
      <w:pPr>
        <w:pStyle w:val="17"/>
        <w:spacing w:line="569"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rPr>
        <w:t>年，填报绩效目标的预算项目</w:t>
      </w:r>
      <w:r>
        <w:rPr>
          <w:rFonts w:hint="eastAsia" w:ascii="楷体_GB2312" w:hAnsi="楷体_GB2312" w:eastAsia="楷体_GB2312" w:cs="楷体_GB2312"/>
          <w:sz w:val="32"/>
          <w:szCs w:val="32"/>
          <w:lang w:val="en-US" w:eastAsia="zh-CN" w:bidi="en-US"/>
        </w:rPr>
        <w:t>1</w:t>
      </w:r>
      <w:r>
        <w:rPr>
          <w:rFonts w:hint="eastAsia" w:ascii="楷体_GB2312" w:hAnsi="楷体_GB2312" w:eastAsia="楷体_GB2312" w:cs="楷体_GB2312"/>
          <w:sz w:val="32"/>
          <w:szCs w:val="32"/>
        </w:rPr>
        <w:t>个，公开绩效目标</w:t>
      </w:r>
      <w:r>
        <w:rPr>
          <w:rFonts w:hint="eastAsia" w:ascii="楷体_GB2312" w:hAnsi="楷体_GB2312" w:eastAsia="楷体_GB2312" w:cs="楷体_GB2312"/>
          <w:sz w:val="32"/>
          <w:szCs w:val="32"/>
          <w:lang w:val="en-US" w:eastAsia="zh-CN" w:bidi="en-US"/>
        </w:rPr>
        <w:t>1</w:t>
      </w:r>
      <w:r>
        <w:rPr>
          <w:rFonts w:hint="eastAsia" w:ascii="楷体_GB2312" w:hAnsi="楷体_GB2312" w:eastAsia="楷体_GB2312" w:cs="楷体_GB2312"/>
          <w:sz w:val="32"/>
          <w:szCs w:val="32"/>
        </w:rPr>
        <w:t>个，公开项目占全部预算项目的</w:t>
      </w:r>
      <w:r>
        <w:rPr>
          <w:rFonts w:hint="eastAsia" w:ascii="楷体_GB2312" w:hAnsi="楷体_GB2312" w:eastAsia="楷体_GB2312" w:cs="楷体_GB2312"/>
          <w:sz w:val="32"/>
          <w:szCs w:val="32"/>
          <w:lang w:val="en-US" w:eastAsia="zh-CN"/>
        </w:rPr>
        <w:t>100</w:t>
      </w:r>
      <w:r>
        <w:rPr>
          <w:rFonts w:hint="eastAsia" w:ascii="楷体_GB2312" w:hAnsi="楷体_GB2312" w:eastAsia="楷体_GB2312" w:cs="楷体_GB2312"/>
          <w:sz w:val="32"/>
          <w:szCs w:val="32"/>
        </w:rPr>
        <w:t>%。公开填报绩效目标的项目支出预算</w:t>
      </w:r>
      <w:r>
        <w:rPr>
          <w:rFonts w:hint="eastAsia" w:ascii="楷体_GB2312" w:hAnsi="楷体_GB2312" w:eastAsia="楷体_GB2312" w:cs="楷体_GB2312"/>
          <w:sz w:val="32"/>
          <w:szCs w:val="32"/>
          <w:lang w:val="en-US" w:eastAsia="zh-CN"/>
        </w:rPr>
        <w:t>10.00</w:t>
      </w:r>
      <w:r>
        <w:rPr>
          <w:rFonts w:hint="eastAsia" w:ascii="楷体_GB2312" w:hAnsi="楷体_GB2312" w:eastAsia="楷体_GB2312" w:cs="楷体_GB2312"/>
          <w:sz w:val="32"/>
          <w:szCs w:val="32"/>
        </w:rPr>
        <w:t>万元，占全部项目支出预算的</w:t>
      </w:r>
      <w:r>
        <w:rPr>
          <w:rFonts w:hint="eastAsia" w:ascii="楷体_GB2312" w:hAnsi="楷体_GB2312" w:eastAsia="楷体_GB2312" w:cs="楷体_GB2312"/>
          <w:sz w:val="32"/>
          <w:szCs w:val="32"/>
          <w:lang w:val="en-US" w:eastAsia="zh-CN"/>
        </w:rPr>
        <w:t>100</w:t>
      </w:r>
      <w:r>
        <w:rPr>
          <w:rFonts w:hint="eastAsia" w:ascii="楷体_GB2312" w:hAnsi="楷体_GB2312" w:eastAsia="楷体_GB2312" w:cs="楷体_GB2312"/>
          <w:sz w:val="32"/>
          <w:szCs w:val="32"/>
        </w:rPr>
        <w:t>%。</w:t>
      </w:r>
    </w:p>
    <w:p>
      <w:pPr>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市纪委检委派驻机构工作经费10.00万元，加强监督派驻部门对中央和自治区、市委重大决策部署执行情况，坚决查处有令不行、有禁不止的行为，开展对新形势下党内政治生活若干准则等制度执行情况的监督检查，发现问题及时督促整改。</w:t>
      </w:r>
    </w:p>
    <w:p>
      <w:pPr>
        <w:pStyle w:val="17"/>
        <w:spacing w:after="220" w:line="240" w:lineRule="auto"/>
        <w:ind w:firstLine="640"/>
        <w:jc w:val="both"/>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二、国有资产占有使用情况说明</w:t>
      </w:r>
    </w:p>
    <w:p>
      <w:pPr>
        <w:pStyle w:val="17"/>
        <w:spacing w:line="240" w:lineRule="auto"/>
        <w:ind w:firstLine="640"/>
        <w:jc w:val="both"/>
        <w:rPr>
          <w:rFonts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截至20</w:t>
      </w:r>
      <w:r>
        <w:rPr>
          <w:rFonts w:hint="eastAsia" w:ascii="楷体_GB2312" w:hAnsi="楷体_GB2312" w:eastAsia="楷体_GB2312" w:cs="楷体_GB2312"/>
          <w:color w:val="auto"/>
          <w:sz w:val="32"/>
          <w:szCs w:val="32"/>
          <w:lang w:eastAsia="zh-CN"/>
        </w:rPr>
        <w:t>20</w:t>
      </w:r>
      <w:r>
        <w:rPr>
          <w:rFonts w:hint="eastAsia" w:ascii="楷体_GB2312" w:hAnsi="楷体_GB2312" w:eastAsia="楷体_GB2312" w:cs="楷体_GB2312"/>
          <w:color w:val="auto"/>
          <w:sz w:val="32"/>
          <w:szCs w:val="32"/>
        </w:rPr>
        <w:t>年末，共有车辆</w:t>
      </w:r>
      <w:r>
        <w:rPr>
          <w:rFonts w:hint="eastAsia" w:ascii="楷体_GB2312" w:hAnsi="楷体_GB2312" w:eastAsia="楷体_GB2312" w:cs="楷体_GB2312"/>
          <w:color w:val="auto"/>
          <w:sz w:val="32"/>
          <w:szCs w:val="32"/>
          <w:lang w:val="en-US" w:eastAsia="zh-CN"/>
        </w:rPr>
        <w:t>16</w:t>
      </w:r>
      <w:r>
        <w:rPr>
          <w:rFonts w:hint="eastAsia" w:ascii="楷体_GB2312" w:hAnsi="楷体_GB2312" w:eastAsia="楷体_GB2312" w:cs="楷体_GB2312"/>
          <w:color w:val="auto"/>
          <w:sz w:val="32"/>
          <w:szCs w:val="32"/>
        </w:rPr>
        <w:t>辆，</w:t>
      </w:r>
      <w:r>
        <w:rPr>
          <w:rFonts w:hint="eastAsia" w:ascii="楷体_GB2312" w:hAnsi="楷体_GB2312" w:eastAsia="楷体_GB2312" w:cs="楷体_GB2312"/>
          <w:color w:val="auto"/>
          <w:sz w:val="32"/>
          <w:szCs w:val="32"/>
          <w:lang w:eastAsia="zh-CN"/>
        </w:rPr>
        <w:t>其中：特种专业技术用车11辆、其他用车5辆；</w:t>
      </w:r>
      <w:r>
        <w:rPr>
          <w:rFonts w:hint="eastAsia" w:ascii="楷体_GB2312" w:hAnsi="楷体_GB2312" w:eastAsia="楷体_GB2312" w:cs="楷体_GB2312"/>
          <w:color w:val="auto"/>
          <w:sz w:val="32"/>
          <w:szCs w:val="32"/>
        </w:rPr>
        <w:t>单位价值</w:t>
      </w:r>
      <w:r>
        <w:rPr>
          <w:rFonts w:hint="eastAsia" w:ascii="楷体_GB2312" w:hAnsi="楷体_GB2312" w:eastAsia="楷体_GB2312" w:cs="楷体_GB2312"/>
          <w:color w:val="auto"/>
          <w:sz w:val="32"/>
          <w:szCs w:val="32"/>
          <w:lang w:val="en-US" w:eastAsia="zh-CN"/>
        </w:rPr>
        <w:t>50</w:t>
      </w:r>
      <w:r>
        <w:rPr>
          <w:rFonts w:hint="eastAsia" w:ascii="楷体_GB2312" w:hAnsi="楷体_GB2312" w:eastAsia="楷体_GB2312" w:cs="楷体_GB2312"/>
          <w:color w:val="auto"/>
          <w:sz w:val="32"/>
          <w:szCs w:val="32"/>
        </w:rPr>
        <w:t>万元以上</w:t>
      </w:r>
      <w:r>
        <w:rPr>
          <w:rFonts w:hint="eastAsia" w:ascii="楷体_GB2312" w:hAnsi="楷体_GB2312" w:eastAsia="楷体_GB2312" w:cs="楷体_GB2312"/>
          <w:color w:val="auto"/>
          <w:sz w:val="32"/>
          <w:szCs w:val="32"/>
          <w:lang w:eastAsia="zh-CN"/>
        </w:rPr>
        <w:t>的通用设备35</w:t>
      </w:r>
      <w:r>
        <w:rPr>
          <w:rFonts w:hint="eastAsia" w:ascii="楷体_GB2312" w:hAnsi="楷体_GB2312" w:eastAsia="楷体_GB2312" w:cs="楷体_GB2312"/>
          <w:color w:val="auto"/>
          <w:sz w:val="32"/>
          <w:szCs w:val="32"/>
        </w:rPr>
        <w:t>台（套）</w:t>
      </w:r>
      <w:r>
        <w:rPr>
          <w:rFonts w:hint="eastAsia" w:ascii="楷体_GB2312" w:hAnsi="楷体_GB2312" w:eastAsia="楷体_GB2312" w:cs="楷体_GB2312"/>
          <w:color w:val="auto"/>
          <w:sz w:val="32"/>
          <w:szCs w:val="32"/>
          <w:lang w:eastAsia="zh-CN"/>
        </w:rPr>
        <w:t>；价值</w:t>
      </w:r>
      <w:r>
        <w:rPr>
          <w:rFonts w:hint="eastAsia" w:ascii="楷体_GB2312" w:hAnsi="楷体_GB2312" w:eastAsia="楷体_GB2312" w:cs="楷体_GB2312"/>
          <w:color w:val="auto"/>
          <w:sz w:val="32"/>
          <w:szCs w:val="32"/>
          <w:lang w:val="en-US" w:eastAsia="zh-CN"/>
        </w:rPr>
        <w:t>100万元以上的专用设备</w:t>
      </w:r>
      <w:r>
        <w:rPr>
          <w:rFonts w:hint="eastAsia" w:ascii="楷体_GB2312" w:hAnsi="楷体_GB2312" w:eastAsia="楷体_GB2312" w:cs="楷体_GB2312"/>
          <w:color w:val="auto"/>
          <w:sz w:val="32"/>
          <w:szCs w:val="32"/>
          <w:lang w:eastAsia="zh-CN"/>
        </w:rPr>
        <w:t>150</w:t>
      </w:r>
      <w:r>
        <w:rPr>
          <w:rFonts w:hint="eastAsia" w:ascii="楷体_GB2312" w:hAnsi="楷体_GB2312" w:eastAsia="楷体_GB2312" w:cs="楷体_GB2312"/>
          <w:color w:val="auto"/>
          <w:sz w:val="32"/>
          <w:szCs w:val="32"/>
        </w:rPr>
        <w:t>台（套）。</w:t>
      </w:r>
    </w:p>
    <w:p>
      <w:pPr>
        <w:pStyle w:val="17"/>
        <w:spacing w:line="240" w:lineRule="auto"/>
        <w:ind w:firstLine="640"/>
        <w:jc w:val="both"/>
        <w:rPr>
          <w:rFonts w:ascii="楷体_GB2312" w:hAnsi="楷体_GB2312" w:eastAsia="楷体_GB2312" w:cs="楷体_GB2312"/>
          <w:color w:val="auto"/>
          <w:sz w:val="32"/>
          <w:szCs w:val="32"/>
          <w:lang w:val="en-US" w:eastAsia="zh-CN" w:bidi="en-US"/>
        </w:rPr>
      </w:pPr>
    </w:p>
    <w:p>
      <w:pPr>
        <w:pStyle w:val="15"/>
        <w:keepNext/>
        <w:keepLines/>
        <w:spacing w:after="560" w:line="564" w:lineRule="exact"/>
        <w:jc w:val="center"/>
        <w:rPr>
          <w:rFonts w:ascii="楷体_GB2312" w:hAnsi="楷体_GB2312" w:eastAsia="楷体_GB2312" w:cs="楷体_GB2312"/>
          <w:sz w:val="32"/>
          <w:szCs w:val="32"/>
        </w:rPr>
      </w:pPr>
      <w:bookmarkStart w:id="44" w:name="bookmark55"/>
      <w:bookmarkStart w:id="45" w:name="bookmark57"/>
      <w:bookmarkStart w:id="46" w:name="bookmark56"/>
      <w:r>
        <w:rPr>
          <w:rFonts w:hint="eastAsia" w:ascii="楷体_GB2312" w:hAnsi="楷体_GB2312" w:eastAsia="楷体_GB2312" w:cs="楷体_GB2312"/>
          <w:sz w:val="32"/>
          <w:szCs w:val="32"/>
        </w:rPr>
        <w:t>第四部分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名词解释</w:t>
      </w:r>
      <w:bookmarkEnd w:id="44"/>
      <w:bookmarkEnd w:id="45"/>
      <w:bookmarkEnd w:id="46"/>
    </w:p>
    <w:p>
      <w:pPr>
        <w:pStyle w:val="17"/>
        <w:tabs>
          <w:tab w:val="left" w:pos="1083"/>
        </w:tabs>
        <w:spacing w:line="564" w:lineRule="exact"/>
        <w:ind w:firstLine="660"/>
        <w:jc w:val="both"/>
        <w:rPr>
          <w:rFonts w:ascii="楷体_GB2312" w:hAnsi="楷体_GB2312" w:eastAsia="楷体_GB2312" w:cs="楷体_GB2312"/>
          <w:sz w:val="32"/>
          <w:szCs w:val="32"/>
        </w:rPr>
      </w:pPr>
      <w:bookmarkStart w:id="47" w:name="bookmark58"/>
      <w:r>
        <w:rPr>
          <w:rFonts w:hint="eastAsia" w:ascii="楷体_GB2312" w:hAnsi="楷体_GB2312" w:eastAsia="楷体_GB2312" w:cs="楷体_GB2312"/>
          <w:sz w:val="32"/>
          <w:szCs w:val="32"/>
        </w:rPr>
        <w:t>1</w:t>
      </w:r>
      <w:bookmarkEnd w:id="47"/>
      <w:r>
        <w:rPr>
          <w:rFonts w:hint="eastAsia" w:ascii="楷体_GB2312" w:hAnsi="楷体_GB2312" w:eastAsia="楷体_GB2312" w:cs="楷体_GB2312"/>
          <w:sz w:val="32"/>
          <w:szCs w:val="32"/>
        </w:rPr>
        <w:t>、一般公共预算财政拨款收入:是指财政当年拨付的资金。</w:t>
      </w:r>
    </w:p>
    <w:p>
      <w:pPr>
        <w:pStyle w:val="17"/>
        <w:tabs>
          <w:tab w:val="left" w:pos="1071"/>
        </w:tabs>
        <w:spacing w:line="583" w:lineRule="exact"/>
        <w:ind w:firstLine="660"/>
        <w:jc w:val="both"/>
        <w:rPr>
          <w:rFonts w:ascii="楷体_GB2312" w:hAnsi="楷体_GB2312" w:eastAsia="楷体_GB2312" w:cs="楷体_GB2312"/>
          <w:sz w:val="32"/>
          <w:szCs w:val="32"/>
        </w:rPr>
      </w:pPr>
      <w:bookmarkStart w:id="48" w:name="bookmark59"/>
      <w:r>
        <w:rPr>
          <w:rFonts w:hint="eastAsia" w:ascii="楷体_GB2312" w:hAnsi="楷体_GB2312" w:eastAsia="楷体_GB2312" w:cs="楷体_GB2312"/>
          <w:sz w:val="32"/>
          <w:szCs w:val="32"/>
        </w:rPr>
        <w:t>2</w:t>
      </w:r>
      <w:bookmarkEnd w:id="48"/>
      <w:r>
        <w:rPr>
          <w:rFonts w:hint="eastAsia" w:ascii="楷体_GB2312" w:hAnsi="楷体_GB2312" w:eastAsia="楷体_GB2312" w:cs="楷体_GB2312"/>
          <w:sz w:val="32"/>
          <w:szCs w:val="32"/>
        </w:rPr>
        <w:t>、事业收入：是指事业单位开展专业业务活动及辅助活动 所取得的收入。</w:t>
      </w:r>
    </w:p>
    <w:p>
      <w:pPr>
        <w:pStyle w:val="17"/>
        <w:tabs>
          <w:tab w:val="left" w:pos="1093"/>
        </w:tabs>
        <w:spacing w:line="564" w:lineRule="exact"/>
        <w:ind w:firstLine="660"/>
        <w:jc w:val="both"/>
        <w:rPr>
          <w:rFonts w:ascii="楷体_GB2312" w:hAnsi="楷体_GB2312" w:eastAsia="楷体_GB2312" w:cs="楷体_GB2312"/>
          <w:sz w:val="32"/>
          <w:szCs w:val="32"/>
        </w:rPr>
      </w:pPr>
      <w:bookmarkStart w:id="49" w:name="bookmark60"/>
      <w:r>
        <w:rPr>
          <w:rFonts w:hint="eastAsia" w:ascii="楷体_GB2312" w:hAnsi="楷体_GB2312" w:eastAsia="楷体_GB2312" w:cs="楷体_GB2312"/>
          <w:sz w:val="32"/>
          <w:szCs w:val="32"/>
        </w:rPr>
        <w:t>3</w:t>
      </w:r>
      <w:bookmarkEnd w:id="49"/>
      <w:r>
        <w:rPr>
          <w:rFonts w:hint="eastAsia" w:ascii="楷体_GB2312" w:hAnsi="楷体_GB2312" w:eastAsia="楷体_GB2312" w:cs="楷体_GB2312"/>
          <w:sz w:val="32"/>
          <w:szCs w:val="32"/>
        </w:rPr>
        <w:t>、事业单位经营收入：是指事业单位在专业业务活动及 其辅助活动之外开展非独立核算经营活动取得的收入。</w:t>
      </w:r>
    </w:p>
    <w:p>
      <w:pPr>
        <w:pStyle w:val="17"/>
        <w:tabs>
          <w:tab w:val="left" w:pos="1086"/>
        </w:tabs>
        <w:spacing w:line="564" w:lineRule="exact"/>
        <w:ind w:left="180" w:firstLine="480"/>
        <w:jc w:val="both"/>
        <w:rPr>
          <w:rFonts w:ascii="楷体_GB2312" w:hAnsi="楷体_GB2312" w:eastAsia="楷体_GB2312" w:cs="楷体_GB2312"/>
          <w:sz w:val="32"/>
          <w:szCs w:val="32"/>
        </w:rPr>
      </w:pPr>
      <w:bookmarkStart w:id="50" w:name="bookmark61"/>
      <w:r>
        <w:rPr>
          <w:rFonts w:hint="eastAsia" w:ascii="楷体_GB2312" w:hAnsi="楷体_GB2312" w:eastAsia="楷体_GB2312" w:cs="楷体_GB2312"/>
          <w:sz w:val="32"/>
          <w:szCs w:val="32"/>
        </w:rPr>
        <w:t>4</w:t>
      </w:r>
      <w:bookmarkEnd w:id="50"/>
      <w:r>
        <w:rPr>
          <w:rFonts w:hint="eastAsia" w:ascii="楷体_GB2312" w:hAnsi="楷体_GB2312" w:eastAsia="楷体_GB2312" w:cs="楷体_GB2312"/>
          <w:sz w:val="32"/>
          <w:szCs w:val="32"/>
        </w:rPr>
        <w:t>、其他收入：是指除上述</w:t>
      </w:r>
      <w:r>
        <w:rPr>
          <w:rFonts w:hint="eastAsia" w:ascii="楷体_GB2312" w:hAnsi="楷体_GB2312" w:eastAsia="楷体_GB2312" w:cs="楷体_GB2312"/>
          <w:sz w:val="32"/>
          <w:szCs w:val="32"/>
          <w:lang w:val="zh-CN" w:eastAsia="zh-CN" w:bidi="zh-CN"/>
        </w:rPr>
        <w:t>“一</w:t>
      </w:r>
      <w:r>
        <w:rPr>
          <w:rFonts w:hint="eastAsia" w:ascii="楷体_GB2312" w:hAnsi="楷体_GB2312" w:eastAsia="楷体_GB2312" w:cs="楷体_GB2312"/>
          <w:sz w:val="32"/>
          <w:szCs w:val="32"/>
        </w:rPr>
        <w:t xml:space="preserve">般公共预算财政拨款收入”、 </w:t>
      </w:r>
      <w:r>
        <w:rPr>
          <w:rFonts w:hint="eastAsia" w:ascii="楷体_GB2312" w:hAnsi="楷体_GB2312" w:eastAsia="楷体_GB2312" w:cs="楷体_GB2312"/>
          <w:sz w:val="32"/>
          <w:szCs w:val="32"/>
          <w:lang w:val="zh-CN" w:eastAsia="zh-CN" w:bidi="zh-CN"/>
        </w:rPr>
        <w:t>“事业</w:t>
      </w:r>
      <w:r>
        <w:rPr>
          <w:rFonts w:hint="eastAsia" w:ascii="楷体_GB2312" w:hAnsi="楷体_GB2312" w:eastAsia="楷体_GB2312" w:cs="楷体_GB2312"/>
          <w:sz w:val="32"/>
          <w:szCs w:val="32"/>
        </w:rPr>
        <w:t>收入”</w:t>
      </w:r>
      <w:r>
        <w:rPr>
          <w:rFonts w:hint="eastAsia" w:ascii="楷体_GB2312" w:hAnsi="楷体_GB2312" w:eastAsia="楷体_GB2312" w:cs="楷体_GB2312"/>
          <w:sz w:val="32"/>
          <w:szCs w:val="32"/>
          <w:lang w:val="zh-CN" w:eastAsia="zh-CN" w:bidi="zh-CN"/>
        </w:rPr>
        <w:t>、“事</w:t>
      </w:r>
      <w:r>
        <w:rPr>
          <w:rFonts w:hint="eastAsia" w:ascii="楷体_GB2312" w:hAnsi="楷体_GB2312" w:eastAsia="楷体_GB2312" w:cs="楷体_GB2312"/>
          <w:sz w:val="32"/>
          <w:szCs w:val="32"/>
        </w:rPr>
        <w:t>业单位经营收入”等以外的收入。主要是指按规定动用的售房收入、存款利息收入等。</w:t>
      </w:r>
    </w:p>
    <w:p>
      <w:pPr>
        <w:pStyle w:val="17"/>
        <w:tabs>
          <w:tab w:val="left" w:pos="1100"/>
        </w:tabs>
        <w:spacing w:line="564" w:lineRule="exact"/>
        <w:ind w:firstLine="660"/>
        <w:jc w:val="both"/>
        <w:rPr>
          <w:rFonts w:ascii="楷体_GB2312" w:hAnsi="楷体_GB2312" w:eastAsia="楷体_GB2312" w:cs="楷体_GB2312"/>
          <w:sz w:val="32"/>
          <w:szCs w:val="32"/>
        </w:rPr>
      </w:pPr>
      <w:bookmarkStart w:id="51" w:name="bookmark62"/>
      <w:r>
        <w:rPr>
          <w:rFonts w:hint="eastAsia" w:ascii="楷体_GB2312" w:hAnsi="楷体_GB2312" w:eastAsia="楷体_GB2312" w:cs="楷体_GB2312"/>
          <w:sz w:val="32"/>
          <w:szCs w:val="32"/>
        </w:rPr>
        <w:t>5</w:t>
      </w:r>
      <w:bookmarkEnd w:id="51"/>
      <w:r>
        <w:rPr>
          <w:rFonts w:hint="eastAsia" w:ascii="楷体_GB2312" w:hAnsi="楷体_GB2312" w:eastAsia="楷体_GB2312" w:cs="楷体_GB2312"/>
          <w:sz w:val="32"/>
          <w:szCs w:val="32"/>
        </w:rPr>
        <w:t>、用事业基金弥补收支差额：是指事业单位在预计用当 年的</w:t>
      </w:r>
      <w:r>
        <w:rPr>
          <w:rFonts w:hint="eastAsia" w:ascii="楷体_GB2312" w:hAnsi="楷体_GB2312" w:eastAsia="楷体_GB2312" w:cs="楷体_GB2312"/>
          <w:sz w:val="32"/>
          <w:szCs w:val="32"/>
          <w:lang w:val="zh-CN" w:eastAsia="zh-CN" w:bidi="zh-CN"/>
        </w:rPr>
        <w:t>“一</w:t>
      </w:r>
      <w:r>
        <w:rPr>
          <w:rFonts w:hint="eastAsia" w:ascii="楷体_GB2312" w:hAnsi="楷体_GB2312" w:eastAsia="楷体_GB2312" w:cs="楷体_GB2312"/>
          <w:sz w:val="32"/>
          <w:szCs w:val="32"/>
        </w:rPr>
        <w:t>般公共预算财政拨款收入”</w:t>
      </w:r>
      <w:r>
        <w:rPr>
          <w:rFonts w:hint="eastAsia" w:ascii="楷体_GB2312" w:hAnsi="楷体_GB2312" w:eastAsia="楷体_GB2312" w:cs="楷体_GB2312"/>
          <w:sz w:val="32"/>
          <w:szCs w:val="32"/>
          <w:lang w:val="zh-CN" w:eastAsia="zh-CN" w:bidi="zh-CN"/>
        </w:rPr>
        <w:t>、“财</w:t>
      </w:r>
      <w:r>
        <w:rPr>
          <w:rFonts w:hint="eastAsia" w:ascii="楷体_GB2312" w:hAnsi="楷体_GB2312" w:eastAsia="楷体_GB2312" w:cs="楷体_GB2312"/>
          <w:sz w:val="32"/>
          <w:szCs w:val="32"/>
        </w:rPr>
        <w:t>政拨款结转和结余资 金”、</w:t>
      </w:r>
      <w:r>
        <w:rPr>
          <w:rFonts w:hint="eastAsia" w:ascii="楷体_GB2312" w:hAnsi="楷体_GB2312" w:eastAsia="楷体_GB2312" w:cs="楷体_GB2312"/>
          <w:sz w:val="32"/>
          <w:szCs w:val="32"/>
          <w:lang w:val="zh-CN" w:eastAsia="zh-CN" w:bidi="zh-CN"/>
        </w:rPr>
        <w:t>“事业</w:t>
      </w:r>
      <w:r>
        <w:rPr>
          <w:rFonts w:hint="eastAsia" w:ascii="楷体_GB2312" w:hAnsi="楷体_GB2312" w:eastAsia="楷体_GB2312" w:cs="楷体_GB2312"/>
          <w:sz w:val="32"/>
          <w:szCs w:val="32"/>
        </w:rPr>
        <w:t>收入”</w:t>
      </w:r>
      <w:r>
        <w:rPr>
          <w:rFonts w:hint="eastAsia" w:ascii="楷体_GB2312" w:hAnsi="楷体_GB2312" w:eastAsia="楷体_GB2312" w:cs="楷体_GB2312"/>
          <w:sz w:val="32"/>
          <w:szCs w:val="32"/>
          <w:lang w:val="zh-CN" w:eastAsia="zh-CN" w:bidi="zh-CN"/>
        </w:rPr>
        <w:t>、“事</w:t>
      </w:r>
      <w:r>
        <w:rPr>
          <w:rFonts w:hint="eastAsia" w:ascii="楷体_GB2312" w:hAnsi="楷体_GB2312" w:eastAsia="楷体_GB2312" w:cs="楷体_GB2312"/>
          <w:sz w:val="32"/>
          <w:szCs w:val="32"/>
        </w:rPr>
        <w:t>业单位经营收入”、</w:t>
      </w:r>
      <w:r>
        <w:rPr>
          <w:rFonts w:hint="eastAsia" w:ascii="楷体_GB2312" w:hAnsi="楷体_GB2312" w:eastAsia="楷体_GB2312" w:cs="楷体_GB2312"/>
          <w:sz w:val="32"/>
          <w:szCs w:val="32"/>
          <w:lang w:val="zh-CN" w:eastAsia="zh-CN" w:bidi="zh-CN"/>
        </w:rPr>
        <w:t>“其他</w:t>
      </w:r>
      <w:r>
        <w:rPr>
          <w:rFonts w:hint="eastAsia" w:ascii="楷体_GB2312" w:hAnsi="楷体_GB2312" w:eastAsia="楷体_GB2312" w:cs="楷体_GB2312"/>
          <w:sz w:val="32"/>
          <w:szCs w:val="32"/>
        </w:rPr>
        <w:t>收入”不足以 安排当年支出的情况下，使用以前年度积累的事业基金（事业 单位当年收支相抵后按国家规定提取、用于弥补以后年度收支 差额的基金）弥补本年收支缺口的资金。</w:t>
      </w:r>
    </w:p>
    <w:p>
      <w:pPr>
        <w:pStyle w:val="17"/>
        <w:tabs>
          <w:tab w:val="left" w:pos="1086"/>
        </w:tabs>
        <w:spacing w:line="564" w:lineRule="exact"/>
        <w:ind w:left="180" w:firstLine="480"/>
        <w:jc w:val="both"/>
        <w:rPr>
          <w:rFonts w:ascii="楷体_GB2312" w:hAnsi="楷体_GB2312" w:eastAsia="楷体_GB2312" w:cs="楷体_GB2312"/>
          <w:sz w:val="32"/>
          <w:szCs w:val="32"/>
        </w:rPr>
      </w:pPr>
      <w:bookmarkStart w:id="52" w:name="bookmark63"/>
      <w:r>
        <w:rPr>
          <w:rFonts w:hint="eastAsia" w:ascii="楷体_GB2312" w:hAnsi="楷体_GB2312" w:eastAsia="楷体_GB2312" w:cs="楷体_GB2312"/>
          <w:sz w:val="32"/>
          <w:szCs w:val="32"/>
        </w:rPr>
        <w:t>6</w:t>
      </w:r>
      <w:bookmarkEnd w:id="52"/>
      <w:r>
        <w:rPr>
          <w:rFonts w:hint="eastAsia" w:ascii="楷体_GB2312" w:hAnsi="楷体_GB2312" w:eastAsia="楷体_GB2312" w:cs="楷体_GB2312"/>
          <w:sz w:val="32"/>
          <w:szCs w:val="32"/>
        </w:rPr>
        <w:t>、上年结转：是指以前年度尚未完成、结转到本年仍按 原规定用途继续使用的资金。</w:t>
      </w:r>
      <w:bookmarkStart w:id="53" w:name="bookmark64"/>
    </w:p>
    <w:p>
      <w:pPr>
        <w:pStyle w:val="17"/>
        <w:tabs>
          <w:tab w:val="left" w:pos="1086"/>
        </w:tabs>
        <w:spacing w:line="564" w:lineRule="exact"/>
        <w:ind w:left="180" w:firstLine="48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7</w:t>
      </w:r>
      <w:bookmarkEnd w:id="53"/>
      <w:r>
        <w:rPr>
          <w:rFonts w:hint="eastAsia" w:ascii="楷体_GB2312" w:hAnsi="楷体_GB2312" w:eastAsia="楷体_GB2312" w:cs="楷体_GB2312"/>
          <w:sz w:val="32"/>
          <w:szCs w:val="32"/>
        </w:rPr>
        <w:t>、基本支出：是指为保障机构正常运转，完成日常工作 任务而发生的人员支出和共用支出。</w:t>
      </w:r>
    </w:p>
    <w:p>
      <w:pPr>
        <w:pStyle w:val="17"/>
        <w:tabs>
          <w:tab w:val="left" w:pos="1086"/>
        </w:tabs>
        <w:spacing w:line="564" w:lineRule="exact"/>
        <w:ind w:left="180" w:firstLine="480"/>
        <w:jc w:val="both"/>
        <w:rPr>
          <w:rFonts w:ascii="楷体_GB2312" w:hAnsi="楷体_GB2312" w:eastAsia="楷体_GB2312" w:cs="楷体_GB2312"/>
          <w:sz w:val="32"/>
          <w:szCs w:val="32"/>
        </w:rPr>
      </w:pPr>
      <w:bookmarkStart w:id="54" w:name="bookmark65"/>
      <w:r>
        <w:rPr>
          <w:rFonts w:hint="eastAsia" w:ascii="楷体_GB2312" w:hAnsi="楷体_GB2312" w:eastAsia="楷体_GB2312" w:cs="楷体_GB2312"/>
          <w:sz w:val="32"/>
          <w:szCs w:val="32"/>
        </w:rPr>
        <w:t>8</w:t>
      </w:r>
      <w:bookmarkEnd w:id="54"/>
      <w:r>
        <w:rPr>
          <w:rFonts w:hint="eastAsia" w:ascii="楷体_GB2312" w:hAnsi="楷体_GB2312" w:eastAsia="楷体_GB2312" w:cs="楷体_GB2312"/>
          <w:sz w:val="32"/>
          <w:szCs w:val="32"/>
        </w:rPr>
        <w:t>、项目支出：是指基本支出之外，为完成特定行政任务 和事业发展目标所发生的支出。</w:t>
      </w:r>
    </w:p>
    <w:p>
      <w:pPr>
        <w:pStyle w:val="17"/>
        <w:tabs>
          <w:tab w:val="left" w:pos="1086"/>
        </w:tabs>
        <w:spacing w:line="564" w:lineRule="exact"/>
        <w:ind w:left="180" w:firstLine="480"/>
        <w:jc w:val="both"/>
        <w:rPr>
          <w:rFonts w:ascii="楷体_GB2312" w:hAnsi="楷体_GB2312" w:eastAsia="楷体_GB2312" w:cs="楷体_GB2312"/>
          <w:sz w:val="32"/>
          <w:szCs w:val="32"/>
        </w:rPr>
      </w:pPr>
      <w:bookmarkStart w:id="55" w:name="bookmark66"/>
      <w:r>
        <w:rPr>
          <w:rFonts w:hint="eastAsia" w:ascii="楷体_GB2312" w:hAnsi="楷体_GB2312" w:eastAsia="楷体_GB2312" w:cs="楷体_GB2312"/>
          <w:sz w:val="32"/>
          <w:szCs w:val="32"/>
        </w:rPr>
        <w:t>9</w:t>
      </w:r>
      <w:bookmarkEnd w:id="55"/>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“三公”经费：纳入财政预决算管理的“三公”经费， 是指部门用财政拨款安排的因公出国（境）费、公务用车购置 及运行费和公务接待费。</w:t>
      </w:r>
    </w:p>
    <w:p>
      <w:pPr>
        <w:pStyle w:val="17"/>
        <w:tabs>
          <w:tab w:val="left" w:pos="1086"/>
        </w:tabs>
        <w:spacing w:line="564" w:lineRule="exact"/>
        <w:ind w:left="180" w:firstLine="480"/>
        <w:jc w:val="both"/>
        <w:rPr>
          <w:rFonts w:ascii="楷体_GB2312" w:hAnsi="楷体_GB2312" w:eastAsia="楷体_GB2312" w:cs="楷体_GB2312"/>
          <w:sz w:val="32"/>
          <w:szCs w:val="32"/>
        </w:rPr>
      </w:pPr>
      <w:bookmarkStart w:id="56" w:name="bookmark67"/>
      <w:r>
        <w:rPr>
          <w:rFonts w:hint="eastAsia" w:ascii="楷体_GB2312" w:hAnsi="楷体_GB2312" w:eastAsia="楷体_GB2312" w:cs="楷体_GB2312"/>
          <w:sz w:val="32"/>
          <w:szCs w:val="32"/>
        </w:rPr>
        <w:t>1</w:t>
      </w:r>
      <w:bookmarkEnd w:id="56"/>
      <w:r>
        <w:rPr>
          <w:rFonts w:hint="eastAsia" w:ascii="楷体_GB2312" w:hAnsi="楷体_GB2312" w:eastAsia="楷体_GB2312" w:cs="楷体_GB2312"/>
          <w:sz w:val="32"/>
          <w:szCs w:val="32"/>
        </w:rPr>
        <w:t>0、机关运行经费：机关运行经费，是指各部门的公用经 费，包括办公及印刷费、邮电费、差旅费、会议费、福利费、 日常维修费、专业材料及一般设备购置费、办公用房水电费、 办公用房取暖费、办公用房物业管理费、公务用车运行维护费 以及其他费用。</w:t>
      </w:r>
    </w:p>
    <w:p>
      <w:pPr>
        <w:pStyle w:val="17"/>
        <w:tabs>
          <w:tab w:val="left" w:pos="1086"/>
        </w:tabs>
        <w:spacing w:line="564" w:lineRule="exact"/>
        <w:ind w:left="180" w:firstLine="480"/>
        <w:jc w:val="both"/>
        <w:rPr>
          <w:rFonts w:ascii="楷体_GB2312" w:hAnsi="楷体_GB2312" w:eastAsia="楷体_GB2312" w:cs="楷体_GB2312"/>
          <w:sz w:val="32"/>
          <w:szCs w:val="32"/>
        </w:rPr>
      </w:pPr>
      <w:bookmarkStart w:id="57" w:name="bookmark68"/>
      <w:r>
        <w:rPr>
          <w:rFonts w:hint="eastAsia" w:ascii="楷体_GB2312" w:hAnsi="楷体_GB2312" w:eastAsia="楷体_GB2312" w:cs="楷体_GB2312"/>
          <w:sz w:val="32"/>
          <w:szCs w:val="32"/>
        </w:rPr>
        <w:t>1</w:t>
      </w:r>
      <w:bookmarkEnd w:id="57"/>
      <w:r>
        <w:rPr>
          <w:rFonts w:hint="eastAsia" w:ascii="楷体_GB2312" w:hAnsi="楷体_GB2312" w:eastAsia="楷体_GB2312" w:cs="楷体_GB2312"/>
          <w:sz w:val="32"/>
          <w:szCs w:val="32"/>
        </w:rPr>
        <w:t>1、工资福利支出（支出经济分类科目类级）：反映单位开 支的在职职工和编制外长期聘用人员的各类活动报酬，以及为 上述人员缴纳的各项社会保险费等。</w:t>
      </w:r>
    </w:p>
    <w:p>
      <w:pPr>
        <w:pStyle w:val="17"/>
        <w:tabs>
          <w:tab w:val="left" w:pos="1086"/>
        </w:tabs>
        <w:spacing w:line="564" w:lineRule="exact"/>
        <w:ind w:left="180" w:firstLine="480"/>
        <w:jc w:val="both"/>
        <w:rPr>
          <w:rFonts w:hint="eastAsia" w:ascii="楷体_GB2312" w:hAnsi="楷体_GB2312" w:eastAsia="楷体_GB2312" w:cs="楷体_GB2312"/>
          <w:sz w:val="32"/>
          <w:szCs w:val="32"/>
          <w:lang w:eastAsia="zh-CN"/>
        </w:rPr>
      </w:pPr>
      <w:bookmarkStart w:id="58" w:name="bookmark69"/>
      <w:r>
        <w:rPr>
          <w:rFonts w:hint="eastAsia" w:ascii="楷体_GB2312" w:hAnsi="楷体_GB2312" w:eastAsia="楷体_GB2312" w:cs="楷体_GB2312"/>
          <w:sz w:val="32"/>
          <w:szCs w:val="32"/>
        </w:rPr>
        <w:t>1</w:t>
      </w:r>
      <w:bookmarkEnd w:id="58"/>
      <w:r>
        <w:rPr>
          <w:rFonts w:hint="eastAsia" w:ascii="楷体_GB2312" w:hAnsi="楷体_GB2312" w:eastAsia="楷体_GB2312" w:cs="楷体_GB2312"/>
          <w:sz w:val="32"/>
          <w:szCs w:val="32"/>
        </w:rPr>
        <w:t>2、商品和服务支出（支出经济分类科目类级）：反映单位 购买商品和服务的支出（不包括用于购置固定资产的支出、战 略性和应急储备支出）。</w:t>
      </w:r>
    </w:p>
    <w:p>
      <w:pPr>
        <w:pStyle w:val="17"/>
        <w:tabs>
          <w:tab w:val="left" w:pos="1086"/>
        </w:tabs>
        <w:spacing w:line="564" w:lineRule="exact"/>
        <w:ind w:left="180" w:firstLine="480"/>
        <w:jc w:val="both"/>
        <w:rPr>
          <w:rFonts w:hint="eastAsia" w:ascii="楷体_GB2312" w:hAnsi="楷体_GB2312" w:eastAsia="楷体_GB2312" w:cs="楷体_GB2312"/>
          <w:sz w:val="32"/>
          <w:szCs w:val="32"/>
          <w:lang w:eastAsia="zh-CN"/>
        </w:rPr>
      </w:pPr>
    </w:p>
    <w:p>
      <w:pPr>
        <w:pStyle w:val="17"/>
        <w:tabs>
          <w:tab w:val="left" w:pos="1086"/>
        </w:tabs>
        <w:spacing w:line="564" w:lineRule="exact"/>
        <w:ind w:left="180" w:firstLine="480"/>
        <w:jc w:val="both"/>
        <w:rPr>
          <w:rFonts w:ascii="楷体_GB2312" w:hAnsi="楷体_GB2312" w:eastAsia="楷体_GB2312" w:cs="楷体_GB2312"/>
          <w:sz w:val="32"/>
          <w:szCs w:val="32"/>
          <w:lang w:eastAsia="zh-CN"/>
        </w:rPr>
      </w:pPr>
    </w:p>
    <w:p>
      <w:pPr>
        <w:pStyle w:val="15"/>
        <w:keepNext/>
        <w:keepLines/>
        <w:spacing w:after="560" w:line="561" w:lineRule="exact"/>
        <w:jc w:val="center"/>
        <w:rPr>
          <w:rFonts w:ascii="楷体_GB2312" w:hAnsi="楷体_GB2312" w:eastAsia="楷体_GB2312" w:cs="楷体_GB2312"/>
          <w:sz w:val="32"/>
          <w:szCs w:val="32"/>
        </w:rPr>
      </w:pPr>
      <w:bookmarkStart w:id="59" w:name="bookmark72"/>
      <w:bookmarkStart w:id="60" w:name="bookmark71"/>
      <w:bookmarkStart w:id="61" w:name="bookmark73"/>
      <w:r>
        <w:rPr>
          <w:rFonts w:hint="eastAsia" w:ascii="楷体_GB2312" w:hAnsi="楷体_GB2312" w:eastAsia="楷体_GB2312" w:cs="楷体_GB2312"/>
          <w:sz w:val="32"/>
          <w:szCs w:val="32"/>
        </w:rPr>
        <w:t>第五部分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预算公开联系方式及信息反馈渠道</w:t>
      </w:r>
      <w:bookmarkEnd w:id="59"/>
      <w:bookmarkEnd w:id="60"/>
      <w:bookmarkEnd w:id="61"/>
    </w:p>
    <w:p>
      <w:pPr>
        <w:pStyle w:val="17"/>
        <w:spacing w:after="280" w:line="561" w:lineRule="exact"/>
        <w:ind w:firstLine="62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本单位预算公开信息反馈和联系方式：</w:t>
      </w:r>
    </w:p>
    <w:p>
      <w:pPr>
        <w:pStyle w:val="17"/>
        <w:spacing w:after="280" w:line="561" w:lineRule="exact"/>
        <w:ind w:firstLine="0"/>
        <w:jc w:val="both"/>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 xml:space="preserve">联系人：关捷         </w:t>
      </w:r>
      <w:r>
        <w:rPr>
          <w:rFonts w:hint="eastAsia" w:ascii="楷体_GB2312" w:hAnsi="楷体_GB2312" w:eastAsia="楷体_GB2312" w:cs="楷体_GB2312"/>
          <w:sz w:val="32"/>
          <w:szCs w:val="32"/>
        </w:rPr>
        <w:t>联系电话:</w:t>
      </w:r>
      <w:r>
        <w:rPr>
          <w:rFonts w:hint="eastAsia" w:ascii="楷体_GB2312" w:hAnsi="楷体_GB2312" w:eastAsia="楷体_GB2312" w:cs="楷体_GB2312"/>
          <w:sz w:val="32"/>
          <w:szCs w:val="32"/>
          <w:lang w:val="en-US" w:eastAsia="zh-CN"/>
        </w:rPr>
        <w:t>0477-8367377</w:t>
      </w:r>
    </w:p>
    <w:p>
      <w:pPr>
        <w:pStyle w:val="15"/>
        <w:keepNext/>
        <w:keepLines/>
        <w:spacing w:after="500"/>
        <w:jc w:val="center"/>
        <w:rPr>
          <w:rFonts w:ascii="楷体_GB2312" w:hAnsi="楷体_GB2312" w:eastAsia="楷体_GB2312" w:cs="楷体_GB2312"/>
          <w:sz w:val="32"/>
          <w:szCs w:val="32"/>
        </w:rPr>
      </w:pPr>
      <w:bookmarkStart w:id="62" w:name="bookmark74"/>
      <w:bookmarkStart w:id="63" w:name="bookmark75"/>
      <w:bookmarkStart w:id="64" w:name="bookmark76"/>
      <w:r>
        <w:rPr>
          <w:rFonts w:hint="eastAsia" w:ascii="楷体_GB2312" w:hAnsi="楷体_GB2312" w:eastAsia="楷体_GB2312" w:cs="楷体_GB2312"/>
          <w:sz w:val="32"/>
          <w:szCs w:val="32"/>
        </w:rPr>
        <w:t>第六部分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b w:val="0"/>
          <w:bCs w:val="0"/>
          <w:sz w:val="32"/>
          <w:szCs w:val="32"/>
        </w:rPr>
        <w:t>2020</w:t>
      </w:r>
      <w:r>
        <w:rPr>
          <w:rFonts w:hint="eastAsia" w:ascii="楷体_GB2312" w:hAnsi="楷体_GB2312" w:eastAsia="楷体_GB2312" w:cs="楷体_GB2312"/>
          <w:sz w:val="32"/>
          <w:szCs w:val="32"/>
        </w:rPr>
        <w:t>年部门预算公开表</w:t>
      </w:r>
      <w:bookmarkEnd w:id="62"/>
      <w:bookmarkEnd w:id="63"/>
      <w:bookmarkEnd w:id="64"/>
    </w:p>
    <w:p>
      <w:pPr>
        <w:pStyle w:val="17"/>
        <w:spacing w:after="620" w:line="576" w:lineRule="exact"/>
        <w:ind w:firstLine="0"/>
        <w:rPr>
          <w:rFonts w:ascii="楷体_GB2312" w:hAnsi="楷体_GB2312" w:eastAsia="楷体_GB2312" w:cs="楷体_GB2312"/>
          <w:sz w:val="32"/>
          <w:szCs w:val="32"/>
        </w:rPr>
      </w:pPr>
      <w:r>
        <w:rPr>
          <w:rFonts w:hint="eastAsia" w:ascii="楷体_GB2312" w:hAnsi="楷体_GB2312" w:eastAsia="楷体_GB2312" w:cs="楷体_GB2312"/>
          <w:sz w:val="32"/>
          <w:szCs w:val="32"/>
        </w:rPr>
        <w:t>详见附表：部门预算公开表，项目支出绩效目标表。</w:t>
      </w:r>
    </w:p>
    <w:p>
      <w:pPr>
        <w:pStyle w:val="17"/>
        <w:spacing w:after="620" w:line="576" w:lineRule="exact"/>
        <w:ind w:firstLine="0"/>
        <w:rPr>
          <w:rFonts w:ascii="楷体_GB2312" w:hAnsi="楷体_GB2312" w:eastAsia="楷体_GB2312" w:cs="楷体_GB2312"/>
          <w:sz w:val="32"/>
          <w:szCs w:val="32"/>
        </w:rPr>
        <w:sectPr>
          <w:footerReference r:id="rId9" w:type="default"/>
          <w:pgSz w:w="11900" w:h="16840"/>
          <w:pgMar w:top="1302" w:right="1684" w:bottom="2393" w:left="1536" w:header="874" w:footer="6" w:gutter="0"/>
          <w:cols w:space="0" w:num="1"/>
          <w:docGrid w:linePitch="360" w:charSpace="0"/>
        </w:sectPr>
      </w:pPr>
    </w:p>
    <w:tbl>
      <w:tblPr>
        <w:tblStyle w:val="4"/>
        <w:tblpPr w:leftFromText="180" w:rightFromText="180" w:horzAnchor="margin" w:tblpXSpec="center" w:tblpY="318"/>
        <w:tblW w:w="15451" w:type="dxa"/>
        <w:tblInd w:w="0" w:type="dxa"/>
        <w:tblLayout w:type="fixed"/>
        <w:tblCellMar>
          <w:top w:w="0" w:type="dxa"/>
          <w:left w:w="108" w:type="dxa"/>
          <w:bottom w:w="0" w:type="dxa"/>
          <w:right w:w="108" w:type="dxa"/>
        </w:tblCellMar>
      </w:tblPr>
      <w:tblGrid>
        <w:gridCol w:w="3047"/>
        <w:gridCol w:w="1384"/>
        <w:gridCol w:w="2750"/>
        <w:gridCol w:w="1401"/>
        <w:gridCol w:w="1366"/>
        <w:gridCol w:w="1251"/>
        <w:gridCol w:w="1582"/>
        <w:gridCol w:w="1416"/>
        <w:gridCol w:w="1254"/>
      </w:tblGrid>
      <w:tr>
        <w:tblPrEx>
          <w:tblLayout w:type="fixed"/>
          <w:tblCellMar>
            <w:top w:w="0" w:type="dxa"/>
            <w:left w:w="108" w:type="dxa"/>
            <w:bottom w:w="0" w:type="dxa"/>
            <w:right w:w="108" w:type="dxa"/>
          </w:tblCellMar>
        </w:tblPrEx>
        <w:trPr>
          <w:trHeight w:val="307" w:hRule="atLeast"/>
        </w:trPr>
        <w:tc>
          <w:tcPr>
            <w:tcW w:w="3047" w:type="dxa"/>
            <w:tcBorders>
              <w:top w:val="nil"/>
              <w:left w:val="nil"/>
              <w:bottom w:val="nil"/>
              <w:right w:val="nil"/>
            </w:tcBorders>
            <w:shd w:val="clear" w:color="auto" w:fill="auto"/>
            <w:noWrap/>
            <w:vAlign w:val="center"/>
          </w:tcPr>
          <w:p>
            <w:pPr>
              <w:widowControl/>
              <w:rPr>
                <w:rFonts w:ascii="宋体" w:hAnsi="宋体" w:eastAsia="宋体" w:cs="宋体"/>
                <w:b/>
                <w:bCs/>
                <w:color w:val="auto"/>
                <w:sz w:val="18"/>
                <w:szCs w:val="18"/>
                <w:lang w:eastAsia="zh-CN" w:bidi="ar-SA"/>
              </w:rPr>
            </w:pPr>
            <w:r>
              <w:rPr>
                <w:rFonts w:hint="eastAsia" w:ascii="宋体" w:hAnsi="宋体" w:eastAsia="宋体" w:cs="宋体"/>
                <w:b/>
                <w:bCs/>
                <w:color w:val="auto"/>
                <w:sz w:val="22"/>
                <w:szCs w:val="18"/>
                <w:lang w:eastAsia="zh-CN" w:bidi="ar-SA"/>
              </w:rPr>
              <w:t>表1</w:t>
            </w:r>
          </w:p>
        </w:tc>
        <w:tc>
          <w:tcPr>
            <w:tcW w:w="1384" w:type="dxa"/>
            <w:tcBorders>
              <w:top w:val="nil"/>
              <w:left w:val="nil"/>
              <w:bottom w:val="nil"/>
              <w:right w:val="nil"/>
            </w:tcBorders>
            <w:shd w:val="clear" w:color="auto" w:fill="auto"/>
            <w:noWrap/>
            <w:vAlign w:val="bottom"/>
          </w:tcPr>
          <w:p>
            <w:pPr>
              <w:widowControl/>
              <w:rPr>
                <w:rFonts w:ascii="宋体" w:hAnsi="宋体" w:eastAsia="宋体" w:cs="宋体"/>
                <w:color w:val="auto"/>
                <w:sz w:val="22"/>
                <w:szCs w:val="22"/>
                <w:lang w:eastAsia="zh-CN" w:bidi="ar-SA"/>
              </w:rPr>
            </w:pPr>
          </w:p>
        </w:tc>
        <w:tc>
          <w:tcPr>
            <w:tcW w:w="2750"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401" w:type="dxa"/>
            <w:tcBorders>
              <w:top w:val="nil"/>
              <w:left w:val="nil"/>
              <w:bottom w:val="nil"/>
              <w:right w:val="nil"/>
            </w:tcBorders>
            <w:shd w:val="clear" w:color="auto" w:fill="auto"/>
            <w:noWrap/>
            <w:vAlign w:val="center"/>
          </w:tcPr>
          <w:p>
            <w:pPr>
              <w:widowControl/>
              <w:jc w:val="right"/>
              <w:rPr>
                <w:rFonts w:ascii="宋体" w:hAnsi="宋体" w:eastAsia="宋体" w:cs="宋体"/>
                <w:color w:val="auto"/>
                <w:sz w:val="22"/>
                <w:szCs w:val="22"/>
                <w:lang w:eastAsia="zh-CN" w:bidi="ar-SA"/>
              </w:rPr>
            </w:pPr>
          </w:p>
        </w:tc>
        <w:tc>
          <w:tcPr>
            <w:tcW w:w="1366"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251"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582"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2670" w:type="dxa"/>
            <w:gridSpan w:val="2"/>
            <w:tcBorders>
              <w:top w:val="nil"/>
              <w:left w:val="nil"/>
              <w:bottom w:val="nil"/>
              <w:right w:val="nil"/>
            </w:tcBorders>
            <w:shd w:val="clear" w:color="auto" w:fill="auto"/>
            <w:noWrap/>
            <w:vAlign w:val="bottom"/>
          </w:tcPr>
          <w:p>
            <w:pPr>
              <w:widowControl/>
              <w:jc w:val="right"/>
              <w:rPr>
                <w:rFonts w:ascii="宋体" w:hAnsi="宋体" w:eastAsia="宋体" w:cs="宋体"/>
                <w:color w:val="auto"/>
                <w:sz w:val="22"/>
                <w:szCs w:val="22"/>
                <w:lang w:eastAsia="zh-CN" w:bidi="ar-SA"/>
              </w:rPr>
            </w:pPr>
          </w:p>
        </w:tc>
      </w:tr>
      <w:tr>
        <w:tblPrEx>
          <w:tblLayout w:type="fixed"/>
          <w:tblCellMar>
            <w:top w:w="0" w:type="dxa"/>
            <w:left w:w="108" w:type="dxa"/>
            <w:bottom w:w="0" w:type="dxa"/>
            <w:right w:w="108" w:type="dxa"/>
          </w:tblCellMar>
        </w:tblPrEx>
        <w:trPr>
          <w:trHeight w:val="475" w:hRule="atLeast"/>
        </w:trPr>
        <w:tc>
          <w:tcPr>
            <w:tcW w:w="15451" w:type="dxa"/>
            <w:gridSpan w:val="9"/>
            <w:tcBorders>
              <w:top w:val="nil"/>
              <w:left w:val="nil"/>
              <w:bottom w:val="nil"/>
              <w:right w:val="nil"/>
            </w:tcBorders>
            <w:shd w:val="clear" w:color="auto" w:fill="auto"/>
            <w:noWrap/>
            <w:vAlign w:val="center"/>
          </w:tcPr>
          <w:p>
            <w:pPr>
              <w:widowControl/>
              <w:jc w:val="center"/>
              <w:rPr>
                <w:rFonts w:ascii="宋体" w:hAnsi="宋体" w:eastAsia="宋体" w:cs="宋体"/>
                <w:b/>
                <w:bCs/>
                <w:color w:val="auto"/>
                <w:sz w:val="36"/>
                <w:szCs w:val="36"/>
                <w:lang w:eastAsia="zh-CN" w:bidi="ar-SA"/>
              </w:rPr>
            </w:pPr>
            <w:r>
              <w:rPr>
                <w:rFonts w:hint="eastAsia" w:ascii="宋体" w:hAnsi="宋体" w:eastAsia="宋体" w:cs="宋体"/>
                <w:b/>
                <w:bCs/>
                <w:color w:val="auto"/>
                <w:sz w:val="36"/>
                <w:szCs w:val="36"/>
                <w:lang w:eastAsia="zh-CN" w:bidi="ar-SA"/>
              </w:rPr>
              <w:t>2021年财政拨款收支预算总表</w:t>
            </w:r>
          </w:p>
        </w:tc>
      </w:tr>
      <w:tr>
        <w:tblPrEx>
          <w:tblLayout w:type="fixed"/>
          <w:tblCellMar>
            <w:top w:w="0" w:type="dxa"/>
            <w:left w:w="108" w:type="dxa"/>
            <w:bottom w:w="0" w:type="dxa"/>
            <w:right w:w="108" w:type="dxa"/>
          </w:tblCellMar>
        </w:tblPrEx>
        <w:trPr>
          <w:trHeight w:val="291" w:hRule="atLeast"/>
        </w:trPr>
        <w:tc>
          <w:tcPr>
            <w:tcW w:w="3047" w:type="dxa"/>
            <w:tcBorders>
              <w:top w:val="nil"/>
              <w:left w:val="nil"/>
              <w:bottom w:val="nil"/>
              <w:right w:val="nil"/>
            </w:tcBorders>
            <w:shd w:val="clear" w:color="auto" w:fill="auto"/>
            <w:noWrap/>
            <w:vAlign w:val="center"/>
          </w:tcPr>
          <w:p>
            <w:pPr>
              <w:widowControl/>
              <w:rPr>
                <w:rFonts w:ascii="宋体" w:hAnsi="宋体" w:eastAsia="宋体" w:cs="宋体"/>
                <w:color w:val="auto"/>
                <w:sz w:val="20"/>
                <w:szCs w:val="20"/>
                <w:lang w:eastAsia="zh-CN" w:bidi="ar-SA"/>
              </w:rPr>
            </w:pPr>
          </w:p>
        </w:tc>
        <w:tc>
          <w:tcPr>
            <w:tcW w:w="1384" w:type="dxa"/>
            <w:tcBorders>
              <w:top w:val="nil"/>
              <w:left w:val="nil"/>
              <w:bottom w:val="nil"/>
              <w:right w:val="nil"/>
            </w:tcBorders>
            <w:shd w:val="clear" w:color="auto" w:fill="auto"/>
            <w:noWrap/>
            <w:vAlign w:val="center"/>
          </w:tcPr>
          <w:p>
            <w:pPr>
              <w:widowControl/>
              <w:rPr>
                <w:rFonts w:ascii="宋体" w:hAnsi="宋体" w:eastAsia="宋体" w:cs="宋体"/>
                <w:color w:val="auto"/>
                <w:sz w:val="20"/>
                <w:szCs w:val="20"/>
                <w:lang w:eastAsia="zh-CN" w:bidi="ar-SA"/>
              </w:rPr>
            </w:pPr>
          </w:p>
        </w:tc>
        <w:tc>
          <w:tcPr>
            <w:tcW w:w="2750" w:type="dxa"/>
            <w:tcBorders>
              <w:top w:val="nil"/>
              <w:left w:val="nil"/>
              <w:bottom w:val="nil"/>
              <w:right w:val="nil"/>
            </w:tcBorders>
            <w:shd w:val="clear" w:color="auto" w:fill="auto"/>
            <w:noWrap/>
            <w:vAlign w:val="center"/>
          </w:tcPr>
          <w:p>
            <w:pPr>
              <w:widowControl/>
              <w:rPr>
                <w:rFonts w:ascii="宋体" w:hAnsi="宋体" w:eastAsia="宋体" w:cs="宋体"/>
                <w:color w:val="auto"/>
                <w:sz w:val="20"/>
                <w:szCs w:val="20"/>
                <w:lang w:eastAsia="zh-CN" w:bidi="ar-SA"/>
              </w:rPr>
            </w:pPr>
          </w:p>
        </w:tc>
        <w:tc>
          <w:tcPr>
            <w:tcW w:w="1401" w:type="dxa"/>
            <w:tcBorders>
              <w:top w:val="nil"/>
              <w:left w:val="nil"/>
              <w:bottom w:val="nil"/>
              <w:right w:val="nil"/>
            </w:tcBorders>
            <w:shd w:val="clear" w:color="auto" w:fill="auto"/>
            <w:noWrap/>
            <w:vAlign w:val="center"/>
          </w:tcPr>
          <w:p>
            <w:pPr>
              <w:widowControl/>
              <w:jc w:val="right"/>
              <w:rPr>
                <w:rFonts w:ascii="宋体" w:hAnsi="宋体" w:eastAsia="宋体" w:cs="宋体"/>
                <w:color w:val="auto"/>
                <w:sz w:val="20"/>
                <w:szCs w:val="20"/>
                <w:lang w:eastAsia="zh-CN" w:bidi="ar-SA"/>
              </w:rPr>
            </w:pPr>
          </w:p>
        </w:tc>
        <w:tc>
          <w:tcPr>
            <w:tcW w:w="1366" w:type="dxa"/>
            <w:tcBorders>
              <w:top w:val="nil"/>
              <w:left w:val="nil"/>
              <w:bottom w:val="nil"/>
              <w:right w:val="nil"/>
            </w:tcBorders>
            <w:shd w:val="clear" w:color="auto" w:fill="auto"/>
            <w:noWrap/>
            <w:vAlign w:val="center"/>
          </w:tcPr>
          <w:p>
            <w:pPr>
              <w:widowControl/>
              <w:jc w:val="right"/>
              <w:rPr>
                <w:rFonts w:ascii="宋体" w:hAnsi="宋体" w:eastAsia="宋体" w:cs="宋体"/>
                <w:color w:val="auto"/>
                <w:sz w:val="20"/>
                <w:szCs w:val="20"/>
                <w:lang w:eastAsia="zh-CN" w:bidi="ar-SA"/>
              </w:rPr>
            </w:pPr>
          </w:p>
        </w:tc>
        <w:tc>
          <w:tcPr>
            <w:tcW w:w="1251" w:type="dxa"/>
            <w:tcBorders>
              <w:top w:val="nil"/>
              <w:left w:val="nil"/>
              <w:bottom w:val="nil"/>
              <w:right w:val="nil"/>
            </w:tcBorders>
            <w:shd w:val="clear" w:color="auto" w:fill="auto"/>
            <w:noWrap/>
            <w:vAlign w:val="center"/>
          </w:tcPr>
          <w:p>
            <w:pPr>
              <w:widowControl/>
              <w:jc w:val="right"/>
              <w:rPr>
                <w:rFonts w:ascii="宋体" w:hAnsi="宋体" w:eastAsia="宋体" w:cs="宋体"/>
                <w:color w:val="auto"/>
                <w:sz w:val="20"/>
                <w:szCs w:val="20"/>
                <w:lang w:eastAsia="zh-CN" w:bidi="ar-SA"/>
              </w:rPr>
            </w:pPr>
          </w:p>
        </w:tc>
        <w:tc>
          <w:tcPr>
            <w:tcW w:w="1582" w:type="dxa"/>
            <w:tcBorders>
              <w:top w:val="nil"/>
              <w:left w:val="nil"/>
              <w:bottom w:val="nil"/>
              <w:right w:val="nil"/>
            </w:tcBorders>
            <w:shd w:val="clear" w:color="auto" w:fill="auto"/>
            <w:noWrap/>
            <w:vAlign w:val="center"/>
          </w:tcPr>
          <w:p>
            <w:pPr>
              <w:widowControl/>
              <w:rPr>
                <w:rFonts w:ascii="宋体" w:hAnsi="宋体" w:eastAsia="宋体" w:cs="宋体"/>
                <w:color w:val="auto"/>
                <w:sz w:val="20"/>
                <w:szCs w:val="20"/>
                <w:lang w:eastAsia="zh-CN" w:bidi="ar-SA"/>
              </w:rPr>
            </w:pPr>
          </w:p>
        </w:tc>
        <w:tc>
          <w:tcPr>
            <w:tcW w:w="1416" w:type="dxa"/>
            <w:tcBorders>
              <w:top w:val="nil"/>
              <w:left w:val="nil"/>
              <w:bottom w:val="nil"/>
              <w:right w:val="nil"/>
            </w:tcBorders>
            <w:shd w:val="clear" w:color="auto" w:fill="auto"/>
            <w:noWrap/>
            <w:vAlign w:val="center"/>
          </w:tcPr>
          <w:p>
            <w:pPr>
              <w:widowControl/>
              <w:rPr>
                <w:rFonts w:ascii="宋体" w:hAnsi="宋体" w:eastAsia="宋体" w:cs="宋体"/>
                <w:color w:val="auto"/>
                <w:sz w:val="20"/>
                <w:szCs w:val="20"/>
                <w:lang w:eastAsia="zh-CN" w:bidi="ar-SA"/>
              </w:rPr>
            </w:pPr>
          </w:p>
        </w:tc>
        <w:tc>
          <w:tcPr>
            <w:tcW w:w="1254" w:type="dxa"/>
            <w:tcBorders>
              <w:top w:val="nil"/>
              <w:left w:val="nil"/>
              <w:bottom w:val="nil"/>
              <w:right w:val="nil"/>
            </w:tcBorders>
            <w:shd w:val="clear" w:color="auto" w:fill="auto"/>
            <w:noWrap/>
            <w:vAlign w:val="center"/>
          </w:tcPr>
          <w:p>
            <w:pPr>
              <w:widowControl/>
              <w:jc w:val="right"/>
              <w:rPr>
                <w:rFonts w:ascii="宋体" w:hAnsi="宋体" w:eastAsia="宋体" w:cs="宋体"/>
                <w:b/>
                <w:bCs/>
                <w:color w:val="auto"/>
                <w:sz w:val="20"/>
                <w:szCs w:val="20"/>
                <w:lang w:eastAsia="zh-CN" w:bidi="ar-SA"/>
              </w:rPr>
            </w:pPr>
            <w:r>
              <w:rPr>
                <w:rFonts w:hint="eastAsia" w:ascii="宋体" w:hAnsi="宋体" w:eastAsia="宋体" w:cs="宋体"/>
                <w:b/>
                <w:bCs/>
                <w:color w:val="auto"/>
                <w:sz w:val="20"/>
                <w:szCs w:val="20"/>
                <w:lang w:eastAsia="zh-CN" w:bidi="ar-SA"/>
              </w:rPr>
              <w:t>单位：元</w:t>
            </w:r>
          </w:p>
        </w:tc>
      </w:tr>
      <w:tr>
        <w:tblPrEx>
          <w:tblLayout w:type="fixed"/>
          <w:tblCellMar>
            <w:top w:w="0" w:type="dxa"/>
            <w:left w:w="108" w:type="dxa"/>
            <w:bottom w:w="0" w:type="dxa"/>
            <w:right w:w="108" w:type="dxa"/>
          </w:tblCellMar>
        </w:tblPrEx>
        <w:trPr>
          <w:trHeight w:val="460" w:hRule="atLeast"/>
        </w:trPr>
        <w:tc>
          <w:tcPr>
            <w:tcW w:w="4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收    入</w:t>
            </w:r>
          </w:p>
        </w:tc>
        <w:tc>
          <w:tcPr>
            <w:tcW w:w="1102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支    出</w:t>
            </w:r>
          </w:p>
        </w:tc>
      </w:tr>
      <w:tr>
        <w:tblPrEx>
          <w:tblLayout w:type="fixed"/>
          <w:tblCellMar>
            <w:top w:w="0" w:type="dxa"/>
            <w:left w:w="108" w:type="dxa"/>
            <w:bottom w:w="0" w:type="dxa"/>
            <w:right w:w="108" w:type="dxa"/>
          </w:tblCellMar>
        </w:tblPrEx>
        <w:trPr>
          <w:trHeight w:val="659" w:hRule="atLeast"/>
        </w:trPr>
        <w:tc>
          <w:tcPr>
            <w:tcW w:w="3047" w:type="dxa"/>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收入项目</w:t>
            </w:r>
          </w:p>
        </w:tc>
        <w:tc>
          <w:tcPr>
            <w:tcW w:w="1384"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预算数</w:t>
            </w:r>
          </w:p>
        </w:tc>
        <w:tc>
          <w:tcPr>
            <w:tcW w:w="2750"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支出项目（功能分类）</w:t>
            </w:r>
          </w:p>
        </w:tc>
        <w:tc>
          <w:tcPr>
            <w:tcW w:w="1401"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总计</w:t>
            </w:r>
          </w:p>
        </w:tc>
        <w:tc>
          <w:tcPr>
            <w:tcW w:w="1366"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一般公共预算财政拨款</w:t>
            </w:r>
          </w:p>
        </w:tc>
        <w:tc>
          <w:tcPr>
            <w:tcW w:w="1251"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政府性基金预算拨款</w:t>
            </w:r>
          </w:p>
        </w:tc>
        <w:tc>
          <w:tcPr>
            <w:tcW w:w="1582"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支出项目（性质）</w:t>
            </w:r>
          </w:p>
        </w:tc>
        <w:tc>
          <w:tcPr>
            <w:tcW w:w="1416"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一般公共预算财政拨款</w:t>
            </w:r>
          </w:p>
        </w:tc>
        <w:tc>
          <w:tcPr>
            <w:tcW w:w="1254"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0"/>
                <w:szCs w:val="20"/>
                <w:lang w:eastAsia="zh-CN" w:bidi="ar-SA"/>
              </w:rPr>
            </w:pPr>
            <w:r>
              <w:rPr>
                <w:rFonts w:hint="eastAsia" w:cs="宋体" w:asciiTheme="minorEastAsia" w:hAnsiTheme="minorEastAsia" w:eastAsiaTheme="minorEastAsia"/>
                <w:b/>
                <w:bCs/>
                <w:color w:val="auto"/>
                <w:sz w:val="20"/>
                <w:szCs w:val="20"/>
                <w:lang w:eastAsia="zh-CN" w:bidi="ar-SA"/>
              </w:rPr>
              <w:t>政府性基金预算拨款</w:t>
            </w:r>
          </w:p>
        </w:tc>
      </w:tr>
      <w:tr>
        <w:tblPrEx>
          <w:tblLayout w:type="fixed"/>
          <w:tblCellMar>
            <w:top w:w="0" w:type="dxa"/>
            <w:left w:w="108" w:type="dxa"/>
            <w:bottom w:w="0" w:type="dxa"/>
            <w:right w:w="108" w:type="dxa"/>
          </w:tblCellMar>
        </w:tblPrEx>
        <w:trPr>
          <w:trHeight w:val="368" w:hRule="atLeast"/>
        </w:trPr>
        <w:tc>
          <w:tcPr>
            <w:tcW w:w="3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一、一般公共预算拨款</w:t>
            </w:r>
          </w:p>
        </w:tc>
        <w:tc>
          <w:tcPr>
            <w:tcW w:w="1384" w:type="dxa"/>
            <w:tcBorders>
              <w:top w:val="single" w:color="auto" w:sz="4" w:space="0"/>
              <w:left w:val="nil"/>
              <w:bottom w:val="nil"/>
              <w:right w:val="nil"/>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single" w:color="auto" w:sz="4" w:space="0"/>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一、一般公共服务支出</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100,000</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100,000</w:t>
            </w:r>
          </w:p>
        </w:tc>
        <w:tc>
          <w:tcPr>
            <w:tcW w:w="125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一、基本支出</w:t>
            </w:r>
          </w:p>
        </w:tc>
        <w:tc>
          <w:tcPr>
            <w:tcW w:w="1416" w:type="dxa"/>
            <w:tcBorders>
              <w:top w:val="single" w:color="auto" w:sz="4" w:space="0"/>
              <w:left w:val="nil"/>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179,830,347</w:t>
            </w:r>
          </w:p>
        </w:tc>
        <w:tc>
          <w:tcPr>
            <w:tcW w:w="1254" w:type="dxa"/>
            <w:tcBorders>
              <w:top w:val="single" w:color="auto" w:sz="4" w:space="0"/>
              <w:left w:val="nil"/>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1.市本级安排</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179,930,347</w:t>
            </w:r>
          </w:p>
        </w:tc>
        <w:tc>
          <w:tcPr>
            <w:tcW w:w="2750" w:type="dxa"/>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二、外交支出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人员经费</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177,259,947</w:t>
            </w:r>
          </w:p>
        </w:tc>
        <w:tc>
          <w:tcPr>
            <w:tcW w:w="125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其中：纳入预算管理的非税收入  </w:t>
            </w:r>
          </w:p>
        </w:tc>
        <w:tc>
          <w:tcPr>
            <w:tcW w:w="1384" w:type="dxa"/>
            <w:tcBorders>
              <w:top w:val="nil"/>
              <w:left w:val="nil"/>
              <w:bottom w:val="nil"/>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三、国防支出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公用经费</w:t>
            </w:r>
          </w:p>
        </w:tc>
        <w:tc>
          <w:tcPr>
            <w:tcW w:w="1416" w:type="dxa"/>
            <w:tcBorders>
              <w:top w:val="nil"/>
              <w:left w:val="nil"/>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2,570,400</w:t>
            </w:r>
          </w:p>
        </w:tc>
        <w:tc>
          <w:tcPr>
            <w:tcW w:w="1254" w:type="dxa"/>
            <w:tcBorders>
              <w:top w:val="nil"/>
              <w:left w:val="nil"/>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其中：纳入预算外专户管理非税收人</w:t>
            </w:r>
          </w:p>
        </w:tc>
        <w:tc>
          <w:tcPr>
            <w:tcW w:w="1384" w:type="dxa"/>
            <w:tcBorders>
              <w:top w:val="single" w:color="auto" w:sz="4" w:space="0"/>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四、公共安全支出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二、项目支出</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100,000</w:t>
            </w:r>
          </w:p>
        </w:tc>
        <w:tc>
          <w:tcPr>
            <w:tcW w:w="125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2.自治区提前下达专项资金</w:t>
            </w:r>
          </w:p>
        </w:tc>
        <w:tc>
          <w:tcPr>
            <w:tcW w:w="1384" w:type="dxa"/>
            <w:tcBorders>
              <w:top w:val="nil"/>
              <w:left w:val="nil"/>
              <w:bottom w:val="nil"/>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五、教育支出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w:t>
            </w:r>
          </w:p>
        </w:tc>
        <w:tc>
          <w:tcPr>
            <w:tcW w:w="1416"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二、政府性基金预算拨款</w:t>
            </w:r>
          </w:p>
        </w:tc>
        <w:tc>
          <w:tcPr>
            <w:tcW w:w="1384" w:type="dxa"/>
            <w:tcBorders>
              <w:top w:val="single" w:color="auto" w:sz="4" w:space="0"/>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六、科学技术支出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1.市本级安排</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七、文化旅游体育与传媒支出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2.自治区提前下达专项资金</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八、社会保障和就业支出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5,348,336</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5,348,336</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九、社会保险基金支出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十、卫生健康支出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172,028,665</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172,028,665</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nil"/>
              <w:right w:val="nil"/>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十一、节能环保支出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single" w:color="auto" w:sz="4" w:space="0"/>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十二、城乡社区支出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十三、农林水支出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十四、交通运输支出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十五、资源勘探信息等支出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十六、商业服务业等支出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十七、金融支出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十八、援助其他地区支出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十九、自然资源海洋气象等支出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二十、住房保障支出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2,453,346</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2,453,346</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二十一、粮油物资储备支出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二十二、国有资本经营预算支出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二十三、灾害防治及应急管理支出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二十四、预备费</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二十五、其他支出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二十六、转移性支出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二十七、债务还本支出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二十八、债务付息支出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二十九、债务发行费用支出</w:t>
            </w:r>
          </w:p>
        </w:tc>
        <w:tc>
          <w:tcPr>
            <w:tcW w:w="14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nil"/>
              <w:bottom w:val="nil"/>
              <w:right w:val="single" w:color="auto" w:sz="4" w:space="0"/>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401"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本年收入</w:t>
            </w:r>
          </w:p>
        </w:tc>
        <w:tc>
          <w:tcPr>
            <w:tcW w:w="1384" w:type="dxa"/>
            <w:tcBorders>
              <w:top w:val="nil"/>
              <w:left w:val="nil"/>
              <w:bottom w:val="nil"/>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179,930,347</w:t>
            </w:r>
          </w:p>
        </w:tc>
        <w:tc>
          <w:tcPr>
            <w:tcW w:w="2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本年支出 </w:t>
            </w:r>
          </w:p>
        </w:tc>
        <w:tc>
          <w:tcPr>
            <w:tcW w:w="1401"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179,930,347</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179,930,347</w:t>
            </w:r>
          </w:p>
        </w:tc>
        <w:tc>
          <w:tcPr>
            <w:tcW w:w="125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本年支出 </w:t>
            </w:r>
          </w:p>
        </w:tc>
        <w:tc>
          <w:tcPr>
            <w:tcW w:w="1416" w:type="dxa"/>
            <w:tcBorders>
              <w:top w:val="nil"/>
              <w:left w:val="nil"/>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179,930,347</w:t>
            </w:r>
          </w:p>
        </w:tc>
        <w:tc>
          <w:tcPr>
            <w:tcW w:w="1254" w:type="dxa"/>
            <w:tcBorders>
              <w:top w:val="nil"/>
              <w:left w:val="nil"/>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475" w:hRule="atLeast"/>
        </w:trPr>
        <w:tc>
          <w:tcPr>
            <w:tcW w:w="304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结转下年</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结转下年</w:t>
            </w:r>
          </w:p>
        </w:tc>
        <w:tc>
          <w:tcPr>
            <w:tcW w:w="1401"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nil"/>
            </w:tcBorders>
            <w:shd w:val="clear" w:color="auto" w:fill="auto"/>
            <w:noWrap/>
            <w:vAlign w:val="bottom"/>
          </w:tcPr>
          <w:p>
            <w:pPr>
              <w:widowControl/>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xml:space="preserve">     结转下年</w:t>
            </w:r>
          </w:p>
        </w:tc>
        <w:tc>
          <w:tcPr>
            <w:tcW w:w="1416" w:type="dxa"/>
            <w:tcBorders>
              <w:top w:val="single" w:color="auto" w:sz="4" w:space="0"/>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01"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single" w:color="auto" w:sz="4" w:space="0"/>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384" w:type="dxa"/>
            <w:tcBorders>
              <w:top w:val="nil"/>
              <w:left w:val="nil"/>
              <w:bottom w:val="nil"/>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2750" w:type="dxa"/>
            <w:tcBorders>
              <w:top w:val="nil"/>
              <w:left w:val="single" w:color="auto" w:sz="4" w:space="0"/>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01"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1"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nil"/>
              <w:left w:val="single" w:color="auto" w:sz="4" w:space="0"/>
              <w:bottom w:val="nil"/>
              <w:right w:val="single" w:color="auto" w:sz="4" w:space="0"/>
            </w:tcBorders>
            <w:shd w:val="clear" w:color="auto" w:fill="auto"/>
            <w:noWrap/>
            <w:vAlign w:val="bottom"/>
          </w:tcPr>
          <w:p>
            <w:pPr>
              <w:widowControl/>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　</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r>
        <w:tblPrEx>
          <w:tblLayout w:type="fixed"/>
          <w:tblCellMar>
            <w:top w:w="0" w:type="dxa"/>
            <w:left w:w="108" w:type="dxa"/>
            <w:bottom w:w="0" w:type="dxa"/>
            <w:right w:w="108" w:type="dxa"/>
          </w:tblCellMar>
        </w:tblPrEx>
        <w:trPr>
          <w:trHeight w:val="368" w:hRule="atLeast"/>
        </w:trPr>
        <w:tc>
          <w:tcPr>
            <w:tcW w:w="30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收入总计</w:t>
            </w:r>
          </w:p>
        </w:tc>
        <w:tc>
          <w:tcPr>
            <w:tcW w:w="1384" w:type="dxa"/>
            <w:tcBorders>
              <w:top w:val="single" w:color="auto" w:sz="4" w:space="0"/>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179,930,347</w:t>
            </w:r>
          </w:p>
        </w:tc>
        <w:tc>
          <w:tcPr>
            <w:tcW w:w="27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本年支出总计</w:t>
            </w:r>
          </w:p>
        </w:tc>
        <w:tc>
          <w:tcPr>
            <w:tcW w:w="1401"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179,930,347</w:t>
            </w:r>
          </w:p>
        </w:tc>
        <w:tc>
          <w:tcPr>
            <w:tcW w:w="136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179,930,347</w:t>
            </w:r>
          </w:p>
        </w:tc>
        <w:tc>
          <w:tcPr>
            <w:tcW w:w="1251"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auto"/>
                <w:sz w:val="20"/>
                <w:szCs w:val="20"/>
                <w:lang w:eastAsia="zh-CN" w:bidi="ar-SA"/>
              </w:rPr>
            </w:pPr>
            <w:r>
              <w:rPr>
                <w:rFonts w:hint="eastAsia" w:cs="宋体" w:asciiTheme="minorEastAsia" w:hAnsiTheme="minorEastAsia" w:eastAsiaTheme="minorEastAsia"/>
                <w:bCs/>
                <w:color w:val="auto"/>
                <w:sz w:val="20"/>
                <w:szCs w:val="20"/>
                <w:lang w:eastAsia="zh-CN" w:bidi="ar-SA"/>
              </w:rPr>
              <w:t>本年支出总计</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179,930,347</w:t>
            </w:r>
          </w:p>
        </w:tc>
        <w:tc>
          <w:tcPr>
            <w:tcW w:w="125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0"/>
                <w:szCs w:val="20"/>
                <w:lang w:eastAsia="zh-CN" w:bidi="ar-SA"/>
              </w:rPr>
            </w:pPr>
            <w:r>
              <w:rPr>
                <w:rFonts w:hint="eastAsia" w:cs="宋体" w:asciiTheme="minorEastAsia" w:hAnsiTheme="minorEastAsia" w:eastAsiaTheme="minorEastAsia"/>
                <w:color w:val="auto"/>
                <w:sz w:val="20"/>
                <w:szCs w:val="20"/>
                <w:lang w:eastAsia="zh-CN" w:bidi="ar-SA"/>
              </w:rPr>
              <w:t>　</w:t>
            </w:r>
          </w:p>
        </w:tc>
      </w:tr>
    </w:tbl>
    <w:p>
      <w:pPr>
        <w:widowControl/>
        <w:textAlignment w:val="center"/>
        <w:rPr>
          <w:rFonts w:ascii="宋体" w:hAnsi="宋体" w:eastAsia="宋体" w:cs="宋体"/>
          <w:b/>
          <w:sz w:val="22"/>
          <w:szCs w:val="22"/>
          <w:lang w:eastAsia="zh-CN"/>
        </w:rPr>
      </w:pPr>
      <w:r>
        <w:rPr>
          <w:rFonts w:ascii="宋体" w:hAnsi="宋体" w:eastAsia="宋体" w:cs="宋体"/>
          <w:b/>
          <w:sz w:val="20"/>
          <w:szCs w:val="20"/>
          <w:lang w:eastAsia="zh-CN"/>
        </w:rPr>
        <w:br w:type="page"/>
      </w:r>
    </w:p>
    <w:tbl>
      <w:tblPr>
        <w:tblStyle w:val="4"/>
        <w:tblW w:w="13410" w:type="dxa"/>
        <w:jc w:val="center"/>
        <w:tblInd w:w="0" w:type="dxa"/>
        <w:tblLayout w:type="fixed"/>
        <w:tblCellMar>
          <w:top w:w="15" w:type="dxa"/>
          <w:left w:w="15" w:type="dxa"/>
          <w:bottom w:w="15" w:type="dxa"/>
          <w:right w:w="15" w:type="dxa"/>
        </w:tblCellMar>
      </w:tblPr>
      <w:tblGrid>
        <w:gridCol w:w="757"/>
        <w:gridCol w:w="794"/>
        <w:gridCol w:w="794"/>
        <w:gridCol w:w="5448"/>
        <w:gridCol w:w="1939"/>
        <w:gridCol w:w="1838"/>
        <w:gridCol w:w="1840"/>
      </w:tblGrid>
      <w:tr>
        <w:tblPrEx>
          <w:tblLayout w:type="fixed"/>
          <w:tblCellMar>
            <w:top w:w="15" w:type="dxa"/>
            <w:left w:w="15" w:type="dxa"/>
            <w:bottom w:w="15" w:type="dxa"/>
            <w:right w:w="15" w:type="dxa"/>
          </w:tblCellMar>
        </w:tblPrEx>
        <w:trPr>
          <w:trHeight w:val="315" w:hRule="atLeast"/>
          <w:jc w:val="center"/>
        </w:trPr>
        <w:tc>
          <w:tcPr>
            <w:tcW w:w="757" w:type="dxa"/>
            <w:shd w:val="clear" w:color="auto" w:fill="auto"/>
            <w:vAlign w:val="center"/>
          </w:tcPr>
          <w:p>
            <w:pPr>
              <w:widowControl/>
              <w:textAlignment w:val="center"/>
              <w:rPr>
                <w:rFonts w:ascii="宋体" w:hAnsi="宋体" w:eastAsia="宋体" w:cs="宋体"/>
                <w:b/>
                <w:sz w:val="18"/>
                <w:szCs w:val="18"/>
              </w:rPr>
            </w:pPr>
            <w:r>
              <w:rPr>
                <w:rFonts w:hint="eastAsia" w:ascii="宋体" w:hAnsi="宋体" w:eastAsia="宋体" w:cs="宋体"/>
                <w:b/>
                <w:sz w:val="22"/>
                <w:szCs w:val="22"/>
                <w:lang w:eastAsia="zh-CN"/>
              </w:rPr>
              <w:t>表2</w:t>
            </w:r>
          </w:p>
        </w:tc>
        <w:tc>
          <w:tcPr>
            <w:tcW w:w="794" w:type="dxa"/>
            <w:shd w:val="clear" w:color="auto" w:fill="auto"/>
            <w:vAlign w:val="bottom"/>
          </w:tcPr>
          <w:p>
            <w:pPr>
              <w:rPr>
                <w:rFonts w:ascii="宋体" w:hAnsi="宋体" w:eastAsia="宋体" w:cs="宋体"/>
                <w:sz w:val="22"/>
                <w:szCs w:val="22"/>
              </w:rPr>
            </w:pPr>
          </w:p>
        </w:tc>
        <w:tc>
          <w:tcPr>
            <w:tcW w:w="794" w:type="dxa"/>
            <w:shd w:val="clear" w:color="auto" w:fill="auto"/>
            <w:vAlign w:val="bottom"/>
          </w:tcPr>
          <w:p>
            <w:pPr>
              <w:rPr>
                <w:rFonts w:ascii="宋体" w:hAnsi="宋体" w:eastAsia="宋体" w:cs="宋体"/>
                <w:sz w:val="22"/>
                <w:szCs w:val="22"/>
              </w:rPr>
            </w:pPr>
          </w:p>
        </w:tc>
        <w:tc>
          <w:tcPr>
            <w:tcW w:w="5448" w:type="dxa"/>
            <w:shd w:val="clear" w:color="auto" w:fill="auto"/>
            <w:vAlign w:val="bottom"/>
          </w:tcPr>
          <w:p>
            <w:pPr>
              <w:rPr>
                <w:rFonts w:ascii="宋体" w:hAnsi="宋体" w:eastAsia="宋体" w:cs="宋体"/>
                <w:sz w:val="22"/>
                <w:szCs w:val="22"/>
              </w:rPr>
            </w:pPr>
          </w:p>
        </w:tc>
        <w:tc>
          <w:tcPr>
            <w:tcW w:w="1939" w:type="dxa"/>
            <w:shd w:val="clear" w:color="auto" w:fill="auto"/>
            <w:vAlign w:val="center"/>
          </w:tcPr>
          <w:p>
            <w:pPr>
              <w:rPr>
                <w:rFonts w:ascii="宋体" w:hAnsi="宋体" w:eastAsia="宋体" w:cs="宋体"/>
                <w:sz w:val="22"/>
                <w:szCs w:val="22"/>
              </w:rPr>
            </w:pPr>
          </w:p>
        </w:tc>
        <w:tc>
          <w:tcPr>
            <w:tcW w:w="1838" w:type="dxa"/>
            <w:shd w:val="clear" w:color="auto" w:fill="auto"/>
            <w:vAlign w:val="center"/>
          </w:tcPr>
          <w:p>
            <w:pPr>
              <w:rPr>
                <w:rFonts w:ascii="宋体" w:hAnsi="宋体" w:eastAsia="宋体" w:cs="宋体"/>
                <w:sz w:val="22"/>
                <w:szCs w:val="22"/>
              </w:rPr>
            </w:pPr>
          </w:p>
        </w:tc>
        <w:tc>
          <w:tcPr>
            <w:tcW w:w="1840" w:type="dxa"/>
            <w:shd w:val="clear" w:color="auto" w:fill="auto"/>
            <w:vAlign w:val="bottom"/>
          </w:tcPr>
          <w:p>
            <w:pPr>
              <w:jc w:val="right"/>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05" w:hRule="atLeast"/>
          <w:jc w:val="center"/>
        </w:trPr>
        <w:tc>
          <w:tcPr>
            <w:tcW w:w="13410" w:type="dxa"/>
            <w:gridSpan w:val="7"/>
            <w:shd w:val="clear" w:color="auto" w:fill="auto"/>
            <w:vAlign w:val="center"/>
          </w:tcPr>
          <w:p>
            <w:pPr>
              <w:jc w:val="center"/>
              <w:rPr>
                <w:rFonts w:ascii="宋体" w:hAnsi="宋体" w:eastAsia="宋体" w:cs="宋体"/>
                <w:b/>
                <w:sz w:val="36"/>
                <w:szCs w:val="36"/>
                <w:lang w:eastAsia="zh-CN"/>
              </w:rPr>
            </w:pPr>
            <w:r>
              <w:rPr>
                <w:rFonts w:hint="eastAsia" w:ascii="宋体" w:hAnsi="宋体" w:eastAsia="宋体" w:cs="宋体"/>
                <w:b/>
                <w:sz w:val="36"/>
                <w:szCs w:val="36"/>
                <w:lang w:eastAsia="zh-CN"/>
              </w:rPr>
              <w:t>2021年一般公共预算财政拨款支出预算表</w:t>
            </w:r>
          </w:p>
        </w:tc>
      </w:tr>
      <w:tr>
        <w:tblPrEx>
          <w:tblLayout w:type="fixed"/>
          <w:tblCellMar>
            <w:top w:w="15" w:type="dxa"/>
            <w:left w:w="15" w:type="dxa"/>
            <w:bottom w:w="15" w:type="dxa"/>
            <w:right w:w="15" w:type="dxa"/>
          </w:tblCellMar>
        </w:tblPrEx>
        <w:trPr>
          <w:trHeight w:val="330" w:hRule="atLeast"/>
          <w:jc w:val="center"/>
        </w:trPr>
        <w:tc>
          <w:tcPr>
            <w:tcW w:w="757" w:type="dxa"/>
            <w:shd w:val="clear" w:color="auto" w:fill="auto"/>
          </w:tcPr>
          <w:p>
            <w:pPr>
              <w:rPr>
                <w:rFonts w:ascii="仿宋_GB2312" w:hAnsi="宋体" w:eastAsia="仿宋_GB2312" w:cs="仿宋_GB2312"/>
                <w:lang w:eastAsia="zh-CN"/>
              </w:rPr>
            </w:pPr>
          </w:p>
        </w:tc>
        <w:tc>
          <w:tcPr>
            <w:tcW w:w="794" w:type="dxa"/>
            <w:shd w:val="clear" w:color="auto" w:fill="auto"/>
          </w:tcPr>
          <w:p>
            <w:pPr>
              <w:rPr>
                <w:rFonts w:ascii="仿宋_GB2312" w:hAnsi="宋体" w:eastAsia="仿宋_GB2312" w:cs="仿宋_GB2312"/>
                <w:lang w:eastAsia="zh-CN"/>
              </w:rPr>
            </w:pPr>
          </w:p>
        </w:tc>
        <w:tc>
          <w:tcPr>
            <w:tcW w:w="794" w:type="dxa"/>
            <w:shd w:val="clear" w:color="auto" w:fill="auto"/>
          </w:tcPr>
          <w:p>
            <w:pPr>
              <w:rPr>
                <w:rFonts w:ascii="仿宋_GB2312" w:hAnsi="宋体" w:eastAsia="仿宋_GB2312" w:cs="仿宋_GB2312"/>
                <w:lang w:eastAsia="zh-CN"/>
              </w:rPr>
            </w:pPr>
          </w:p>
        </w:tc>
        <w:tc>
          <w:tcPr>
            <w:tcW w:w="5448" w:type="dxa"/>
            <w:shd w:val="clear" w:color="auto" w:fill="auto"/>
            <w:vAlign w:val="bottom"/>
          </w:tcPr>
          <w:p>
            <w:pPr>
              <w:rPr>
                <w:rFonts w:ascii="仿宋_GB2312" w:hAnsi="宋体" w:eastAsia="仿宋_GB2312" w:cs="仿宋_GB2312"/>
                <w:lang w:eastAsia="zh-CN"/>
              </w:rPr>
            </w:pPr>
          </w:p>
        </w:tc>
        <w:tc>
          <w:tcPr>
            <w:tcW w:w="1939" w:type="dxa"/>
            <w:shd w:val="clear" w:color="auto" w:fill="auto"/>
            <w:vAlign w:val="center"/>
          </w:tcPr>
          <w:p>
            <w:pPr>
              <w:rPr>
                <w:rFonts w:ascii="仿宋_GB2312" w:hAnsi="宋体" w:eastAsia="仿宋_GB2312" w:cs="仿宋_GB2312"/>
                <w:lang w:eastAsia="zh-CN"/>
              </w:rPr>
            </w:pPr>
          </w:p>
        </w:tc>
        <w:tc>
          <w:tcPr>
            <w:tcW w:w="1838" w:type="dxa"/>
            <w:shd w:val="clear" w:color="auto" w:fill="auto"/>
            <w:vAlign w:val="center"/>
          </w:tcPr>
          <w:p>
            <w:pPr>
              <w:rPr>
                <w:rFonts w:ascii="仿宋_GB2312" w:hAnsi="宋体" w:eastAsia="仿宋_GB2312" w:cs="仿宋_GB2312"/>
                <w:lang w:eastAsia="zh-CN"/>
              </w:rPr>
            </w:pPr>
          </w:p>
        </w:tc>
        <w:tc>
          <w:tcPr>
            <w:tcW w:w="1840" w:type="dxa"/>
            <w:tcBorders>
              <w:bottom w:val="single" w:color="000000" w:sz="4" w:space="0"/>
            </w:tcBorders>
            <w:shd w:val="clear" w:color="auto" w:fill="auto"/>
            <w:vAlign w:val="bottom"/>
          </w:tcPr>
          <w:p>
            <w:pPr>
              <w:widowControl/>
              <w:jc w:val="right"/>
              <w:textAlignment w:val="bottom"/>
              <w:rPr>
                <w:rFonts w:ascii="宋体" w:hAnsi="宋体" w:eastAsia="宋体" w:cs="宋体"/>
                <w:b/>
                <w:sz w:val="18"/>
                <w:szCs w:val="18"/>
              </w:rPr>
            </w:pPr>
            <w:r>
              <w:rPr>
                <w:rFonts w:hint="eastAsia" w:ascii="宋体" w:hAnsi="宋体" w:eastAsia="宋体" w:cs="宋体"/>
                <w:b/>
                <w:sz w:val="18"/>
                <w:szCs w:val="18"/>
                <w:lang w:eastAsia="zh-CN"/>
              </w:rPr>
              <w:t>单位：元</w:t>
            </w:r>
          </w:p>
        </w:tc>
      </w:tr>
      <w:tr>
        <w:tblPrEx>
          <w:tblLayout w:type="fixed"/>
          <w:tblCellMar>
            <w:top w:w="15" w:type="dxa"/>
            <w:left w:w="15" w:type="dxa"/>
            <w:bottom w:w="15" w:type="dxa"/>
            <w:right w:w="15" w:type="dxa"/>
          </w:tblCellMar>
        </w:tblPrEx>
        <w:trPr>
          <w:trHeight w:val="360" w:hRule="atLeast"/>
          <w:jc w:val="center"/>
        </w:trPr>
        <w:tc>
          <w:tcPr>
            <w:tcW w:w="77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功能分类科目</w:t>
            </w:r>
          </w:p>
        </w:tc>
        <w:tc>
          <w:tcPr>
            <w:tcW w:w="1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合  计</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基本支出</w:t>
            </w:r>
          </w:p>
        </w:tc>
        <w:tc>
          <w:tcPr>
            <w:tcW w:w="1840"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项目支出</w:t>
            </w:r>
          </w:p>
        </w:tc>
      </w:tr>
      <w:tr>
        <w:tblPrEx>
          <w:tblLayout w:type="fixed"/>
          <w:tblCellMar>
            <w:top w:w="15" w:type="dxa"/>
            <w:left w:w="15" w:type="dxa"/>
            <w:bottom w:w="15" w:type="dxa"/>
            <w:right w:w="15" w:type="dxa"/>
          </w:tblCellMar>
        </w:tblPrEx>
        <w:trPr>
          <w:trHeight w:val="345"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科目编码</w:t>
            </w:r>
          </w:p>
        </w:tc>
        <w:tc>
          <w:tcPr>
            <w:tcW w:w="5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科目名称</w:t>
            </w:r>
          </w:p>
        </w:tc>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c>
          <w:tcPr>
            <w:tcW w:w="18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r>
      <w:tr>
        <w:tblPrEx>
          <w:tblLayout w:type="fixed"/>
          <w:tblCellMar>
            <w:top w:w="15" w:type="dxa"/>
            <w:left w:w="15" w:type="dxa"/>
            <w:bottom w:w="15" w:type="dxa"/>
            <w:right w:w="15" w:type="dxa"/>
          </w:tblCellMar>
        </w:tblPrEx>
        <w:trPr>
          <w:trHeight w:val="3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类</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款</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项</w:t>
            </w:r>
          </w:p>
        </w:tc>
        <w:tc>
          <w:tcPr>
            <w:tcW w:w="5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c>
          <w:tcPr>
            <w:tcW w:w="18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r>
      <w:tr>
        <w:tblPrEx>
          <w:tblLayout w:type="fixed"/>
          <w:tblCellMar>
            <w:top w:w="15" w:type="dxa"/>
            <w:left w:w="15" w:type="dxa"/>
            <w:bottom w:w="15" w:type="dxa"/>
            <w:right w:w="15" w:type="dxa"/>
          </w:tblCellMar>
        </w:tblPrEx>
        <w:trPr>
          <w:trHeight w:val="390" w:hRule="atLeast"/>
          <w:jc w:val="center"/>
        </w:trPr>
        <w:tc>
          <w:tcPr>
            <w:tcW w:w="75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w:t>
            </w:r>
          </w:p>
        </w:tc>
        <w:tc>
          <w:tcPr>
            <w:tcW w:w="79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w:t>
            </w:r>
          </w:p>
        </w:tc>
        <w:tc>
          <w:tcPr>
            <w:tcW w:w="79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w:t>
            </w:r>
          </w:p>
        </w:tc>
        <w:tc>
          <w:tcPr>
            <w:tcW w:w="544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w:t>
            </w:r>
          </w:p>
        </w:tc>
        <w:tc>
          <w:tcPr>
            <w:tcW w:w="193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1</w:t>
            </w:r>
          </w:p>
        </w:tc>
        <w:tc>
          <w:tcPr>
            <w:tcW w:w="183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2</w:t>
            </w:r>
          </w:p>
        </w:tc>
        <w:tc>
          <w:tcPr>
            <w:tcW w:w="18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3</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合计</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179,930,347</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179,830,347</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100,000</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201</w:t>
            </w: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一般公共服务支出</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100,000</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100,000</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11</w:t>
            </w: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纪检监察事务</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100,000</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100,000</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201</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11</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05</w:t>
            </w: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派驻派出机构</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100,000</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100,000</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208</w:t>
            </w: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社会保障和就业支出</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5,348,336</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5,348,336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05</w:t>
            </w: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  行政事业单位养老支出</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5,348,336</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5,348,336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208</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05</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02</w:t>
            </w: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事业单位离退休</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2,077,208</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2,077,208</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208</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05</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05</w:t>
            </w: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    机关事业单位基本养老保险缴费支出</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3,271,128</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3,271,128</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210</w:t>
            </w: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卫生健康支出</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172,028,665</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172,028,665</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02</w:t>
            </w: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公立医院</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168,631,996</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168,631,996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210</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02</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01</w:t>
            </w: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综合医院</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168,631,996</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168,631,996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11</w:t>
            </w: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行政事业单位医疗</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3,396,669</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3,396,669</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210</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11</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02</w:t>
            </w: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事业单位医疗</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3,396,669</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3,396,669</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221</w:t>
            </w: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住房保障支出</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2,453,346</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2,453,346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02</w:t>
            </w:r>
          </w:p>
        </w:tc>
        <w:tc>
          <w:tcPr>
            <w:tcW w:w="794"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住房改革支出</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2,453,346</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2,453,346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r>
        <w:tblPrEx>
          <w:tblLayout w:type="fixed"/>
          <w:tblCellMar>
            <w:top w:w="15" w:type="dxa"/>
            <w:left w:w="15" w:type="dxa"/>
            <w:bottom w:w="15" w:type="dxa"/>
            <w:right w:w="15" w:type="dxa"/>
          </w:tblCellMar>
        </w:tblPrEx>
        <w:trPr>
          <w:trHeight w:val="315" w:hRule="atLeast"/>
          <w:jc w:val="center"/>
        </w:trPr>
        <w:tc>
          <w:tcPr>
            <w:tcW w:w="757"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221</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02</w:t>
            </w:r>
          </w:p>
        </w:tc>
        <w:tc>
          <w:tcPr>
            <w:tcW w:w="794"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01</w:t>
            </w:r>
          </w:p>
        </w:tc>
        <w:tc>
          <w:tcPr>
            <w:tcW w:w="5448" w:type="dxa"/>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住房公积金</w:t>
            </w:r>
          </w:p>
        </w:tc>
        <w:tc>
          <w:tcPr>
            <w:tcW w:w="1939"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2,453,346</w:t>
            </w:r>
          </w:p>
        </w:tc>
        <w:tc>
          <w:tcPr>
            <w:tcW w:w="1838"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2,453,346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r>
    </w:tbl>
    <w:tbl>
      <w:tblPr>
        <w:tblStyle w:val="4"/>
        <w:tblpPr w:leftFromText="180" w:rightFromText="180" w:vertAnchor="text" w:horzAnchor="margin" w:tblpY="75"/>
        <w:tblW w:w="13399" w:type="dxa"/>
        <w:tblInd w:w="0" w:type="dxa"/>
        <w:tblLayout w:type="fixed"/>
        <w:tblCellMar>
          <w:top w:w="15" w:type="dxa"/>
          <w:left w:w="15" w:type="dxa"/>
          <w:bottom w:w="15" w:type="dxa"/>
          <w:right w:w="15" w:type="dxa"/>
        </w:tblCellMar>
      </w:tblPr>
      <w:tblGrid>
        <w:gridCol w:w="1515"/>
        <w:gridCol w:w="1363"/>
        <w:gridCol w:w="3017"/>
        <w:gridCol w:w="2898"/>
        <w:gridCol w:w="4606"/>
      </w:tblGrid>
      <w:tr>
        <w:tblPrEx>
          <w:tblLayout w:type="fixed"/>
          <w:tblCellMar>
            <w:top w:w="15" w:type="dxa"/>
            <w:left w:w="15" w:type="dxa"/>
            <w:bottom w:w="15" w:type="dxa"/>
            <w:right w:w="15" w:type="dxa"/>
          </w:tblCellMar>
        </w:tblPrEx>
        <w:trPr>
          <w:trHeight w:val="315" w:hRule="atLeast"/>
        </w:trPr>
        <w:tc>
          <w:tcPr>
            <w:tcW w:w="1515" w:type="dxa"/>
            <w:shd w:val="clear" w:color="auto" w:fill="auto"/>
            <w:vAlign w:val="center"/>
          </w:tcPr>
          <w:p>
            <w:pPr>
              <w:widowControl/>
              <w:textAlignment w:val="center"/>
              <w:rPr>
                <w:rFonts w:ascii="宋体" w:hAnsi="宋体" w:eastAsia="宋体" w:cs="宋体"/>
                <w:b/>
                <w:sz w:val="18"/>
                <w:szCs w:val="18"/>
              </w:rPr>
            </w:pPr>
            <w:r>
              <w:rPr>
                <w:rFonts w:hint="eastAsia" w:ascii="宋体" w:hAnsi="宋体" w:eastAsia="宋体" w:cs="宋体"/>
                <w:b/>
                <w:sz w:val="22"/>
                <w:szCs w:val="22"/>
                <w:lang w:eastAsia="zh-CN"/>
              </w:rPr>
              <w:t>表3</w:t>
            </w:r>
          </w:p>
        </w:tc>
        <w:tc>
          <w:tcPr>
            <w:tcW w:w="4380" w:type="dxa"/>
            <w:gridSpan w:val="2"/>
            <w:shd w:val="clear" w:color="auto" w:fill="auto"/>
            <w:vAlign w:val="bottom"/>
          </w:tcPr>
          <w:p>
            <w:pPr>
              <w:rPr>
                <w:rFonts w:ascii="宋体" w:hAnsi="宋体" w:eastAsia="宋体" w:cs="宋体"/>
                <w:sz w:val="22"/>
                <w:szCs w:val="22"/>
              </w:rPr>
            </w:pPr>
          </w:p>
        </w:tc>
        <w:tc>
          <w:tcPr>
            <w:tcW w:w="7504" w:type="dxa"/>
            <w:gridSpan w:val="2"/>
            <w:shd w:val="clear" w:color="auto" w:fill="auto"/>
            <w:vAlign w:val="bottom"/>
          </w:tcPr>
          <w:p>
            <w:pP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95" w:hRule="atLeast"/>
        </w:trPr>
        <w:tc>
          <w:tcPr>
            <w:tcW w:w="13399" w:type="dxa"/>
            <w:gridSpan w:val="5"/>
            <w:shd w:val="clear" w:color="auto" w:fill="auto"/>
            <w:vAlign w:val="center"/>
          </w:tcPr>
          <w:p>
            <w:pPr>
              <w:jc w:val="center"/>
              <w:rPr>
                <w:rFonts w:ascii="宋体" w:hAnsi="宋体" w:eastAsia="宋体" w:cs="宋体"/>
                <w:b/>
                <w:sz w:val="36"/>
                <w:szCs w:val="36"/>
                <w:lang w:eastAsia="zh-CN"/>
              </w:rPr>
            </w:pPr>
            <w:r>
              <w:rPr>
                <w:rFonts w:hint="eastAsia" w:ascii="宋体" w:hAnsi="宋体" w:eastAsia="宋体" w:cs="宋体"/>
                <w:b/>
                <w:sz w:val="36"/>
                <w:szCs w:val="36"/>
                <w:lang w:eastAsia="zh-CN"/>
              </w:rPr>
              <w:t>2021年一般公共预算财政拨款基本支出预算表</w:t>
            </w:r>
          </w:p>
        </w:tc>
      </w:tr>
      <w:tr>
        <w:tblPrEx>
          <w:tblLayout w:type="fixed"/>
          <w:tblCellMar>
            <w:top w:w="15" w:type="dxa"/>
            <w:left w:w="15" w:type="dxa"/>
            <w:bottom w:w="15" w:type="dxa"/>
            <w:right w:w="15" w:type="dxa"/>
          </w:tblCellMar>
        </w:tblPrEx>
        <w:trPr>
          <w:trHeight w:val="390" w:hRule="atLeast"/>
        </w:trPr>
        <w:tc>
          <w:tcPr>
            <w:tcW w:w="2878" w:type="dxa"/>
            <w:gridSpan w:val="2"/>
            <w:shd w:val="clear" w:color="auto" w:fill="auto"/>
          </w:tcPr>
          <w:p>
            <w:pPr>
              <w:rPr>
                <w:rFonts w:ascii="仿宋_GB2312" w:hAnsi="宋体" w:eastAsia="仿宋_GB2312" w:cs="仿宋_GB2312"/>
                <w:sz w:val="22"/>
                <w:szCs w:val="22"/>
                <w:lang w:eastAsia="zh-CN"/>
              </w:rPr>
            </w:pPr>
          </w:p>
        </w:tc>
        <w:tc>
          <w:tcPr>
            <w:tcW w:w="5915" w:type="dxa"/>
            <w:gridSpan w:val="2"/>
            <w:shd w:val="clear" w:color="auto" w:fill="auto"/>
            <w:vAlign w:val="bottom"/>
          </w:tcPr>
          <w:p>
            <w:pPr>
              <w:rPr>
                <w:rFonts w:ascii="仿宋_GB2312" w:hAnsi="宋体" w:eastAsia="仿宋_GB2312" w:cs="仿宋_GB2312"/>
                <w:sz w:val="22"/>
                <w:szCs w:val="22"/>
                <w:lang w:eastAsia="zh-CN"/>
              </w:rPr>
            </w:pPr>
          </w:p>
        </w:tc>
        <w:tc>
          <w:tcPr>
            <w:tcW w:w="4606" w:type="dxa"/>
            <w:tcBorders>
              <w:bottom w:val="single" w:color="000000" w:sz="4" w:space="0"/>
            </w:tcBorders>
            <w:shd w:val="clear" w:color="auto" w:fill="auto"/>
            <w:vAlign w:val="bottom"/>
          </w:tcPr>
          <w:p>
            <w:pPr>
              <w:widowControl/>
              <w:jc w:val="right"/>
              <w:textAlignment w:val="bottom"/>
              <w:rPr>
                <w:rFonts w:ascii="宋体" w:hAnsi="宋体" w:eastAsia="宋体" w:cs="宋体"/>
                <w:b/>
                <w:sz w:val="22"/>
                <w:szCs w:val="22"/>
              </w:rPr>
            </w:pPr>
            <w:r>
              <w:rPr>
                <w:rFonts w:hint="eastAsia" w:ascii="宋体" w:hAnsi="宋体" w:eastAsia="宋体" w:cs="宋体"/>
                <w:b/>
                <w:sz w:val="22"/>
                <w:szCs w:val="22"/>
                <w:lang w:eastAsia="zh-CN"/>
              </w:rPr>
              <w:t>单位：元</w:t>
            </w:r>
          </w:p>
        </w:tc>
      </w:tr>
      <w:tr>
        <w:tblPrEx>
          <w:tblLayout w:type="fixed"/>
          <w:tblCellMar>
            <w:top w:w="15" w:type="dxa"/>
            <w:left w:w="15" w:type="dxa"/>
            <w:bottom w:w="15" w:type="dxa"/>
            <w:right w:w="15" w:type="dxa"/>
          </w:tblCellMar>
        </w:tblPrEx>
        <w:trPr>
          <w:trHeight w:val="375" w:hRule="atLeast"/>
        </w:trPr>
        <w:tc>
          <w:tcPr>
            <w:tcW w:w="2878" w:type="dxa"/>
            <w:gridSpan w:val="2"/>
            <w:tcBorders>
              <w:top w:val="single" w:color="000000" w:sz="4" w:space="0"/>
              <w:left w:val="single" w:color="000000" w:sz="4" w:space="0"/>
            </w:tcBorders>
            <w:shd w:val="clear" w:color="auto" w:fill="auto"/>
            <w:vAlign w:val="center"/>
          </w:tcPr>
          <w:p>
            <w:pPr>
              <w:widowControl/>
              <w:jc w:val="both"/>
              <w:textAlignment w:val="center"/>
              <w:rPr>
                <w:rFonts w:ascii="宋体" w:hAnsi="宋体" w:eastAsia="宋体" w:cs="宋体"/>
                <w:b/>
                <w:sz w:val="22"/>
                <w:szCs w:val="22"/>
              </w:rPr>
            </w:pPr>
            <w:r>
              <w:rPr>
                <w:rFonts w:hint="eastAsia" w:ascii="宋体" w:hAnsi="宋体" w:eastAsia="宋体" w:cs="宋体"/>
                <w:b/>
                <w:sz w:val="22"/>
                <w:szCs w:val="22"/>
                <w:lang w:eastAsia="zh-CN"/>
              </w:rPr>
              <w:t>经济分类科目</w:t>
            </w:r>
          </w:p>
        </w:tc>
        <w:tc>
          <w:tcPr>
            <w:tcW w:w="5915" w:type="dxa"/>
            <w:gridSpan w:val="2"/>
            <w:tcBorders>
              <w:top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b/>
                <w:sz w:val="22"/>
                <w:szCs w:val="22"/>
              </w:rPr>
            </w:pPr>
          </w:p>
        </w:tc>
        <w:tc>
          <w:tcPr>
            <w:tcW w:w="4606"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基本支出</w:t>
            </w:r>
          </w:p>
        </w:tc>
      </w:tr>
      <w:tr>
        <w:tblPrEx>
          <w:tblLayout w:type="fixed"/>
          <w:tblCellMar>
            <w:top w:w="15" w:type="dxa"/>
            <w:left w:w="15" w:type="dxa"/>
            <w:bottom w:w="15" w:type="dxa"/>
            <w:right w:w="15" w:type="dxa"/>
          </w:tblCellMar>
        </w:tblPrEx>
        <w:trPr>
          <w:trHeight w:val="285" w:hRule="atLeast"/>
        </w:trPr>
        <w:tc>
          <w:tcPr>
            <w:tcW w:w="28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b/>
                <w:sz w:val="22"/>
                <w:szCs w:val="22"/>
              </w:rPr>
            </w:pPr>
            <w:r>
              <w:rPr>
                <w:rFonts w:hint="eastAsia" w:ascii="宋体" w:hAnsi="宋体" w:eastAsia="宋体" w:cs="宋体"/>
                <w:b/>
                <w:sz w:val="22"/>
                <w:szCs w:val="22"/>
                <w:lang w:eastAsia="zh-CN"/>
              </w:rPr>
              <w:t>科目编码</w:t>
            </w:r>
          </w:p>
        </w:tc>
        <w:tc>
          <w:tcPr>
            <w:tcW w:w="5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科目名称</w:t>
            </w:r>
          </w:p>
        </w:tc>
        <w:tc>
          <w:tcPr>
            <w:tcW w:w="4606" w:type="dxa"/>
            <w:vMerge w:val="continue"/>
            <w:tcBorders>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r>
      <w:tr>
        <w:tblPrEx>
          <w:tblLayout w:type="fixed"/>
          <w:tblCellMar>
            <w:top w:w="15" w:type="dxa"/>
            <w:left w:w="15" w:type="dxa"/>
            <w:bottom w:w="15" w:type="dxa"/>
            <w:right w:w="15" w:type="dxa"/>
          </w:tblCellMar>
        </w:tblPrEx>
        <w:trPr>
          <w:trHeight w:val="285" w:hRule="atLeast"/>
        </w:trPr>
        <w:tc>
          <w:tcPr>
            <w:tcW w:w="28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eastAsia="宋体" w:cs="宋体"/>
                <w:b/>
                <w:sz w:val="22"/>
                <w:szCs w:val="22"/>
              </w:rPr>
            </w:pPr>
          </w:p>
        </w:tc>
        <w:tc>
          <w:tcPr>
            <w:tcW w:w="5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c>
          <w:tcPr>
            <w:tcW w:w="4606" w:type="dxa"/>
            <w:vMerge w:val="continue"/>
            <w:tcBorders>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r>
      <w:tr>
        <w:tblPrEx>
          <w:tblLayout w:type="fixed"/>
          <w:tblCellMar>
            <w:top w:w="15" w:type="dxa"/>
            <w:left w:w="15" w:type="dxa"/>
            <w:bottom w:w="15" w:type="dxa"/>
            <w:right w:w="15" w:type="dxa"/>
          </w:tblCellMar>
        </w:tblPrEx>
        <w:trPr>
          <w:trHeight w:val="360" w:hRule="atLeast"/>
        </w:trPr>
        <w:tc>
          <w:tcPr>
            <w:tcW w:w="2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w:t>
            </w:r>
          </w:p>
        </w:tc>
        <w:tc>
          <w:tcPr>
            <w:tcW w:w="5915"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w:t>
            </w:r>
          </w:p>
        </w:tc>
        <w:tc>
          <w:tcPr>
            <w:tcW w:w="46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1</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合计</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179,830,347</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301</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工资福利支出</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172,918,029</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30101</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基本工资</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10,833,488</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30102</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津贴补贴</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1,980,208</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30108</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  机关事业单位基本养老保险缴费</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3,271,128</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30110</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lang w:eastAsia="zh-CN"/>
              </w:rPr>
            </w:pPr>
            <w:r>
              <w:rPr>
                <w:rFonts w:hint="eastAsia" w:ascii="宋体" w:hAnsi="宋体" w:eastAsia="宋体" w:cs="宋体"/>
                <w:sz w:val="22"/>
                <w:szCs w:val="22"/>
                <w:lang w:eastAsia="zh-CN"/>
              </w:rPr>
              <w:t xml:space="preserve">  职工基本医疗保险缴费</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1,226,669</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30113</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住房公积金</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2,453,346</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30199</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其他工资福利支出</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153,153,190</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302</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商品和服务支出</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2,570,400</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30239</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其他交通费用</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2,570,400</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303</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对个人和家庭的补助</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4,341,918</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30301</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离休费</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267,848</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30302</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退休费</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1,809,360</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30305</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生活补助</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94,710</w:t>
            </w:r>
          </w:p>
        </w:tc>
      </w:tr>
      <w:tr>
        <w:tblPrEx>
          <w:tblLayout w:type="fixed"/>
          <w:tblCellMar>
            <w:top w:w="15" w:type="dxa"/>
            <w:left w:w="15" w:type="dxa"/>
            <w:bottom w:w="15" w:type="dxa"/>
            <w:right w:w="15" w:type="dxa"/>
          </w:tblCellMar>
        </w:tblPrEx>
        <w:trPr>
          <w:trHeight w:val="345" w:hRule="atLeast"/>
        </w:trPr>
        <w:tc>
          <w:tcPr>
            <w:tcW w:w="2878" w:type="dxa"/>
            <w:gridSpan w:val="2"/>
            <w:tcBorders>
              <w:top w:val="single" w:color="000000" w:sz="4" w:space="0"/>
              <w:left w:val="single" w:color="000000" w:sz="4" w:space="0"/>
              <w:bottom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30307</w:t>
            </w:r>
          </w:p>
        </w:tc>
        <w:tc>
          <w:tcPr>
            <w:tcW w:w="5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 w:val="22"/>
                <w:szCs w:val="22"/>
              </w:rPr>
            </w:pPr>
            <w:r>
              <w:rPr>
                <w:rFonts w:hint="eastAsia" w:ascii="宋体" w:hAnsi="宋体" w:eastAsia="宋体" w:cs="宋体"/>
                <w:sz w:val="22"/>
                <w:szCs w:val="22"/>
                <w:lang w:eastAsia="zh-CN"/>
              </w:rPr>
              <w:t xml:space="preserve">  医疗费补助</w:t>
            </w:r>
          </w:p>
        </w:tc>
        <w:tc>
          <w:tcPr>
            <w:tcW w:w="4606" w:type="dxa"/>
            <w:tcBorders>
              <w:top w:val="single" w:color="000000" w:sz="4" w:space="0"/>
              <w:bottom w:val="single" w:color="000000" w:sz="4" w:space="0"/>
              <w:right w:val="single" w:color="000000" w:sz="4" w:space="0"/>
            </w:tcBorders>
            <w:shd w:val="clear" w:color="auto" w:fill="auto"/>
            <w:vAlign w:val="center"/>
          </w:tcPr>
          <w:p>
            <w:pPr>
              <w:jc w:val="right"/>
              <w:rPr>
                <w:rFonts w:cs="宋体" w:asciiTheme="minorEastAsia" w:hAnsiTheme="minorEastAsia" w:eastAsiaTheme="minorEastAsia"/>
                <w:sz w:val="22"/>
                <w:szCs w:val="22"/>
              </w:rPr>
            </w:pPr>
            <w:r>
              <w:rPr>
                <w:rFonts w:hint="eastAsia" w:asciiTheme="minorEastAsia" w:hAnsiTheme="minorEastAsia" w:eastAsiaTheme="minorEastAsia"/>
                <w:sz w:val="22"/>
                <w:szCs w:val="22"/>
              </w:rPr>
              <w:t>2,170,000</w:t>
            </w:r>
          </w:p>
        </w:tc>
      </w:tr>
    </w:tbl>
    <w:tbl>
      <w:tblPr>
        <w:tblStyle w:val="4"/>
        <w:tblW w:w="14260" w:type="dxa"/>
        <w:tblInd w:w="89" w:type="dxa"/>
        <w:tblLayout w:type="fixed"/>
        <w:tblCellMar>
          <w:top w:w="0" w:type="dxa"/>
          <w:left w:w="108" w:type="dxa"/>
          <w:bottom w:w="0" w:type="dxa"/>
          <w:right w:w="108" w:type="dxa"/>
        </w:tblCellMar>
      </w:tblPr>
      <w:tblGrid>
        <w:gridCol w:w="3700"/>
        <w:gridCol w:w="1564"/>
        <w:gridCol w:w="116"/>
        <w:gridCol w:w="3060"/>
        <w:gridCol w:w="368"/>
        <w:gridCol w:w="1812"/>
        <w:gridCol w:w="1920"/>
        <w:gridCol w:w="1720"/>
      </w:tblGrid>
      <w:tr>
        <w:tblPrEx>
          <w:tblLayout w:type="fixed"/>
          <w:tblCellMar>
            <w:top w:w="0" w:type="dxa"/>
            <w:left w:w="108" w:type="dxa"/>
            <w:bottom w:w="0" w:type="dxa"/>
            <w:right w:w="108" w:type="dxa"/>
          </w:tblCellMar>
        </w:tblPrEx>
        <w:trPr>
          <w:trHeight w:val="330" w:hRule="atLeast"/>
        </w:trPr>
        <w:tc>
          <w:tcPr>
            <w:tcW w:w="3700" w:type="dxa"/>
            <w:tcBorders>
              <w:top w:val="nil"/>
              <w:left w:val="nil"/>
              <w:bottom w:val="nil"/>
              <w:right w:val="nil"/>
            </w:tcBorders>
            <w:shd w:val="clear" w:color="auto" w:fill="auto"/>
            <w:noWrap/>
            <w:vAlign w:val="center"/>
          </w:tcPr>
          <w:p>
            <w:pPr>
              <w:widowControl/>
              <w:rPr>
                <w:rFonts w:ascii="宋体" w:hAnsi="宋体" w:eastAsia="宋体" w:cs="宋体"/>
                <w:b/>
                <w:bCs/>
                <w:color w:val="auto"/>
                <w:sz w:val="22"/>
                <w:szCs w:val="22"/>
                <w:lang w:eastAsia="zh-CN" w:bidi="ar-SA"/>
              </w:rPr>
            </w:pPr>
            <w:r>
              <w:rPr>
                <w:rFonts w:hint="eastAsia" w:ascii="宋体" w:hAnsi="宋体" w:eastAsia="宋体" w:cs="宋体"/>
                <w:b/>
                <w:bCs/>
                <w:color w:val="auto"/>
                <w:sz w:val="22"/>
                <w:szCs w:val="22"/>
                <w:lang w:eastAsia="zh-CN" w:bidi="ar-SA"/>
              </w:rPr>
              <w:t>表4</w:t>
            </w:r>
          </w:p>
        </w:tc>
        <w:tc>
          <w:tcPr>
            <w:tcW w:w="1680" w:type="dxa"/>
            <w:gridSpan w:val="2"/>
            <w:tcBorders>
              <w:top w:val="nil"/>
              <w:left w:val="nil"/>
              <w:bottom w:val="nil"/>
              <w:right w:val="nil"/>
            </w:tcBorders>
            <w:shd w:val="clear" w:color="auto" w:fill="auto"/>
            <w:noWrap/>
            <w:vAlign w:val="bottom"/>
          </w:tcPr>
          <w:p>
            <w:pPr>
              <w:widowControl/>
              <w:rPr>
                <w:rFonts w:ascii="宋体" w:hAnsi="宋体" w:eastAsia="宋体" w:cs="宋体"/>
                <w:color w:val="auto"/>
                <w:sz w:val="22"/>
                <w:szCs w:val="22"/>
                <w:lang w:eastAsia="zh-CN" w:bidi="ar-SA"/>
              </w:rPr>
            </w:pPr>
          </w:p>
        </w:tc>
        <w:tc>
          <w:tcPr>
            <w:tcW w:w="3060"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2180"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sz w:val="22"/>
                <w:szCs w:val="22"/>
                <w:lang w:eastAsia="zh-CN" w:bidi="ar-SA"/>
              </w:rPr>
            </w:pPr>
          </w:p>
        </w:tc>
        <w:tc>
          <w:tcPr>
            <w:tcW w:w="1920"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720" w:type="dxa"/>
            <w:tcBorders>
              <w:top w:val="nil"/>
              <w:left w:val="nil"/>
              <w:bottom w:val="nil"/>
              <w:right w:val="nil"/>
            </w:tcBorders>
            <w:shd w:val="clear" w:color="auto" w:fill="auto"/>
            <w:noWrap/>
            <w:vAlign w:val="bottom"/>
          </w:tcPr>
          <w:p>
            <w:pPr>
              <w:widowControl/>
              <w:jc w:val="right"/>
              <w:rPr>
                <w:rFonts w:ascii="宋体" w:hAnsi="宋体" w:eastAsia="宋体" w:cs="宋体"/>
                <w:color w:val="auto"/>
                <w:sz w:val="22"/>
                <w:szCs w:val="22"/>
                <w:lang w:eastAsia="zh-CN" w:bidi="ar-SA"/>
              </w:rPr>
            </w:pPr>
          </w:p>
        </w:tc>
      </w:tr>
      <w:tr>
        <w:tblPrEx>
          <w:tblLayout w:type="fixed"/>
          <w:tblCellMar>
            <w:top w:w="0" w:type="dxa"/>
            <w:left w:w="108" w:type="dxa"/>
            <w:bottom w:w="0" w:type="dxa"/>
            <w:right w:w="108" w:type="dxa"/>
          </w:tblCellMar>
        </w:tblPrEx>
        <w:trPr>
          <w:trHeight w:val="465" w:hRule="atLeast"/>
        </w:trPr>
        <w:tc>
          <w:tcPr>
            <w:tcW w:w="14260"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color w:val="auto"/>
                <w:sz w:val="36"/>
                <w:szCs w:val="36"/>
                <w:lang w:eastAsia="zh-CN" w:bidi="ar-SA"/>
              </w:rPr>
            </w:pPr>
            <w:r>
              <w:rPr>
                <w:rFonts w:hint="eastAsia" w:ascii="宋体" w:hAnsi="宋体" w:eastAsia="宋体" w:cs="宋体"/>
                <w:b/>
                <w:bCs/>
                <w:color w:val="auto"/>
                <w:sz w:val="36"/>
                <w:szCs w:val="36"/>
                <w:lang w:eastAsia="zh-CN" w:bidi="ar-SA"/>
              </w:rPr>
              <w:t>2021年部门收支预算总表</w:t>
            </w:r>
          </w:p>
        </w:tc>
      </w:tr>
      <w:tr>
        <w:tblPrEx>
          <w:tblLayout w:type="fixed"/>
          <w:tblCellMar>
            <w:top w:w="0" w:type="dxa"/>
            <w:left w:w="108" w:type="dxa"/>
            <w:bottom w:w="0" w:type="dxa"/>
            <w:right w:w="108" w:type="dxa"/>
          </w:tblCellMar>
        </w:tblPrEx>
        <w:trPr>
          <w:trHeight w:val="285" w:hRule="atLeast"/>
        </w:trPr>
        <w:tc>
          <w:tcPr>
            <w:tcW w:w="3700" w:type="dxa"/>
            <w:tcBorders>
              <w:top w:val="nil"/>
              <w:left w:val="nil"/>
              <w:bottom w:val="nil"/>
              <w:right w:val="nil"/>
            </w:tcBorders>
            <w:shd w:val="clear" w:color="auto" w:fill="auto"/>
            <w:noWrap/>
            <w:vAlign w:val="center"/>
          </w:tcPr>
          <w:p>
            <w:pPr>
              <w:widowControl/>
              <w:rPr>
                <w:rFonts w:ascii="宋体" w:hAnsi="宋体" w:eastAsia="宋体" w:cs="宋体"/>
                <w:color w:val="auto"/>
                <w:sz w:val="20"/>
                <w:szCs w:val="20"/>
                <w:lang w:eastAsia="zh-CN" w:bidi="ar-SA"/>
              </w:rPr>
            </w:pPr>
          </w:p>
        </w:tc>
        <w:tc>
          <w:tcPr>
            <w:tcW w:w="1564" w:type="dxa"/>
            <w:tcBorders>
              <w:top w:val="nil"/>
              <w:left w:val="nil"/>
              <w:bottom w:val="nil"/>
              <w:right w:val="nil"/>
            </w:tcBorders>
            <w:shd w:val="clear" w:color="auto" w:fill="auto"/>
            <w:noWrap/>
            <w:vAlign w:val="center"/>
          </w:tcPr>
          <w:p>
            <w:pPr>
              <w:widowControl/>
              <w:rPr>
                <w:rFonts w:ascii="宋体" w:hAnsi="宋体" w:eastAsia="宋体" w:cs="宋体"/>
                <w:color w:val="auto"/>
                <w:sz w:val="20"/>
                <w:szCs w:val="20"/>
                <w:lang w:eastAsia="zh-CN" w:bidi="ar-SA"/>
              </w:rPr>
            </w:pPr>
          </w:p>
        </w:tc>
        <w:tc>
          <w:tcPr>
            <w:tcW w:w="3176" w:type="dxa"/>
            <w:gridSpan w:val="2"/>
            <w:tcBorders>
              <w:top w:val="nil"/>
              <w:left w:val="nil"/>
              <w:bottom w:val="nil"/>
              <w:right w:val="nil"/>
            </w:tcBorders>
            <w:shd w:val="clear" w:color="auto" w:fill="auto"/>
            <w:noWrap/>
            <w:vAlign w:val="center"/>
          </w:tcPr>
          <w:p>
            <w:pPr>
              <w:widowControl/>
              <w:rPr>
                <w:rFonts w:ascii="宋体" w:hAnsi="宋体" w:eastAsia="宋体" w:cs="宋体"/>
                <w:color w:val="auto"/>
                <w:sz w:val="20"/>
                <w:szCs w:val="20"/>
                <w:lang w:eastAsia="zh-CN" w:bidi="ar-SA"/>
              </w:rPr>
            </w:pPr>
          </w:p>
        </w:tc>
        <w:tc>
          <w:tcPr>
            <w:tcW w:w="2180"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sz w:val="20"/>
                <w:szCs w:val="20"/>
                <w:lang w:eastAsia="zh-CN" w:bidi="ar-SA"/>
              </w:rPr>
            </w:pPr>
          </w:p>
        </w:tc>
        <w:tc>
          <w:tcPr>
            <w:tcW w:w="1920" w:type="dxa"/>
            <w:tcBorders>
              <w:top w:val="nil"/>
              <w:left w:val="nil"/>
              <w:bottom w:val="nil"/>
              <w:right w:val="nil"/>
            </w:tcBorders>
            <w:shd w:val="clear" w:color="auto" w:fill="auto"/>
            <w:noWrap/>
            <w:vAlign w:val="center"/>
          </w:tcPr>
          <w:p>
            <w:pPr>
              <w:widowControl/>
              <w:rPr>
                <w:rFonts w:ascii="宋体" w:hAnsi="宋体" w:eastAsia="宋体" w:cs="宋体"/>
                <w:color w:val="auto"/>
                <w:sz w:val="20"/>
                <w:szCs w:val="20"/>
                <w:lang w:eastAsia="zh-CN" w:bidi="ar-SA"/>
              </w:rPr>
            </w:pPr>
          </w:p>
        </w:tc>
        <w:tc>
          <w:tcPr>
            <w:tcW w:w="1720" w:type="dxa"/>
            <w:tcBorders>
              <w:top w:val="nil"/>
              <w:left w:val="nil"/>
              <w:bottom w:val="nil"/>
              <w:right w:val="nil"/>
            </w:tcBorders>
            <w:shd w:val="clear" w:color="auto" w:fill="auto"/>
            <w:noWrap/>
            <w:vAlign w:val="center"/>
          </w:tcPr>
          <w:p>
            <w:pPr>
              <w:widowControl/>
              <w:jc w:val="right"/>
              <w:rPr>
                <w:rFonts w:ascii="宋体" w:hAnsi="宋体" w:eastAsia="宋体" w:cs="宋体"/>
                <w:b/>
                <w:bCs/>
                <w:color w:val="auto"/>
                <w:sz w:val="20"/>
                <w:szCs w:val="20"/>
                <w:lang w:eastAsia="zh-CN" w:bidi="ar-SA"/>
              </w:rPr>
            </w:pPr>
            <w:r>
              <w:rPr>
                <w:rFonts w:hint="eastAsia" w:ascii="宋体" w:hAnsi="宋体" w:eastAsia="宋体" w:cs="宋体"/>
                <w:b/>
                <w:bCs/>
                <w:color w:val="auto"/>
                <w:sz w:val="20"/>
                <w:szCs w:val="20"/>
                <w:lang w:eastAsia="zh-CN" w:bidi="ar-SA"/>
              </w:rPr>
              <w:t>单位：元</w:t>
            </w:r>
          </w:p>
        </w:tc>
      </w:tr>
      <w:tr>
        <w:tblPrEx>
          <w:tblLayout w:type="fixed"/>
          <w:tblCellMar>
            <w:top w:w="0" w:type="dxa"/>
            <w:left w:w="108" w:type="dxa"/>
            <w:bottom w:w="0" w:type="dxa"/>
            <w:right w:w="108" w:type="dxa"/>
          </w:tblCellMar>
        </w:tblPrEx>
        <w:trPr>
          <w:trHeight w:val="450" w:hRule="atLeast"/>
        </w:trPr>
        <w:tc>
          <w:tcPr>
            <w:tcW w:w="52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收    入</w:t>
            </w:r>
          </w:p>
        </w:tc>
        <w:tc>
          <w:tcPr>
            <w:tcW w:w="7276"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支    出</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　</w:t>
            </w:r>
          </w:p>
        </w:tc>
      </w:tr>
      <w:tr>
        <w:tblPrEx>
          <w:tblLayout w:type="fixed"/>
          <w:tblCellMar>
            <w:top w:w="0" w:type="dxa"/>
            <w:left w:w="108" w:type="dxa"/>
            <w:bottom w:w="0" w:type="dxa"/>
            <w:right w:w="108" w:type="dxa"/>
          </w:tblCellMar>
        </w:tblPrEx>
        <w:trPr>
          <w:trHeight w:val="450" w:hRule="atLeast"/>
        </w:trPr>
        <w:tc>
          <w:tcPr>
            <w:tcW w:w="3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收入项目</w:t>
            </w:r>
          </w:p>
        </w:tc>
        <w:tc>
          <w:tcPr>
            <w:tcW w:w="1564"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预算数</w:t>
            </w:r>
          </w:p>
        </w:tc>
        <w:tc>
          <w:tcPr>
            <w:tcW w:w="3544"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支出项目（功能分类）</w:t>
            </w:r>
          </w:p>
        </w:tc>
        <w:tc>
          <w:tcPr>
            <w:tcW w:w="1812"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预算数</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支出项目（性质）</w:t>
            </w:r>
          </w:p>
        </w:tc>
        <w:tc>
          <w:tcPr>
            <w:tcW w:w="1720"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预算数</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一、一般公共预算拨款</w:t>
            </w:r>
          </w:p>
        </w:tc>
        <w:tc>
          <w:tcPr>
            <w:tcW w:w="1564" w:type="dxa"/>
            <w:tcBorders>
              <w:top w:val="single" w:color="auto" w:sz="4" w:space="0"/>
              <w:left w:val="single" w:color="auto" w:sz="4" w:space="0"/>
              <w:bottom w:val="nil"/>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一、一般公共服务支出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100,000</w:t>
            </w:r>
          </w:p>
        </w:tc>
        <w:tc>
          <w:tcPr>
            <w:tcW w:w="1920" w:type="dxa"/>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一、基本支出</w:t>
            </w:r>
          </w:p>
        </w:tc>
        <w:tc>
          <w:tcPr>
            <w:tcW w:w="172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179,830,347</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1.市本级安排</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二、外交支出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人员经费</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177,259,947</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其中：纳入预算管理的非税收入  </w:t>
            </w:r>
          </w:p>
        </w:tc>
        <w:tc>
          <w:tcPr>
            <w:tcW w:w="1564" w:type="dxa"/>
            <w:tcBorders>
              <w:top w:val="nil"/>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三、国防支出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公用经费</w:t>
            </w:r>
          </w:p>
        </w:tc>
        <w:tc>
          <w:tcPr>
            <w:tcW w:w="1720" w:type="dxa"/>
            <w:tcBorders>
              <w:top w:val="nil"/>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2,570,400</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其中：纳入预算外专户管理非税收人</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四、公共安全支出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二、项目支出</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100,000</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nil"/>
            </w:tcBorders>
            <w:shd w:val="clear" w:color="auto" w:fill="auto"/>
            <w:noWrap/>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2.自治区提前下达专项资金</w:t>
            </w:r>
          </w:p>
        </w:tc>
        <w:tc>
          <w:tcPr>
            <w:tcW w:w="1564" w:type="dxa"/>
            <w:tcBorders>
              <w:top w:val="nil"/>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五、教育支出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w:t>
            </w:r>
          </w:p>
        </w:tc>
        <w:tc>
          <w:tcPr>
            <w:tcW w:w="1720"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二、政府性基金预算拨款</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六、科学技术支出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1.市本级安排</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七、文化旅游体育与传媒支出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2.自治区提前下达专项资金</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八、社会保障和就业支出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5,348,336</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九、社会保险基金支出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十、卫生健康支出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172,028,665</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nil"/>
              <w:right w:val="nil"/>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p>
        </w:tc>
        <w:tc>
          <w:tcPr>
            <w:tcW w:w="3544" w:type="dxa"/>
            <w:gridSpan w:val="3"/>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十一、节能环保支出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十二、城乡社区支出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十三、农林水支出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十四、交通运输支出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十五、资源勘探信息等支出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十六、商业服务业等支出</w:t>
            </w:r>
          </w:p>
        </w:tc>
        <w:tc>
          <w:tcPr>
            <w:tcW w:w="1812"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十七、金融支出</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十八、援助其他地区支出</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十九、自然资源海洋气象等支出</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二十、住房保障支出</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2,453,346</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二十一、粮油物资储备支出</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二十二、国有资本经营预算支出</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二十三、灾害防治及应急管理支出</w:t>
            </w:r>
          </w:p>
        </w:tc>
        <w:tc>
          <w:tcPr>
            <w:tcW w:w="1812"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二十四、预备费</w:t>
            </w:r>
          </w:p>
        </w:tc>
        <w:tc>
          <w:tcPr>
            <w:tcW w:w="1812"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二十五、其他支出</w:t>
            </w:r>
          </w:p>
        </w:tc>
        <w:tc>
          <w:tcPr>
            <w:tcW w:w="1812"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二十六、转移性支出</w:t>
            </w:r>
          </w:p>
        </w:tc>
        <w:tc>
          <w:tcPr>
            <w:tcW w:w="1812"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nil"/>
              <w:left w:val="single" w:color="auto" w:sz="4" w:space="0"/>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二十七、债务还本支出</w:t>
            </w:r>
          </w:p>
        </w:tc>
        <w:tc>
          <w:tcPr>
            <w:tcW w:w="1812"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二十八、债务付息支出</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single" w:color="auto" w:sz="4" w:space="0"/>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single" w:color="auto" w:sz="4" w:space="0"/>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二十九、债务发行费用支出</w:t>
            </w:r>
          </w:p>
        </w:tc>
        <w:tc>
          <w:tcPr>
            <w:tcW w:w="181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nil"/>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81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single" w:color="auto" w:sz="4" w:space="0"/>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single" w:color="auto" w:sz="4" w:space="0"/>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本年收入</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本年支出 </w:t>
            </w:r>
          </w:p>
        </w:tc>
        <w:tc>
          <w:tcPr>
            <w:tcW w:w="181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本年支出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r>
      <w:tr>
        <w:tblPrEx>
          <w:tblLayout w:type="fixed"/>
          <w:tblCellMar>
            <w:top w:w="0" w:type="dxa"/>
            <w:left w:w="108" w:type="dxa"/>
            <w:bottom w:w="0" w:type="dxa"/>
            <w:right w:w="108" w:type="dxa"/>
          </w:tblCellMar>
        </w:tblPrEx>
        <w:trPr>
          <w:trHeight w:val="465" w:hRule="atLeast"/>
        </w:trPr>
        <w:tc>
          <w:tcPr>
            <w:tcW w:w="3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结转下年</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结转下年</w:t>
            </w:r>
          </w:p>
        </w:tc>
        <w:tc>
          <w:tcPr>
            <w:tcW w:w="181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single" w:color="auto" w:sz="4" w:space="0"/>
              <w:left w:val="nil"/>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结转下年</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81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single" w:color="auto" w:sz="4" w:space="0"/>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544" w:type="dxa"/>
            <w:gridSpan w:val="3"/>
            <w:tcBorders>
              <w:top w:val="single" w:color="auto" w:sz="4" w:space="0"/>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81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920" w:type="dxa"/>
            <w:tcBorders>
              <w:top w:val="single" w:color="auto" w:sz="4" w:space="0"/>
              <w:left w:val="nil"/>
              <w:bottom w:val="single" w:color="auto" w:sz="4" w:space="0"/>
              <w:right w:val="single" w:color="auto" w:sz="4" w:space="0"/>
            </w:tcBorders>
            <w:shd w:val="clear" w:color="auto" w:fill="auto"/>
            <w:noWrap/>
            <w:vAlign w:val="bottom"/>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370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收入总计</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本年支出总计</w:t>
            </w:r>
          </w:p>
        </w:tc>
        <w:tc>
          <w:tcPr>
            <w:tcW w:w="181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本年支出总计</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r>
    </w:tbl>
    <w:p>
      <w:pPr>
        <w:widowControl/>
        <w:textAlignment w:val="center"/>
        <w:rPr>
          <w:rFonts w:ascii="宋体" w:hAnsi="宋体" w:eastAsia="宋体" w:cs="宋体"/>
          <w:b/>
          <w:sz w:val="22"/>
          <w:szCs w:val="22"/>
          <w:lang w:eastAsia="zh-CN"/>
        </w:rPr>
      </w:pPr>
    </w:p>
    <w:p>
      <w:pPr>
        <w:widowControl/>
        <w:jc w:val="both"/>
        <w:textAlignment w:val="center"/>
        <w:rPr>
          <w:rFonts w:ascii="宋体" w:hAnsi="宋体" w:eastAsia="宋体" w:cs="宋体"/>
          <w:b/>
          <w:sz w:val="22"/>
          <w:szCs w:val="22"/>
          <w:lang w:eastAsia="zh-CN"/>
        </w:rPr>
      </w:pPr>
      <w:r>
        <w:rPr>
          <w:rFonts w:hint="eastAsia" w:ascii="宋体" w:hAnsi="宋体" w:eastAsia="宋体" w:cs="宋体"/>
          <w:b/>
          <w:sz w:val="22"/>
          <w:szCs w:val="22"/>
          <w:lang w:eastAsia="zh-CN"/>
        </w:rPr>
        <w:br w:type="page"/>
      </w:r>
    </w:p>
    <w:tbl>
      <w:tblPr>
        <w:tblStyle w:val="4"/>
        <w:tblW w:w="14336" w:type="dxa"/>
        <w:tblInd w:w="89" w:type="dxa"/>
        <w:tblLayout w:type="fixed"/>
        <w:tblCellMar>
          <w:top w:w="0" w:type="dxa"/>
          <w:left w:w="108" w:type="dxa"/>
          <w:bottom w:w="0" w:type="dxa"/>
          <w:right w:w="108" w:type="dxa"/>
        </w:tblCellMar>
      </w:tblPr>
      <w:tblGrid>
        <w:gridCol w:w="876"/>
        <w:gridCol w:w="2687"/>
        <w:gridCol w:w="1493"/>
        <w:gridCol w:w="350"/>
        <w:gridCol w:w="1316"/>
        <w:gridCol w:w="527"/>
        <w:gridCol w:w="899"/>
        <w:gridCol w:w="518"/>
        <w:gridCol w:w="553"/>
        <w:gridCol w:w="865"/>
        <w:gridCol w:w="444"/>
        <w:gridCol w:w="973"/>
        <w:gridCol w:w="98"/>
        <w:gridCol w:w="863"/>
        <w:gridCol w:w="740"/>
        <w:gridCol w:w="1134"/>
      </w:tblGrid>
      <w:tr>
        <w:tblPrEx>
          <w:tblLayout w:type="fixed"/>
          <w:tblCellMar>
            <w:top w:w="0" w:type="dxa"/>
            <w:left w:w="108" w:type="dxa"/>
            <w:bottom w:w="0" w:type="dxa"/>
            <w:right w:w="108" w:type="dxa"/>
          </w:tblCellMar>
        </w:tblPrEx>
        <w:trPr>
          <w:trHeight w:val="322" w:hRule="atLeast"/>
        </w:trPr>
        <w:tc>
          <w:tcPr>
            <w:tcW w:w="876" w:type="dxa"/>
            <w:tcBorders>
              <w:top w:val="nil"/>
              <w:left w:val="nil"/>
              <w:bottom w:val="nil"/>
              <w:right w:val="nil"/>
            </w:tcBorders>
            <w:shd w:val="clear" w:color="auto" w:fill="auto"/>
            <w:noWrap/>
            <w:vAlign w:val="center"/>
          </w:tcPr>
          <w:p>
            <w:pPr>
              <w:widowControl/>
              <w:rPr>
                <w:rFonts w:ascii="宋体" w:hAnsi="宋体" w:eastAsia="宋体" w:cs="宋体"/>
                <w:b/>
                <w:bCs/>
                <w:color w:val="auto"/>
                <w:sz w:val="22"/>
                <w:szCs w:val="22"/>
                <w:lang w:eastAsia="zh-CN" w:bidi="ar-SA"/>
              </w:rPr>
            </w:pPr>
            <w:r>
              <w:rPr>
                <w:rFonts w:hint="eastAsia" w:ascii="宋体" w:hAnsi="宋体" w:eastAsia="宋体" w:cs="宋体"/>
                <w:b/>
                <w:bCs/>
                <w:color w:val="auto"/>
                <w:sz w:val="22"/>
                <w:szCs w:val="22"/>
                <w:lang w:eastAsia="zh-CN" w:bidi="ar-SA"/>
              </w:rPr>
              <w:t>表5</w:t>
            </w:r>
          </w:p>
        </w:tc>
        <w:tc>
          <w:tcPr>
            <w:tcW w:w="4180" w:type="dxa"/>
            <w:gridSpan w:val="2"/>
            <w:tcBorders>
              <w:top w:val="nil"/>
              <w:left w:val="nil"/>
              <w:bottom w:val="nil"/>
              <w:right w:val="nil"/>
            </w:tcBorders>
            <w:shd w:val="clear" w:color="auto" w:fill="auto"/>
            <w:noWrap/>
            <w:vAlign w:val="bottom"/>
          </w:tcPr>
          <w:p>
            <w:pPr>
              <w:widowControl/>
              <w:rPr>
                <w:rFonts w:ascii="宋体" w:hAnsi="宋体" w:eastAsia="宋体" w:cs="宋体"/>
                <w:color w:val="auto"/>
                <w:sz w:val="22"/>
                <w:szCs w:val="22"/>
                <w:lang w:eastAsia="zh-CN" w:bidi="ar-SA"/>
              </w:rPr>
            </w:pPr>
          </w:p>
        </w:tc>
        <w:tc>
          <w:tcPr>
            <w:tcW w:w="1666" w:type="dxa"/>
            <w:gridSpan w:val="2"/>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426" w:type="dxa"/>
            <w:gridSpan w:val="2"/>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071" w:type="dxa"/>
            <w:gridSpan w:val="2"/>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309" w:type="dxa"/>
            <w:gridSpan w:val="2"/>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071" w:type="dxa"/>
            <w:gridSpan w:val="2"/>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863"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740" w:type="dxa"/>
            <w:tcBorders>
              <w:top w:val="nil"/>
              <w:left w:val="nil"/>
              <w:bottom w:val="nil"/>
              <w:right w:val="nil"/>
            </w:tcBorders>
            <w:shd w:val="clear" w:color="auto" w:fill="auto"/>
            <w:noWrap/>
            <w:vAlign w:val="bottom"/>
          </w:tcPr>
          <w:p>
            <w:pPr>
              <w:widowControl/>
              <w:jc w:val="right"/>
              <w:rPr>
                <w:rFonts w:ascii="宋体" w:hAnsi="宋体" w:eastAsia="宋体" w:cs="宋体"/>
                <w:color w:val="auto"/>
                <w:sz w:val="22"/>
                <w:szCs w:val="22"/>
                <w:lang w:eastAsia="zh-CN" w:bidi="ar-SA"/>
              </w:rPr>
            </w:pPr>
          </w:p>
        </w:tc>
        <w:tc>
          <w:tcPr>
            <w:tcW w:w="1134"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r>
      <w:tr>
        <w:tblPrEx>
          <w:tblLayout w:type="fixed"/>
          <w:tblCellMar>
            <w:top w:w="0" w:type="dxa"/>
            <w:left w:w="108" w:type="dxa"/>
            <w:bottom w:w="0" w:type="dxa"/>
            <w:right w:w="108" w:type="dxa"/>
          </w:tblCellMar>
        </w:tblPrEx>
        <w:trPr>
          <w:trHeight w:val="537" w:hRule="atLeast"/>
        </w:trPr>
        <w:tc>
          <w:tcPr>
            <w:tcW w:w="13202" w:type="dxa"/>
            <w:gridSpan w:val="15"/>
            <w:tcBorders>
              <w:top w:val="nil"/>
              <w:left w:val="nil"/>
              <w:bottom w:val="nil"/>
              <w:right w:val="nil"/>
            </w:tcBorders>
            <w:shd w:val="clear" w:color="auto" w:fill="auto"/>
            <w:noWrap/>
            <w:vAlign w:val="center"/>
          </w:tcPr>
          <w:p>
            <w:pPr>
              <w:widowControl/>
              <w:jc w:val="center"/>
              <w:rPr>
                <w:rFonts w:ascii="宋体" w:hAnsi="宋体" w:eastAsia="宋体" w:cs="宋体"/>
                <w:b/>
                <w:bCs/>
                <w:color w:val="auto"/>
                <w:sz w:val="36"/>
                <w:szCs w:val="36"/>
                <w:lang w:eastAsia="zh-CN" w:bidi="ar-SA"/>
              </w:rPr>
            </w:pPr>
            <w:r>
              <w:rPr>
                <w:rFonts w:hint="eastAsia" w:ascii="宋体" w:hAnsi="宋体" w:eastAsia="宋体" w:cs="宋体"/>
                <w:b/>
                <w:bCs/>
                <w:color w:val="auto"/>
                <w:sz w:val="36"/>
                <w:szCs w:val="36"/>
                <w:lang w:eastAsia="zh-CN" w:bidi="ar-SA"/>
              </w:rPr>
              <w:t>2021年部门收入预算总表</w:t>
            </w:r>
          </w:p>
        </w:tc>
        <w:tc>
          <w:tcPr>
            <w:tcW w:w="1134" w:type="dxa"/>
            <w:tcBorders>
              <w:top w:val="nil"/>
              <w:left w:val="nil"/>
              <w:bottom w:val="nil"/>
              <w:right w:val="nil"/>
            </w:tcBorders>
            <w:shd w:val="clear" w:color="auto" w:fill="auto"/>
            <w:vAlign w:val="center"/>
          </w:tcPr>
          <w:p>
            <w:pPr>
              <w:widowControl/>
              <w:jc w:val="center"/>
              <w:rPr>
                <w:rFonts w:ascii="宋体" w:hAnsi="宋体" w:eastAsia="宋体" w:cs="宋体"/>
                <w:color w:val="auto"/>
                <w:sz w:val="40"/>
                <w:szCs w:val="40"/>
                <w:lang w:eastAsia="zh-CN" w:bidi="ar-SA"/>
              </w:rPr>
            </w:pPr>
          </w:p>
        </w:tc>
      </w:tr>
      <w:tr>
        <w:tblPrEx>
          <w:tblLayout w:type="fixed"/>
          <w:tblCellMar>
            <w:top w:w="0" w:type="dxa"/>
            <w:left w:w="108" w:type="dxa"/>
            <w:bottom w:w="0" w:type="dxa"/>
            <w:right w:w="108" w:type="dxa"/>
          </w:tblCellMar>
        </w:tblPrEx>
        <w:trPr>
          <w:trHeight w:val="276" w:hRule="atLeast"/>
        </w:trPr>
        <w:tc>
          <w:tcPr>
            <w:tcW w:w="876" w:type="dxa"/>
            <w:tcBorders>
              <w:top w:val="nil"/>
              <w:left w:val="nil"/>
              <w:bottom w:val="nil"/>
              <w:right w:val="nil"/>
            </w:tcBorders>
            <w:shd w:val="clear" w:color="auto" w:fill="auto"/>
            <w:noWrap/>
          </w:tcPr>
          <w:p>
            <w:pPr>
              <w:widowControl/>
              <w:rPr>
                <w:rFonts w:ascii="仿宋_GB2312" w:hAnsi="宋体" w:eastAsia="仿宋_GB2312" w:cs="宋体"/>
                <w:color w:val="auto"/>
                <w:lang w:eastAsia="zh-CN" w:bidi="ar-SA"/>
              </w:rPr>
            </w:pPr>
          </w:p>
        </w:tc>
        <w:tc>
          <w:tcPr>
            <w:tcW w:w="2687" w:type="dxa"/>
            <w:tcBorders>
              <w:top w:val="nil"/>
              <w:left w:val="nil"/>
              <w:bottom w:val="nil"/>
              <w:right w:val="nil"/>
            </w:tcBorders>
            <w:shd w:val="clear" w:color="auto" w:fill="auto"/>
            <w:noWrap/>
            <w:vAlign w:val="bottom"/>
          </w:tcPr>
          <w:p>
            <w:pPr>
              <w:widowControl/>
              <w:rPr>
                <w:rFonts w:ascii="仿宋_GB2312" w:hAnsi="宋体" w:eastAsia="仿宋_GB2312" w:cs="宋体"/>
                <w:color w:val="auto"/>
                <w:lang w:eastAsia="zh-CN" w:bidi="ar-SA"/>
              </w:rPr>
            </w:pPr>
          </w:p>
        </w:tc>
        <w:tc>
          <w:tcPr>
            <w:tcW w:w="1843" w:type="dxa"/>
            <w:gridSpan w:val="2"/>
            <w:tcBorders>
              <w:top w:val="nil"/>
              <w:left w:val="nil"/>
              <w:bottom w:val="nil"/>
              <w:right w:val="nil"/>
            </w:tcBorders>
            <w:shd w:val="clear" w:color="auto" w:fill="auto"/>
            <w:noWrap/>
            <w:vAlign w:val="center"/>
          </w:tcPr>
          <w:p>
            <w:pPr>
              <w:widowControl/>
              <w:rPr>
                <w:rFonts w:ascii="仿宋_GB2312" w:hAnsi="宋体" w:eastAsia="仿宋_GB2312" w:cs="宋体"/>
                <w:color w:val="auto"/>
                <w:lang w:eastAsia="zh-CN" w:bidi="ar-SA"/>
              </w:rPr>
            </w:pPr>
          </w:p>
        </w:tc>
        <w:tc>
          <w:tcPr>
            <w:tcW w:w="1843" w:type="dxa"/>
            <w:gridSpan w:val="2"/>
            <w:tcBorders>
              <w:top w:val="nil"/>
              <w:left w:val="nil"/>
              <w:bottom w:val="nil"/>
              <w:right w:val="nil"/>
            </w:tcBorders>
            <w:shd w:val="clear" w:color="auto" w:fill="auto"/>
            <w:noWrap/>
            <w:vAlign w:val="center"/>
          </w:tcPr>
          <w:p>
            <w:pPr>
              <w:widowControl/>
              <w:rPr>
                <w:rFonts w:ascii="仿宋_GB2312" w:hAnsi="宋体" w:eastAsia="仿宋_GB2312" w:cs="宋体"/>
                <w:color w:val="auto"/>
                <w:lang w:eastAsia="zh-CN" w:bidi="ar-SA"/>
              </w:rPr>
            </w:pPr>
          </w:p>
        </w:tc>
        <w:tc>
          <w:tcPr>
            <w:tcW w:w="1417" w:type="dxa"/>
            <w:gridSpan w:val="2"/>
            <w:tcBorders>
              <w:top w:val="nil"/>
              <w:left w:val="nil"/>
              <w:bottom w:val="nil"/>
              <w:right w:val="nil"/>
            </w:tcBorders>
            <w:shd w:val="clear" w:color="auto" w:fill="auto"/>
            <w:noWrap/>
            <w:vAlign w:val="center"/>
          </w:tcPr>
          <w:p>
            <w:pPr>
              <w:widowControl/>
              <w:rPr>
                <w:rFonts w:ascii="仿宋_GB2312" w:hAnsi="宋体" w:eastAsia="仿宋_GB2312" w:cs="宋体"/>
                <w:color w:val="auto"/>
                <w:lang w:eastAsia="zh-CN" w:bidi="ar-SA"/>
              </w:rPr>
            </w:pPr>
          </w:p>
        </w:tc>
        <w:tc>
          <w:tcPr>
            <w:tcW w:w="1418" w:type="dxa"/>
            <w:gridSpan w:val="2"/>
            <w:tcBorders>
              <w:top w:val="nil"/>
              <w:left w:val="nil"/>
              <w:bottom w:val="nil"/>
              <w:right w:val="nil"/>
            </w:tcBorders>
            <w:shd w:val="clear" w:color="auto" w:fill="auto"/>
            <w:noWrap/>
            <w:vAlign w:val="center"/>
          </w:tcPr>
          <w:p>
            <w:pPr>
              <w:widowControl/>
              <w:rPr>
                <w:rFonts w:ascii="仿宋_GB2312" w:hAnsi="宋体" w:eastAsia="仿宋_GB2312" w:cs="宋体"/>
                <w:color w:val="auto"/>
                <w:lang w:eastAsia="zh-CN" w:bidi="ar-SA"/>
              </w:rPr>
            </w:pPr>
          </w:p>
        </w:tc>
        <w:tc>
          <w:tcPr>
            <w:tcW w:w="1417" w:type="dxa"/>
            <w:gridSpan w:val="2"/>
            <w:tcBorders>
              <w:top w:val="nil"/>
              <w:left w:val="nil"/>
              <w:bottom w:val="nil"/>
              <w:right w:val="nil"/>
            </w:tcBorders>
            <w:shd w:val="clear" w:color="auto" w:fill="auto"/>
            <w:noWrap/>
            <w:vAlign w:val="center"/>
          </w:tcPr>
          <w:p>
            <w:pPr>
              <w:widowControl/>
              <w:rPr>
                <w:rFonts w:ascii="仿宋_GB2312" w:hAnsi="宋体" w:eastAsia="仿宋_GB2312" w:cs="宋体"/>
                <w:color w:val="auto"/>
                <w:lang w:eastAsia="zh-CN" w:bidi="ar-SA"/>
              </w:rPr>
            </w:pPr>
          </w:p>
        </w:tc>
        <w:tc>
          <w:tcPr>
            <w:tcW w:w="961" w:type="dxa"/>
            <w:gridSpan w:val="2"/>
            <w:tcBorders>
              <w:top w:val="nil"/>
              <w:left w:val="nil"/>
              <w:bottom w:val="nil"/>
              <w:right w:val="nil"/>
            </w:tcBorders>
            <w:shd w:val="clear" w:color="auto" w:fill="auto"/>
            <w:noWrap/>
            <w:vAlign w:val="center"/>
          </w:tcPr>
          <w:p>
            <w:pPr>
              <w:widowControl/>
              <w:rPr>
                <w:rFonts w:ascii="仿宋_GB2312" w:hAnsi="宋体" w:eastAsia="仿宋_GB2312" w:cs="宋体"/>
                <w:color w:val="auto"/>
                <w:lang w:eastAsia="zh-CN" w:bidi="ar-SA"/>
              </w:rPr>
            </w:pPr>
          </w:p>
        </w:tc>
        <w:tc>
          <w:tcPr>
            <w:tcW w:w="740" w:type="dxa"/>
            <w:tcBorders>
              <w:top w:val="nil"/>
              <w:left w:val="nil"/>
              <w:bottom w:val="nil"/>
              <w:right w:val="nil"/>
            </w:tcBorders>
            <w:shd w:val="clear" w:color="auto" w:fill="auto"/>
            <w:noWrap/>
            <w:vAlign w:val="bottom"/>
          </w:tcPr>
          <w:p>
            <w:pPr>
              <w:widowControl/>
              <w:rPr>
                <w:rFonts w:ascii="宋体" w:hAnsi="宋体" w:eastAsia="宋体" w:cs="宋体"/>
                <w:color w:val="auto"/>
                <w:sz w:val="18"/>
                <w:szCs w:val="18"/>
                <w:lang w:eastAsia="zh-CN" w:bidi="ar-SA"/>
              </w:rPr>
            </w:pPr>
          </w:p>
        </w:tc>
        <w:tc>
          <w:tcPr>
            <w:tcW w:w="1134" w:type="dxa"/>
            <w:tcBorders>
              <w:top w:val="nil"/>
              <w:left w:val="nil"/>
              <w:bottom w:val="single" w:color="auto" w:sz="4" w:space="0"/>
              <w:right w:val="nil"/>
            </w:tcBorders>
            <w:shd w:val="clear" w:color="auto" w:fill="auto"/>
            <w:noWrap/>
            <w:vAlign w:val="bottom"/>
          </w:tcPr>
          <w:p>
            <w:pPr>
              <w:widowControl/>
              <w:jc w:val="right"/>
              <w:rPr>
                <w:rFonts w:ascii="宋体" w:hAnsi="宋体" w:eastAsia="宋体" w:cs="宋体"/>
                <w:b/>
                <w:bCs/>
                <w:color w:val="auto"/>
                <w:sz w:val="18"/>
                <w:szCs w:val="18"/>
                <w:lang w:eastAsia="zh-CN" w:bidi="ar-SA"/>
              </w:rPr>
            </w:pPr>
            <w:r>
              <w:rPr>
                <w:rFonts w:hint="eastAsia" w:ascii="宋体" w:hAnsi="宋体" w:eastAsia="宋体" w:cs="宋体"/>
                <w:b/>
                <w:bCs/>
                <w:color w:val="auto"/>
                <w:sz w:val="22"/>
                <w:szCs w:val="18"/>
                <w:lang w:eastAsia="zh-CN" w:bidi="ar-SA"/>
              </w:rPr>
              <w:t>单位：元</w:t>
            </w:r>
          </w:p>
        </w:tc>
      </w:tr>
      <w:tr>
        <w:tblPrEx>
          <w:tblLayout w:type="fixed"/>
          <w:tblCellMar>
            <w:top w:w="0" w:type="dxa"/>
            <w:left w:w="108" w:type="dxa"/>
            <w:bottom w:w="0" w:type="dxa"/>
            <w:right w:w="108" w:type="dxa"/>
          </w:tblCellMar>
        </w:tblPrEx>
        <w:trPr>
          <w:trHeight w:val="460" w:hRule="atLeast"/>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单位编码</w:t>
            </w:r>
          </w:p>
        </w:tc>
        <w:tc>
          <w:tcPr>
            <w:tcW w:w="26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单位名称</w:t>
            </w:r>
          </w:p>
        </w:tc>
        <w:tc>
          <w:tcPr>
            <w:tcW w:w="1843"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合计</w:t>
            </w:r>
          </w:p>
        </w:tc>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财政拨款（补助）</w:t>
            </w:r>
          </w:p>
        </w:tc>
        <w:tc>
          <w:tcPr>
            <w:tcW w:w="1417"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纳入预算管理的一般性非税收人</w:t>
            </w:r>
          </w:p>
        </w:tc>
        <w:tc>
          <w:tcPr>
            <w:tcW w:w="1418" w:type="dxa"/>
            <w:gridSpan w:val="2"/>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纳入预算内管理的政府性基金收入</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纳入预算外专户管理的非税收人</w:t>
            </w:r>
          </w:p>
        </w:tc>
        <w:tc>
          <w:tcPr>
            <w:tcW w:w="9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事业单位经营收入</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其他收入</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上年结转</w:t>
            </w:r>
          </w:p>
        </w:tc>
      </w:tr>
      <w:tr>
        <w:tblPrEx>
          <w:tblLayout w:type="fixed"/>
          <w:tblCellMar>
            <w:top w:w="0" w:type="dxa"/>
            <w:left w:w="108" w:type="dxa"/>
            <w:bottom w:w="0" w:type="dxa"/>
            <w:right w:w="108" w:type="dxa"/>
          </w:tblCellMar>
        </w:tblPrEx>
        <w:trPr>
          <w:trHeight w:val="285" w:hRule="atLeast"/>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268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843" w:type="dxa"/>
            <w:gridSpan w:val="2"/>
            <w:vMerge w:val="continue"/>
            <w:tcBorders>
              <w:top w:val="single" w:color="auto" w:sz="4" w:space="0"/>
              <w:left w:val="nil"/>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417"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418" w:type="dxa"/>
            <w:gridSpan w:val="2"/>
            <w:vMerge w:val="continue"/>
            <w:tcBorders>
              <w:top w:val="single" w:color="auto" w:sz="4" w:space="0"/>
              <w:left w:val="single" w:color="auto" w:sz="4" w:space="0"/>
              <w:bottom w:val="single" w:color="auto" w:sz="4" w:space="0"/>
              <w:right w:val="nil"/>
            </w:tcBorders>
            <w:vAlign w:val="center"/>
          </w:tcPr>
          <w:p>
            <w:pPr>
              <w:widowControl/>
              <w:rPr>
                <w:rFonts w:cs="宋体" w:asciiTheme="minorEastAsia" w:hAnsiTheme="minorEastAsia" w:eastAsiaTheme="minorEastAsia"/>
                <w:b/>
                <w:bCs/>
                <w:color w:val="auto"/>
                <w:sz w:val="22"/>
                <w:szCs w:val="22"/>
                <w:lang w:eastAsia="zh-CN" w:bidi="ar-SA"/>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9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134"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r>
      <w:tr>
        <w:tblPrEx>
          <w:tblLayout w:type="fixed"/>
          <w:tblCellMar>
            <w:top w:w="0" w:type="dxa"/>
            <w:left w:w="108" w:type="dxa"/>
            <w:bottom w:w="0" w:type="dxa"/>
            <w:right w:w="108" w:type="dxa"/>
          </w:tblCellMar>
        </w:tblPrEx>
        <w:trPr>
          <w:trHeight w:val="383" w:hRule="atLeast"/>
        </w:trPr>
        <w:tc>
          <w:tcPr>
            <w:tcW w:w="876" w:type="dxa"/>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w:t>
            </w:r>
          </w:p>
        </w:tc>
        <w:tc>
          <w:tcPr>
            <w:tcW w:w="2687"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w:t>
            </w:r>
          </w:p>
        </w:tc>
        <w:tc>
          <w:tcPr>
            <w:tcW w:w="1843" w:type="dxa"/>
            <w:gridSpan w:val="2"/>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1</w:t>
            </w:r>
          </w:p>
        </w:tc>
        <w:tc>
          <w:tcPr>
            <w:tcW w:w="1843" w:type="dxa"/>
            <w:gridSpan w:val="2"/>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2</w:t>
            </w:r>
          </w:p>
        </w:tc>
        <w:tc>
          <w:tcPr>
            <w:tcW w:w="1417" w:type="dxa"/>
            <w:gridSpan w:val="2"/>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3</w:t>
            </w:r>
          </w:p>
        </w:tc>
        <w:tc>
          <w:tcPr>
            <w:tcW w:w="1418" w:type="dxa"/>
            <w:gridSpan w:val="2"/>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4</w:t>
            </w:r>
          </w:p>
        </w:tc>
        <w:tc>
          <w:tcPr>
            <w:tcW w:w="1417" w:type="dxa"/>
            <w:gridSpan w:val="2"/>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5</w:t>
            </w:r>
          </w:p>
        </w:tc>
        <w:tc>
          <w:tcPr>
            <w:tcW w:w="961" w:type="dxa"/>
            <w:gridSpan w:val="2"/>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6</w:t>
            </w:r>
          </w:p>
        </w:tc>
        <w:tc>
          <w:tcPr>
            <w:tcW w:w="740"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7</w:t>
            </w:r>
          </w:p>
        </w:tc>
        <w:tc>
          <w:tcPr>
            <w:tcW w:w="1134"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8</w:t>
            </w:r>
          </w:p>
        </w:tc>
      </w:tr>
      <w:tr>
        <w:tblPrEx>
          <w:tblLayout w:type="fixed"/>
          <w:tblCellMar>
            <w:top w:w="0" w:type="dxa"/>
            <w:left w:w="108" w:type="dxa"/>
            <w:bottom w:w="0" w:type="dxa"/>
            <w:right w:w="108" w:type="dxa"/>
          </w:tblCellMar>
        </w:tblPrEx>
        <w:trPr>
          <w:trHeight w:val="383" w:hRule="atLeast"/>
        </w:trPr>
        <w:tc>
          <w:tcPr>
            <w:tcW w:w="876"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2687" w:type="dxa"/>
            <w:tcBorders>
              <w:top w:val="single" w:color="auto" w:sz="4" w:space="0"/>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合计</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1417" w:type="dxa"/>
            <w:gridSpan w:val="2"/>
            <w:tcBorders>
              <w:top w:val="single" w:color="auto" w:sz="4" w:space="0"/>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18" w:type="dxa"/>
            <w:gridSpan w:val="2"/>
            <w:tcBorders>
              <w:top w:val="single" w:color="auto" w:sz="4" w:space="0"/>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17" w:type="dxa"/>
            <w:gridSpan w:val="2"/>
            <w:tcBorders>
              <w:top w:val="single" w:color="auto" w:sz="4" w:space="0"/>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61" w:type="dxa"/>
            <w:gridSpan w:val="2"/>
            <w:tcBorders>
              <w:top w:val="single" w:color="auto" w:sz="4" w:space="0"/>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83" w:hRule="atLeast"/>
        </w:trPr>
        <w:tc>
          <w:tcPr>
            <w:tcW w:w="876" w:type="dxa"/>
            <w:tcBorders>
              <w:top w:val="nil"/>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2687"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843"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1417" w:type="dxa"/>
            <w:gridSpan w:val="2"/>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18" w:type="dxa"/>
            <w:gridSpan w:val="2"/>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17" w:type="dxa"/>
            <w:gridSpan w:val="2"/>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61" w:type="dxa"/>
            <w:gridSpan w:val="2"/>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83" w:hRule="atLeast"/>
        </w:trPr>
        <w:tc>
          <w:tcPr>
            <w:tcW w:w="876" w:type="dxa"/>
            <w:tcBorders>
              <w:top w:val="nil"/>
              <w:left w:val="single" w:color="auto" w:sz="4" w:space="0"/>
              <w:bottom w:val="single" w:color="auto" w:sz="4" w:space="0"/>
              <w:right w:val="nil"/>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605006</w:t>
            </w:r>
          </w:p>
        </w:tc>
        <w:tc>
          <w:tcPr>
            <w:tcW w:w="2687"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鄂尔多斯市中心医院</w:t>
            </w:r>
          </w:p>
        </w:tc>
        <w:tc>
          <w:tcPr>
            <w:tcW w:w="1843" w:type="dxa"/>
            <w:gridSpan w:val="2"/>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1417" w:type="dxa"/>
            <w:gridSpan w:val="2"/>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18" w:type="dxa"/>
            <w:gridSpan w:val="2"/>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17" w:type="dxa"/>
            <w:gridSpan w:val="2"/>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61" w:type="dxa"/>
            <w:gridSpan w:val="2"/>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bl>
    <w:p>
      <w:pPr>
        <w:pStyle w:val="17"/>
        <w:spacing w:after="620" w:line="576" w:lineRule="exact"/>
        <w:ind w:firstLine="0"/>
        <w:jc w:val="both"/>
        <w:rPr>
          <w:rFonts w:ascii="楷体_GB2312" w:hAnsi="楷体_GB2312" w:eastAsia="楷体_GB2312" w:cs="楷体_GB2312"/>
          <w:sz w:val="22"/>
          <w:szCs w:val="22"/>
        </w:rPr>
      </w:pPr>
    </w:p>
    <w:p>
      <w:pPr>
        <w:pStyle w:val="17"/>
        <w:spacing w:after="620" w:line="576" w:lineRule="exact"/>
        <w:ind w:firstLine="0"/>
        <w:jc w:val="both"/>
        <w:rPr>
          <w:rFonts w:ascii="楷体_GB2312" w:hAnsi="楷体_GB2312" w:eastAsia="楷体_GB2312" w:cs="楷体_GB2312"/>
          <w:sz w:val="22"/>
          <w:szCs w:val="22"/>
        </w:rPr>
      </w:pPr>
    </w:p>
    <w:p>
      <w:pPr>
        <w:pStyle w:val="17"/>
        <w:spacing w:after="620" w:line="576" w:lineRule="exact"/>
        <w:ind w:firstLine="0"/>
        <w:jc w:val="both"/>
        <w:rPr>
          <w:rFonts w:ascii="楷体_GB2312" w:hAnsi="楷体_GB2312" w:eastAsia="楷体_GB2312" w:cs="楷体_GB2312"/>
          <w:sz w:val="22"/>
          <w:szCs w:val="22"/>
        </w:rPr>
      </w:pPr>
    </w:p>
    <w:p>
      <w:pPr>
        <w:pStyle w:val="17"/>
        <w:spacing w:after="620" w:line="576" w:lineRule="exact"/>
        <w:ind w:firstLine="0"/>
        <w:jc w:val="both"/>
        <w:rPr>
          <w:rFonts w:ascii="楷体_GB2312" w:hAnsi="楷体_GB2312" w:eastAsia="楷体_GB2312" w:cs="楷体_GB2312"/>
          <w:sz w:val="22"/>
          <w:szCs w:val="22"/>
          <w:lang w:eastAsia="zh-CN"/>
        </w:rPr>
      </w:pPr>
    </w:p>
    <w:tbl>
      <w:tblPr>
        <w:tblStyle w:val="4"/>
        <w:tblW w:w="14456" w:type="dxa"/>
        <w:tblInd w:w="-350" w:type="dxa"/>
        <w:tblLayout w:type="fixed"/>
        <w:tblCellMar>
          <w:top w:w="0" w:type="dxa"/>
          <w:left w:w="108" w:type="dxa"/>
          <w:bottom w:w="0" w:type="dxa"/>
          <w:right w:w="108" w:type="dxa"/>
        </w:tblCellMar>
      </w:tblPr>
      <w:tblGrid>
        <w:gridCol w:w="715"/>
        <w:gridCol w:w="451"/>
        <w:gridCol w:w="143"/>
        <w:gridCol w:w="439"/>
        <w:gridCol w:w="270"/>
        <w:gridCol w:w="3443"/>
        <w:gridCol w:w="242"/>
        <w:gridCol w:w="1664"/>
        <w:gridCol w:w="1468"/>
        <w:gridCol w:w="1404"/>
        <w:gridCol w:w="1404"/>
        <w:gridCol w:w="1404"/>
        <w:gridCol w:w="1409"/>
      </w:tblGrid>
      <w:tr>
        <w:tblPrEx>
          <w:tblLayout w:type="fixed"/>
          <w:tblCellMar>
            <w:top w:w="0" w:type="dxa"/>
            <w:left w:w="108" w:type="dxa"/>
            <w:bottom w:w="0" w:type="dxa"/>
            <w:right w:w="108" w:type="dxa"/>
          </w:tblCellMar>
        </w:tblPrEx>
        <w:trPr>
          <w:trHeight w:val="373" w:hRule="atLeast"/>
        </w:trPr>
        <w:tc>
          <w:tcPr>
            <w:tcW w:w="715" w:type="dxa"/>
            <w:tcBorders>
              <w:top w:val="nil"/>
              <w:left w:val="nil"/>
              <w:bottom w:val="nil"/>
              <w:right w:val="nil"/>
            </w:tcBorders>
            <w:shd w:val="clear" w:color="auto" w:fill="auto"/>
            <w:noWrap/>
            <w:vAlign w:val="center"/>
          </w:tcPr>
          <w:p>
            <w:pPr>
              <w:widowControl/>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表6</w:t>
            </w:r>
          </w:p>
        </w:tc>
        <w:tc>
          <w:tcPr>
            <w:tcW w:w="451" w:type="dxa"/>
            <w:tcBorders>
              <w:top w:val="nil"/>
              <w:left w:val="nil"/>
              <w:bottom w:val="nil"/>
              <w:right w:val="nil"/>
            </w:tcBorders>
            <w:shd w:val="clear" w:color="auto" w:fill="auto"/>
            <w:noWrap/>
            <w:vAlign w:val="bottom"/>
          </w:tcPr>
          <w:p>
            <w:pPr>
              <w:widowControl/>
              <w:rPr>
                <w:rFonts w:ascii="宋体" w:hAnsi="宋体" w:eastAsia="宋体" w:cs="宋体"/>
                <w:color w:val="auto"/>
                <w:sz w:val="22"/>
                <w:szCs w:val="22"/>
                <w:lang w:eastAsia="zh-CN" w:bidi="ar-SA"/>
              </w:rPr>
            </w:pPr>
          </w:p>
        </w:tc>
        <w:tc>
          <w:tcPr>
            <w:tcW w:w="582" w:type="dxa"/>
            <w:gridSpan w:val="2"/>
            <w:tcBorders>
              <w:top w:val="nil"/>
              <w:left w:val="nil"/>
              <w:bottom w:val="nil"/>
              <w:right w:val="nil"/>
            </w:tcBorders>
            <w:shd w:val="clear" w:color="auto" w:fill="auto"/>
            <w:noWrap/>
            <w:vAlign w:val="bottom"/>
          </w:tcPr>
          <w:p>
            <w:pPr>
              <w:widowControl/>
              <w:rPr>
                <w:rFonts w:ascii="宋体" w:hAnsi="宋体" w:eastAsia="宋体" w:cs="宋体"/>
                <w:color w:val="auto"/>
                <w:sz w:val="22"/>
                <w:szCs w:val="22"/>
                <w:lang w:eastAsia="zh-CN" w:bidi="ar-SA"/>
              </w:rPr>
            </w:pPr>
          </w:p>
        </w:tc>
        <w:tc>
          <w:tcPr>
            <w:tcW w:w="3713" w:type="dxa"/>
            <w:gridSpan w:val="2"/>
            <w:tcBorders>
              <w:top w:val="nil"/>
              <w:left w:val="nil"/>
              <w:bottom w:val="nil"/>
              <w:right w:val="nil"/>
            </w:tcBorders>
            <w:shd w:val="clear" w:color="auto" w:fill="auto"/>
            <w:noWrap/>
            <w:vAlign w:val="bottom"/>
          </w:tcPr>
          <w:p>
            <w:pPr>
              <w:widowControl/>
              <w:rPr>
                <w:rFonts w:ascii="宋体" w:hAnsi="宋体" w:eastAsia="宋体" w:cs="宋体"/>
                <w:color w:val="auto"/>
                <w:sz w:val="22"/>
                <w:szCs w:val="22"/>
                <w:lang w:eastAsia="zh-CN" w:bidi="ar-SA"/>
              </w:rPr>
            </w:pPr>
          </w:p>
        </w:tc>
        <w:tc>
          <w:tcPr>
            <w:tcW w:w="1906" w:type="dxa"/>
            <w:gridSpan w:val="2"/>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468"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404"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404"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c>
          <w:tcPr>
            <w:tcW w:w="1404" w:type="dxa"/>
            <w:tcBorders>
              <w:top w:val="nil"/>
              <w:left w:val="nil"/>
              <w:bottom w:val="nil"/>
              <w:right w:val="nil"/>
            </w:tcBorders>
            <w:shd w:val="clear" w:color="auto" w:fill="auto"/>
            <w:noWrap/>
            <w:vAlign w:val="bottom"/>
          </w:tcPr>
          <w:p>
            <w:pPr>
              <w:widowControl/>
              <w:jc w:val="right"/>
              <w:rPr>
                <w:rFonts w:ascii="宋体" w:hAnsi="宋体" w:eastAsia="宋体" w:cs="宋体"/>
                <w:color w:val="auto"/>
                <w:sz w:val="22"/>
                <w:szCs w:val="22"/>
                <w:lang w:eastAsia="zh-CN" w:bidi="ar-SA"/>
              </w:rPr>
            </w:pPr>
          </w:p>
        </w:tc>
        <w:tc>
          <w:tcPr>
            <w:tcW w:w="1409" w:type="dxa"/>
            <w:tcBorders>
              <w:top w:val="nil"/>
              <w:left w:val="nil"/>
              <w:bottom w:val="nil"/>
              <w:right w:val="nil"/>
            </w:tcBorders>
            <w:shd w:val="clear" w:color="auto" w:fill="auto"/>
            <w:noWrap/>
            <w:vAlign w:val="center"/>
          </w:tcPr>
          <w:p>
            <w:pPr>
              <w:widowControl/>
              <w:rPr>
                <w:rFonts w:ascii="宋体" w:hAnsi="宋体" w:eastAsia="宋体" w:cs="宋体"/>
                <w:color w:val="auto"/>
                <w:sz w:val="22"/>
                <w:szCs w:val="22"/>
                <w:lang w:eastAsia="zh-CN" w:bidi="ar-SA"/>
              </w:rPr>
            </w:pPr>
          </w:p>
        </w:tc>
      </w:tr>
      <w:tr>
        <w:tblPrEx>
          <w:tblLayout w:type="fixed"/>
          <w:tblCellMar>
            <w:top w:w="0" w:type="dxa"/>
            <w:left w:w="108" w:type="dxa"/>
            <w:bottom w:w="0" w:type="dxa"/>
            <w:right w:w="108" w:type="dxa"/>
          </w:tblCellMar>
        </w:tblPrEx>
        <w:trPr>
          <w:trHeight w:val="375" w:hRule="atLeast"/>
        </w:trPr>
        <w:tc>
          <w:tcPr>
            <w:tcW w:w="14456" w:type="dxa"/>
            <w:gridSpan w:val="13"/>
            <w:tcBorders>
              <w:top w:val="nil"/>
              <w:left w:val="nil"/>
              <w:bottom w:val="nil"/>
              <w:right w:val="nil"/>
            </w:tcBorders>
            <w:shd w:val="clear" w:color="auto" w:fill="auto"/>
            <w:noWrap/>
            <w:vAlign w:val="center"/>
          </w:tcPr>
          <w:p>
            <w:pPr>
              <w:widowControl/>
              <w:jc w:val="center"/>
              <w:rPr>
                <w:rFonts w:ascii="宋体" w:hAnsi="宋体" w:eastAsia="宋体" w:cs="宋体"/>
                <w:b/>
                <w:bCs/>
                <w:color w:val="auto"/>
                <w:sz w:val="36"/>
                <w:szCs w:val="36"/>
                <w:lang w:eastAsia="zh-CN" w:bidi="ar-SA"/>
              </w:rPr>
            </w:pPr>
            <w:r>
              <w:rPr>
                <w:rFonts w:hint="eastAsia" w:ascii="宋体" w:hAnsi="宋体" w:eastAsia="宋体" w:cs="宋体"/>
                <w:b/>
                <w:bCs/>
                <w:color w:val="auto"/>
                <w:sz w:val="36"/>
                <w:szCs w:val="36"/>
                <w:lang w:eastAsia="zh-CN" w:bidi="ar-SA"/>
              </w:rPr>
              <w:t>2021年部门支出预算总表</w:t>
            </w:r>
          </w:p>
        </w:tc>
      </w:tr>
      <w:tr>
        <w:tblPrEx>
          <w:tblLayout w:type="fixed"/>
          <w:tblCellMar>
            <w:top w:w="0" w:type="dxa"/>
            <w:left w:w="108" w:type="dxa"/>
            <w:bottom w:w="0" w:type="dxa"/>
            <w:right w:w="108" w:type="dxa"/>
          </w:tblCellMar>
        </w:tblPrEx>
        <w:trPr>
          <w:trHeight w:val="235" w:hRule="atLeast"/>
        </w:trPr>
        <w:tc>
          <w:tcPr>
            <w:tcW w:w="715" w:type="dxa"/>
            <w:tcBorders>
              <w:top w:val="nil"/>
              <w:left w:val="nil"/>
              <w:bottom w:val="nil"/>
              <w:right w:val="nil"/>
            </w:tcBorders>
            <w:shd w:val="clear" w:color="auto" w:fill="auto"/>
            <w:noWrap/>
          </w:tcPr>
          <w:p>
            <w:pPr>
              <w:widowControl/>
              <w:rPr>
                <w:rFonts w:ascii="仿宋_GB2312" w:hAnsi="宋体" w:eastAsia="仿宋_GB2312" w:cs="宋体"/>
                <w:color w:val="auto"/>
                <w:lang w:eastAsia="zh-CN" w:bidi="ar-SA"/>
              </w:rPr>
            </w:pPr>
          </w:p>
        </w:tc>
        <w:tc>
          <w:tcPr>
            <w:tcW w:w="451" w:type="dxa"/>
            <w:tcBorders>
              <w:top w:val="nil"/>
              <w:left w:val="nil"/>
              <w:bottom w:val="nil"/>
              <w:right w:val="nil"/>
            </w:tcBorders>
            <w:shd w:val="clear" w:color="auto" w:fill="auto"/>
            <w:noWrap/>
          </w:tcPr>
          <w:p>
            <w:pPr>
              <w:widowControl/>
              <w:rPr>
                <w:rFonts w:ascii="仿宋_GB2312" w:hAnsi="宋体" w:eastAsia="仿宋_GB2312" w:cs="宋体"/>
                <w:color w:val="auto"/>
                <w:lang w:eastAsia="zh-CN" w:bidi="ar-SA"/>
              </w:rPr>
            </w:pPr>
          </w:p>
        </w:tc>
        <w:tc>
          <w:tcPr>
            <w:tcW w:w="852" w:type="dxa"/>
            <w:gridSpan w:val="3"/>
            <w:tcBorders>
              <w:top w:val="nil"/>
              <w:left w:val="nil"/>
              <w:bottom w:val="nil"/>
              <w:right w:val="nil"/>
            </w:tcBorders>
            <w:shd w:val="clear" w:color="auto" w:fill="auto"/>
            <w:noWrap/>
          </w:tcPr>
          <w:p>
            <w:pPr>
              <w:widowControl/>
              <w:rPr>
                <w:rFonts w:ascii="仿宋_GB2312" w:hAnsi="宋体" w:eastAsia="仿宋_GB2312" w:cs="宋体"/>
                <w:color w:val="auto"/>
                <w:lang w:eastAsia="zh-CN" w:bidi="ar-SA"/>
              </w:rPr>
            </w:pPr>
          </w:p>
        </w:tc>
        <w:tc>
          <w:tcPr>
            <w:tcW w:w="3685" w:type="dxa"/>
            <w:gridSpan w:val="2"/>
            <w:tcBorders>
              <w:top w:val="nil"/>
              <w:left w:val="nil"/>
              <w:bottom w:val="nil"/>
              <w:right w:val="nil"/>
            </w:tcBorders>
            <w:shd w:val="clear" w:color="auto" w:fill="auto"/>
            <w:noWrap/>
            <w:vAlign w:val="bottom"/>
          </w:tcPr>
          <w:p>
            <w:pPr>
              <w:widowControl/>
              <w:rPr>
                <w:rFonts w:ascii="仿宋_GB2312" w:hAnsi="宋体" w:eastAsia="仿宋_GB2312" w:cs="宋体"/>
                <w:color w:val="auto"/>
                <w:lang w:eastAsia="zh-CN" w:bidi="ar-SA"/>
              </w:rPr>
            </w:pPr>
          </w:p>
        </w:tc>
        <w:tc>
          <w:tcPr>
            <w:tcW w:w="1664" w:type="dxa"/>
            <w:tcBorders>
              <w:top w:val="nil"/>
              <w:left w:val="nil"/>
              <w:bottom w:val="nil"/>
              <w:right w:val="nil"/>
            </w:tcBorders>
            <w:shd w:val="clear" w:color="auto" w:fill="auto"/>
            <w:noWrap/>
            <w:vAlign w:val="center"/>
          </w:tcPr>
          <w:p>
            <w:pPr>
              <w:widowControl/>
              <w:rPr>
                <w:rFonts w:ascii="仿宋_GB2312" w:hAnsi="宋体" w:eastAsia="仿宋_GB2312" w:cs="宋体"/>
                <w:color w:val="auto"/>
                <w:lang w:eastAsia="zh-CN" w:bidi="ar-SA"/>
              </w:rPr>
            </w:pPr>
          </w:p>
        </w:tc>
        <w:tc>
          <w:tcPr>
            <w:tcW w:w="1468" w:type="dxa"/>
            <w:tcBorders>
              <w:top w:val="nil"/>
              <w:left w:val="nil"/>
              <w:bottom w:val="nil"/>
              <w:right w:val="nil"/>
            </w:tcBorders>
            <w:shd w:val="clear" w:color="auto" w:fill="auto"/>
            <w:noWrap/>
            <w:vAlign w:val="center"/>
          </w:tcPr>
          <w:p>
            <w:pPr>
              <w:widowControl/>
              <w:rPr>
                <w:rFonts w:ascii="仿宋_GB2312" w:hAnsi="宋体" w:eastAsia="仿宋_GB2312" w:cs="宋体"/>
                <w:color w:val="auto"/>
                <w:lang w:eastAsia="zh-CN" w:bidi="ar-SA"/>
              </w:rPr>
            </w:pPr>
          </w:p>
        </w:tc>
        <w:tc>
          <w:tcPr>
            <w:tcW w:w="1404" w:type="dxa"/>
            <w:tcBorders>
              <w:top w:val="nil"/>
              <w:left w:val="nil"/>
              <w:bottom w:val="nil"/>
              <w:right w:val="nil"/>
            </w:tcBorders>
            <w:shd w:val="clear" w:color="auto" w:fill="auto"/>
            <w:noWrap/>
            <w:vAlign w:val="center"/>
          </w:tcPr>
          <w:p>
            <w:pPr>
              <w:widowControl/>
              <w:rPr>
                <w:rFonts w:ascii="仿宋_GB2312" w:hAnsi="宋体" w:eastAsia="仿宋_GB2312" w:cs="宋体"/>
                <w:color w:val="auto"/>
                <w:lang w:eastAsia="zh-CN" w:bidi="ar-SA"/>
              </w:rPr>
            </w:pPr>
          </w:p>
        </w:tc>
        <w:tc>
          <w:tcPr>
            <w:tcW w:w="1404" w:type="dxa"/>
            <w:tcBorders>
              <w:top w:val="nil"/>
              <w:left w:val="nil"/>
              <w:bottom w:val="nil"/>
              <w:right w:val="nil"/>
            </w:tcBorders>
            <w:shd w:val="clear" w:color="auto" w:fill="auto"/>
            <w:noWrap/>
            <w:vAlign w:val="center"/>
          </w:tcPr>
          <w:p>
            <w:pPr>
              <w:widowControl/>
              <w:rPr>
                <w:rFonts w:ascii="仿宋_GB2312" w:hAnsi="宋体" w:eastAsia="仿宋_GB2312" w:cs="宋体"/>
                <w:color w:val="auto"/>
                <w:lang w:eastAsia="zh-CN" w:bidi="ar-SA"/>
              </w:rPr>
            </w:pPr>
          </w:p>
        </w:tc>
        <w:tc>
          <w:tcPr>
            <w:tcW w:w="1404" w:type="dxa"/>
            <w:tcBorders>
              <w:top w:val="nil"/>
              <w:left w:val="nil"/>
              <w:bottom w:val="nil"/>
              <w:right w:val="nil"/>
            </w:tcBorders>
            <w:shd w:val="clear" w:color="auto" w:fill="auto"/>
            <w:noWrap/>
          </w:tcPr>
          <w:p>
            <w:pPr>
              <w:widowControl/>
              <w:jc w:val="right"/>
              <w:rPr>
                <w:rFonts w:ascii="仿宋_GB2312" w:hAnsi="宋体" w:eastAsia="仿宋_GB2312" w:cs="宋体"/>
                <w:color w:val="auto"/>
                <w:lang w:eastAsia="zh-CN" w:bidi="ar-SA"/>
              </w:rPr>
            </w:pPr>
          </w:p>
        </w:tc>
        <w:tc>
          <w:tcPr>
            <w:tcW w:w="1409" w:type="dxa"/>
            <w:tcBorders>
              <w:top w:val="nil"/>
              <w:left w:val="nil"/>
              <w:bottom w:val="single" w:color="auto" w:sz="4" w:space="0"/>
              <w:right w:val="nil"/>
            </w:tcBorders>
            <w:shd w:val="clear" w:color="auto" w:fill="auto"/>
            <w:noWrap/>
            <w:vAlign w:val="bottom"/>
          </w:tcPr>
          <w:p>
            <w:pPr>
              <w:widowControl/>
              <w:jc w:val="right"/>
              <w:rPr>
                <w:rFonts w:ascii="宋体" w:hAnsi="宋体" w:eastAsia="宋体" w:cs="宋体"/>
                <w:b/>
                <w:bCs/>
                <w:color w:val="auto"/>
                <w:sz w:val="18"/>
                <w:szCs w:val="18"/>
                <w:lang w:eastAsia="zh-CN" w:bidi="ar-SA"/>
              </w:rPr>
            </w:pPr>
            <w:r>
              <w:rPr>
                <w:rFonts w:hint="eastAsia" w:ascii="宋体" w:hAnsi="宋体" w:eastAsia="宋体" w:cs="宋体"/>
                <w:b/>
                <w:bCs/>
                <w:color w:val="auto"/>
                <w:sz w:val="22"/>
                <w:szCs w:val="18"/>
                <w:lang w:eastAsia="zh-CN" w:bidi="ar-SA"/>
              </w:rPr>
              <w:t>单位：元</w:t>
            </w:r>
          </w:p>
        </w:tc>
      </w:tr>
      <w:tr>
        <w:tblPrEx>
          <w:tblLayout w:type="fixed"/>
          <w:tblCellMar>
            <w:top w:w="0" w:type="dxa"/>
            <w:left w:w="108" w:type="dxa"/>
            <w:bottom w:w="0" w:type="dxa"/>
            <w:right w:w="108" w:type="dxa"/>
          </w:tblCellMar>
        </w:tblPrEx>
        <w:trPr>
          <w:trHeight w:val="347" w:hRule="atLeast"/>
        </w:trPr>
        <w:tc>
          <w:tcPr>
            <w:tcW w:w="201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科目编码</w:t>
            </w:r>
          </w:p>
        </w:tc>
        <w:tc>
          <w:tcPr>
            <w:tcW w:w="36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科目名称</w:t>
            </w:r>
          </w:p>
        </w:tc>
        <w:tc>
          <w:tcPr>
            <w:tcW w:w="16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合计</w:t>
            </w:r>
          </w:p>
        </w:tc>
        <w:tc>
          <w:tcPr>
            <w:tcW w:w="1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基本支出</w:t>
            </w:r>
          </w:p>
        </w:tc>
        <w:tc>
          <w:tcPr>
            <w:tcW w:w="14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项目支出</w:t>
            </w:r>
          </w:p>
        </w:tc>
        <w:tc>
          <w:tcPr>
            <w:tcW w:w="14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事业单位</w:t>
            </w:r>
            <w:r>
              <w:rPr>
                <w:rFonts w:hint="eastAsia" w:cs="宋体" w:asciiTheme="minorEastAsia" w:hAnsiTheme="minorEastAsia" w:eastAsiaTheme="minorEastAsia"/>
                <w:b/>
                <w:bCs/>
                <w:color w:val="auto"/>
                <w:sz w:val="22"/>
                <w:szCs w:val="22"/>
                <w:lang w:eastAsia="zh-CN" w:bidi="ar-SA"/>
              </w:rPr>
              <w:br w:type="textWrapping"/>
            </w:r>
            <w:r>
              <w:rPr>
                <w:rFonts w:hint="eastAsia" w:cs="宋体" w:asciiTheme="minorEastAsia" w:hAnsiTheme="minorEastAsia" w:eastAsiaTheme="minorEastAsia"/>
                <w:b/>
                <w:bCs/>
                <w:color w:val="auto"/>
                <w:sz w:val="22"/>
                <w:szCs w:val="22"/>
                <w:lang w:eastAsia="zh-CN" w:bidi="ar-SA"/>
              </w:rPr>
              <w:t>经营支出</w:t>
            </w:r>
          </w:p>
        </w:tc>
        <w:tc>
          <w:tcPr>
            <w:tcW w:w="14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上缴上级支出</w:t>
            </w:r>
          </w:p>
        </w:tc>
        <w:tc>
          <w:tcPr>
            <w:tcW w:w="14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对附属单位          补助支出</w:t>
            </w:r>
          </w:p>
        </w:tc>
      </w:tr>
      <w:tr>
        <w:tblPrEx>
          <w:tblLayout w:type="fixed"/>
          <w:tblCellMar>
            <w:top w:w="0" w:type="dxa"/>
            <w:left w:w="108" w:type="dxa"/>
            <w:bottom w:w="0" w:type="dxa"/>
            <w:right w:w="108" w:type="dxa"/>
          </w:tblCellMar>
        </w:tblPrEx>
        <w:trPr>
          <w:trHeight w:val="347" w:hRule="atLeast"/>
        </w:trPr>
        <w:tc>
          <w:tcPr>
            <w:tcW w:w="7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类</w:t>
            </w:r>
          </w:p>
        </w:tc>
        <w:tc>
          <w:tcPr>
            <w:tcW w:w="594"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款</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项</w:t>
            </w:r>
          </w:p>
        </w:tc>
        <w:tc>
          <w:tcPr>
            <w:tcW w:w="36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409"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r>
      <w:tr>
        <w:tblPrEx>
          <w:tblLayout w:type="fixed"/>
          <w:tblCellMar>
            <w:top w:w="0" w:type="dxa"/>
            <w:left w:w="108" w:type="dxa"/>
            <w:bottom w:w="0" w:type="dxa"/>
            <w:right w:w="108" w:type="dxa"/>
          </w:tblCellMar>
        </w:tblPrEx>
        <w:trPr>
          <w:trHeight w:val="347" w:hRule="atLeast"/>
        </w:trPr>
        <w:tc>
          <w:tcPr>
            <w:tcW w:w="715" w:type="dxa"/>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w:t>
            </w:r>
          </w:p>
        </w:tc>
        <w:tc>
          <w:tcPr>
            <w:tcW w:w="594" w:type="dxa"/>
            <w:gridSpan w:val="2"/>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w:t>
            </w:r>
          </w:p>
        </w:tc>
        <w:tc>
          <w:tcPr>
            <w:tcW w:w="709" w:type="dxa"/>
            <w:gridSpan w:val="2"/>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w:t>
            </w:r>
          </w:p>
        </w:tc>
        <w:tc>
          <w:tcPr>
            <w:tcW w:w="3685" w:type="dxa"/>
            <w:gridSpan w:val="2"/>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w:t>
            </w:r>
          </w:p>
        </w:tc>
        <w:tc>
          <w:tcPr>
            <w:tcW w:w="1664"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1</w:t>
            </w:r>
          </w:p>
        </w:tc>
        <w:tc>
          <w:tcPr>
            <w:tcW w:w="1468"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2</w:t>
            </w:r>
          </w:p>
        </w:tc>
        <w:tc>
          <w:tcPr>
            <w:tcW w:w="1404" w:type="dxa"/>
            <w:tcBorders>
              <w:top w:val="nil"/>
              <w:left w:val="nil"/>
              <w:bottom w:val="nil"/>
              <w:right w:val="nil"/>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3</w:t>
            </w:r>
          </w:p>
        </w:tc>
        <w:tc>
          <w:tcPr>
            <w:tcW w:w="1404"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4</w:t>
            </w:r>
          </w:p>
        </w:tc>
        <w:tc>
          <w:tcPr>
            <w:tcW w:w="1404"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6</w:t>
            </w:r>
          </w:p>
        </w:tc>
        <w:tc>
          <w:tcPr>
            <w:tcW w:w="1409"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5</w:t>
            </w:r>
          </w:p>
        </w:tc>
      </w:tr>
      <w:tr>
        <w:tblPrEx>
          <w:tblLayout w:type="fixed"/>
          <w:tblCellMar>
            <w:top w:w="0" w:type="dxa"/>
            <w:left w:w="108" w:type="dxa"/>
            <w:bottom w:w="0" w:type="dxa"/>
            <w:right w:w="108" w:type="dxa"/>
          </w:tblCellMar>
        </w:tblPrEx>
        <w:trPr>
          <w:trHeight w:val="360" w:hRule="atLeast"/>
        </w:trPr>
        <w:tc>
          <w:tcPr>
            <w:tcW w:w="715" w:type="dxa"/>
            <w:tcBorders>
              <w:top w:val="single" w:color="auto" w:sz="4" w:space="0"/>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594"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709"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685"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合计</w:t>
            </w:r>
          </w:p>
        </w:tc>
        <w:tc>
          <w:tcPr>
            <w:tcW w:w="1664" w:type="dxa"/>
            <w:tcBorders>
              <w:top w:val="single" w:color="auto" w:sz="4" w:space="0"/>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179,930,347</w:t>
            </w:r>
          </w:p>
        </w:tc>
        <w:tc>
          <w:tcPr>
            <w:tcW w:w="1468" w:type="dxa"/>
            <w:tcBorders>
              <w:top w:val="single" w:color="auto" w:sz="4" w:space="0"/>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179,830,347</w:t>
            </w:r>
          </w:p>
        </w:tc>
        <w:tc>
          <w:tcPr>
            <w:tcW w:w="1404" w:type="dxa"/>
            <w:tcBorders>
              <w:top w:val="single" w:color="auto" w:sz="4" w:space="0"/>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100,000</w:t>
            </w:r>
          </w:p>
        </w:tc>
        <w:tc>
          <w:tcPr>
            <w:tcW w:w="1404" w:type="dxa"/>
            <w:tcBorders>
              <w:top w:val="single" w:color="auto" w:sz="4" w:space="0"/>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single" w:color="auto" w:sz="4" w:space="0"/>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201</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一般公共服务支出</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100,000</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100,000</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11</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纪检监察事务</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100,000</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100,000</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201</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11</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05</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派驻派出机构</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100,000</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100,000</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208</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社会保障和就业支出</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5,348,336</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5,348,336</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05</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行政事业单位养老支出</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5,348,336</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5,348,336</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208</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05</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02</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事业单位离退休</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2,077,208</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2,077,208</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208</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05</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05</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机关事业单位基本养老保险缴费支出</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3,271,128</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3,271,128</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210</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卫生健康支出</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172,028,665</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172,028,665</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02</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公立医院</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168,631,996</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168,631,996</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210</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02</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01</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综合医院</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168,631,996</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168,631,996</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11</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行政事业单位医疗</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3,396,669</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3,396,669</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210</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11</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02</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事业单位医疗</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3,396,669</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3,396,669</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221</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住房保障支出</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2,453,346</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2,453,346</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02</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住房改革支出</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2,453,346</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2,453,346</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60" w:hRule="atLeast"/>
        </w:trPr>
        <w:tc>
          <w:tcPr>
            <w:tcW w:w="715" w:type="dxa"/>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221</w:t>
            </w:r>
          </w:p>
        </w:tc>
        <w:tc>
          <w:tcPr>
            <w:tcW w:w="594"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02</w:t>
            </w:r>
          </w:p>
        </w:tc>
        <w:tc>
          <w:tcPr>
            <w:tcW w:w="709"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01</w:t>
            </w:r>
          </w:p>
        </w:tc>
        <w:tc>
          <w:tcPr>
            <w:tcW w:w="3685" w:type="dxa"/>
            <w:gridSpan w:val="2"/>
            <w:tcBorders>
              <w:top w:val="nil"/>
              <w:left w:val="single" w:color="auto" w:sz="4" w:space="0"/>
              <w:bottom w:val="single" w:color="auto" w:sz="4" w:space="0"/>
              <w:right w:val="nil"/>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xml:space="preserve">    住房公积金</w:t>
            </w:r>
          </w:p>
        </w:tc>
        <w:tc>
          <w:tcPr>
            <w:tcW w:w="166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2,453,346</w:t>
            </w:r>
          </w:p>
        </w:tc>
        <w:tc>
          <w:tcPr>
            <w:tcW w:w="146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2,453,346</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4"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0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bl>
    <w:tbl>
      <w:tblPr>
        <w:tblStyle w:val="4"/>
        <w:tblpPr w:leftFromText="180" w:rightFromText="180" w:vertAnchor="text" w:horzAnchor="margin" w:tblpY="317"/>
        <w:tblW w:w="13468" w:type="dxa"/>
        <w:tblInd w:w="0" w:type="dxa"/>
        <w:tblLayout w:type="fixed"/>
        <w:tblCellMar>
          <w:top w:w="15" w:type="dxa"/>
          <w:left w:w="15" w:type="dxa"/>
          <w:bottom w:w="15" w:type="dxa"/>
          <w:right w:w="15" w:type="dxa"/>
        </w:tblCellMar>
      </w:tblPr>
      <w:tblGrid>
        <w:gridCol w:w="747"/>
        <w:gridCol w:w="930"/>
        <w:gridCol w:w="929"/>
        <w:gridCol w:w="4685"/>
        <w:gridCol w:w="2186"/>
        <w:gridCol w:w="1772"/>
        <w:gridCol w:w="2219"/>
      </w:tblGrid>
      <w:tr>
        <w:tblPrEx>
          <w:tblLayout w:type="fixed"/>
          <w:tblCellMar>
            <w:top w:w="15" w:type="dxa"/>
            <w:left w:w="15" w:type="dxa"/>
            <w:bottom w:w="15" w:type="dxa"/>
            <w:right w:w="15" w:type="dxa"/>
          </w:tblCellMar>
        </w:tblPrEx>
        <w:trPr>
          <w:trHeight w:val="390" w:hRule="atLeast"/>
        </w:trPr>
        <w:tc>
          <w:tcPr>
            <w:tcW w:w="747" w:type="dxa"/>
            <w:shd w:val="clear" w:color="auto" w:fill="auto"/>
            <w:vAlign w:val="center"/>
          </w:tcPr>
          <w:p>
            <w:pPr>
              <w:widowControl/>
              <w:textAlignment w:val="center"/>
              <w:rPr>
                <w:rFonts w:ascii="宋体" w:hAnsi="宋体" w:eastAsia="宋体" w:cs="宋体"/>
                <w:b/>
                <w:sz w:val="22"/>
                <w:szCs w:val="22"/>
              </w:rPr>
            </w:pPr>
            <w:r>
              <w:rPr>
                <w:rFonts w:hint="eastAsia" w:ascii="宋体" w:hAnsi="宋体" w:eastAsia="宋体" w:cs="宋体"/>
                <w:b/>
                <w:sz w:val="22"/>
                <w:szCs w:val="22"/>
                <w:lang w:eastAsia="zh-CN"/>
              </w:rPr>
              <w:t>表7</w:t>
            </w:r>
          </w:p>
        </w:tc>
        <w:tc>
          <w:tcPr>
            <w:tcW w:w="930" w:type="dxa"/>
            <w:shd w:val="clear" w:color="auto" w:fill="auto"/>
            <w:vAlign w:val="bottom"/>
          </w:tcPr>
          <w:p>
            <w:pPr>
              <w:rPr>
                <w:rFonts w:ascii="宋体" w:hAnsi="宋体" w:eastAsia="宋体" w:cs="宋体"/>
                <w:sz w:val="22"/>
                <w:szCs w:val="22"/>
              </w:rPr>
            </w:pPr>
          </w:p>
        </w:tc>
        <w:tc>
          <w:tcPr>
            <w:tcW w:w="929" w:type="dxa"/>
            <w:shd w:val="clear" w:color="auto" w:fill="auto"/>
            <w:vAlign w:val="bottom"/>
          </w:tcPr>
          <w:p>
            <w:pPr>
              <w:rPr>
                <w:rFonts w:ascii="宋体" w:hAnsi="宋体" w:eastAsia="宋体" w:cs="宋体"/>
                <w:sz w:val="22"/>
                <w:szCs w:val="22"/>
              </w:rPr>
            </w:pPr>
          </w:p>
        </w:tc>
        <w:tc>
          <w:tcPr>
            <w:tcW w:w="4685" w:type="dxa"/>
            <w:shd w:val="clear" w:color="auto" w:fill="auto"/>
            <w:vAlign w:val="bottom"/>
          </w:tcPr>
          <w:p>
            <w:pPr>
              <w:rPr>
                <w:rFonts w:ascii="宋体" w:hAnsi="宋体" w:eastAsia="宋体" w:cs="宋体"/>
                <w:sz w:val="22"/>
                <w:szCs w:val="22"/>
              </w:rPr>
            </w:pPr>
          </w:p>
        </w:tc>
        <w:tc>
          <w:tcPr>
            <w:tcW w:w="2186" w:type="dxa"/>
            <w:shd w:val="clear" w:color="auto" w:fill="auto"/>
            <w:vAlign w:val="center"/>
          </w:tcPr>
          <w:p>
            <w:pPr>
              <w:rPr>
                <w:rFonts w:ascii="宋体" w:hAnsi="宋体" w:eastAsia="宋体" w:cs="宋体"/>
                <w:sz w:val="22"/>
                <w:szCs w:val="22"/>
              </w:rPr>
            </w:pPr>
          </w:p>
        </w:tc>
        <w:tc>
          <w:tcPr>
            <w:tcW w:w="1772" w:type="dxa"/>
            <w:shd w:val="clear" w:color="auto" w:fill="auto"/>
            <w:vAlign w:val="center"/>
          </w:tcPr>
          <w:p>
            <w:pPr>
              <w:rPr>
                <w:rFonts w:ascii="宋体" w:hAnsi="宋体" w:eastAsia="宋体" w:cs="宋体"/>
                <w:sz w:val="22"/>
                <w:szCs w:val="22"/>
              </w:rPr>
            </w:pPr>
          </w:p>
        </w:tc>
        <w:tc>
          <w:tcPr>
            <w:tcW w:w="2219" w:type="dxa"/>
            <w:shd w:val="clear" w:color="auto" w:fill="auto"/>
            <w:vAlign w:val="bottom"/>
          </w:tcPr>
          <w:p>
            <w:pPr>
              <w:jc w:val="right"/>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540" w:hRule="atLeast"/>
        </w:trPr>
        <w:tc>
          <w:tcPr>
            <w:tcW w:w="13468" w:type="dxa"/>
            <w:gridSpan w:val="7"/>
            <w:shd w:val="clear" w:color="auto" w:fill="auto"/>
            <w:vAlign w:val="center"/>
          </w:tcPr>
          <w:p>
            <w:pPr>
              <w:widowControl/>
              <w:jc w:val="center"/>
              <w:textAlignment w:val="center"/>
              <w:rPr>
                <w:rFonts w:ascii="宋体" w:hAnsi="宋体" w:eastAsia="宋体" w:cs="宋体"/>
                <w:b/>
                <w:sz w:val="36"/>
                <w:szCs w:val="36"/>
                <w:lang w:eastAsia="zh-CN"/>
              </w:rPr>
            </w:pPr>
            <w:r>
              <w:rPr>
                <w:rFonts w:hint="eastAsia" w:ascii="宋体" w:hAnsi="宋体" w:eastAsia="宋体" w:cs="宋体"/>
                <w:b/>
                <w:sz w:val="36"/>
                <w:szCs w:val="36"/>
                <w:lang w:eastAsia="zh-CN"/>
              </w:rPr>
              <w:t>2021年政府性基金预算财政拨款支出预算表</w:t>
            </w:r>
          </w:p>
        </w:tc>
      </w:tr>
      <w:tr>
        <w:tblPrEx>
          <w:tblLayout w:type="fixed"/>
          <w:tblCellMar>
            <w:top w:w="15" w:type="dxa"/>
            <w:left w:w="15" w:type="dxa"/>
            <w:bottom w:w="15" w:type="dxa"/>
            <w:right w:w="15" w:type="dxa"/>
          </w:tblCellMar>
        </w:tblPrEx>
        <w:trPr>
          <w:trHeight w:val="300" w:hRule="atLeast"/>
        </w:trPr>
        <w:tc>
          <w:tcPr>
            <w:tcW w:w="747" w:type="dxa"/>
            <w:shd w:val="clear" w:color="auto" w:fill="auto"/>
          </w:tcPr>
          <w:p>
            <w:pPr>
              <w:rPr>
                <w:rFonts w:ascii="仿宋_GB2312" w:hAnsi="宋体" w:eastAsia="仿宋_GB2312" w:cs="仿宋_GB2312"/>
                <w:sz w:val="22"/>
                <w:szCs w:val="22"/>
                <w:lang w:eastAsia="zh-CN"/>
              </w:rPr>
            </w:pPr>
          </w:p>
        </w:tc>
        <w:tc>
          <w:tcPr>
            <w:tcW w:w="930" w:type="dxa"/>
            <w:shd w:val="clear" w:color="auto" w:fill="auto"/>
          </w:tcPr>
          <w:p>
            <w:pPr>
              <w:rPr>
                <w:rFonts w:ascii="仿宋_GB2312" w:hAnsi="宋体" w:eastAsia="仿宋_GB2312" w:cs="仿宋_GB2312"/>
                <w:sz w:val="22"/>
                <w:szCs w:val="22"/>
                <w:lang w:eastAsia="zh-CN"/>
              </w:rPr>
            </w:pPr>
          </w:p>
        </w:tc>
        <w:tc>
          <w:tcPr>
            <w:tcW w:w="929" w:type="dxa"/>
            <w:shd w:val="clear" w:color="auto" w:fill="auto"/>
          </w:tcPr>
          <w:p>
            <w:pPr>
              <w:rPr>
                <w:rFonts w:ascii="仿宋_GB2312" w:hAnsi="宋体" w:eastAsia="仿宋_GB2312" w:cs="仿宋_GB2312"/>
                <w:sz w:val="22"/>
                <w:szCs w:val="22"/>
                <w:lang w:eastAsia="zh-CN"/>
              </w:rPr>
            </w:pPr>
          </w:p>
        </w:tc>
        <w:tc>
          <w:tcPr>
            <w:tcW w:w="4685" w:type="dxa"/>
            <w:shd w:val="clear" w:color="auto" w:fill="auto"/>
            <w:vAlign w:val="bottom"/>
          </w:tcPr>
          <w:p>
            <w:pPr>
              <w:rPr>
                <w:rFonts w:ascii="仿宋_GB2312" w:hAnsi="宋体" w:eastAsia="仿宋_GB2312" w:cs="仿宋_GB2312"/>
                <w:sz w:val="22"/>
                <w:szCs w:val="22"/>
                <w:lang w:eastAsia="zh-CN"/>
              </w:rPr>
            </w:pPr>
          </w:p>
        </w:tc>
        <w:tc>
          <w:tcPr>
            <w:tcW w:w="2186" w:type="dxa"/>
            <w:shd w:val="clear" w:color="auto" w:fill="auto"/>
            <w:vAlign w:val="center"/>
          </w:tcPr>
          <w:p>
            <w:pPr>
              <w:rPr>
                <w:rFonts w:ascii="仿宋_GB2312" w:hAnsi="宋体" w:eastAsia="仿宋_GB2312" w:cs="仿宋_GB2312"/>
                <w:sz w:val="22"/>
                <w:szCs w:val="22"/>
                <w:lang w:eastAsia="zh-CN"/>
              </w:rPr>
            </w:pPr>
          </w:p>
        </w:tc>
        <w:tc>
          <w:tcPr>
            <w:tcW w:w="1772" w:type="dxa"/>
            <w:shd w:val="clear" w:color="auto" w:fill="auto"/>
            <w:vAlign w:val="center"/>
          </w:tcPr>
          <w:p>
            <w:pPr>
              <w:rPr>
                <w:rFonts w:ascii="仿宋_GB2312" w:hAnsi="宋体" w:eastAsia="仿宋_GB2312" w:cs="仿宋_GB2312"/>
                <w:sz w:val="22"/>
                <w:szCs w:val="22"/>
                <w:lang w:eastAsia="zh-CN"/>
              </w:rPr>
            </w:pPr>
          </w:p>
        </w:tc>
        <w:tc>
          <w:tcPr>
            <w:tcW w:w="2219" w:type="dxa"/>
            <w:tcBorders>
              <w:bottom w:val="single" w:color="000000" w:sz="4" w:space="0"/>
            </w:tcBorders>
            <w:shd w:val="clear" w:color="auto" w:fill="auto"/>
            <w:vAlign w:val="bottom"/>
          </w:tcPr>
          <w:p>
            <w:pPr>
              <w:widowControl/>
              <w:jc w:val="right"/>
              <w:textAlignment w:val="bottom"/>
              <w:rPr>
                <w:rFonts w:ascii="宋体" w:hAnsi="宋体" w:eastAsia="宋体" w:cs="宋体"/>
                <w:b/>
                <w:sz w:val="22"/>
                <w:szCs w:val="22"/>
              </w:rPr>
            </w:pPr>
            <w:r>
              <w:rPr>
                <w:rFonts w:hint="eastAsia" w:ascii="宋体" w:hAnsi="宋体" w:eastAsia="宋体" w:cs="宋体"/>
                <w:b/>
                <w:sz w:val="22"/>
                <w:szCs w:val="22"/>
                <w:lang w:eastAsia="zh-CN"/>
              </w:rPr>
              <w:t>单位：元</w:t>
            </w:r>
          </w:p>
        </w:tc>
      </w:tr>
      <w:tr>
        <w:tblPrEx>
          <w:tblLayout w:type="fixed"/>
          <w:tblCellMar>
            <w:top w:w="15" w:type="dxa"/>
            <w:left w:w="15" w:type="dxa"/>
            <w:bottom w:w="15" w:type="dxa"/>
            <w:right w:w="15" w:type="dxa"/>
          </w:tblCellMar>
        </w:tblPrEx>
        <w:trPr>
          <w:trHeight w:val="450" w:hRule="atLeast"/>
        </w:trPr>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科目编码</w:t>
            </w:r>
          </w:p>
        </w:tc>
        <w:tc>
          <w:tcPr>
            <w:tcW w:w="4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科目名称</w:t>
            </w:r>
          </w:p>
        </w:tc>
        <w:tc>
          <w:tcPr>
            <w:tcW w:w="6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lang w:eastAsia="zh-CN"/>
              </w:rPr>
            </w:pPr>
            <w:r>
              <w:rPr>
                <w:rFonts w:hint="eastAsia" w:ascii="宋体" w:hAnsi="宋体" w:eastAsia="宋体" w:cs="宋体"/>
                <w:b/>
                <w:sz w:val="22"/>
                <w:szCs w:val="22"/>
                <w:lang w:eastAsia="zh-CN"/>
              </w:rPr>
              <w:t>本年政府性基金预算财政拨款</w:t>
            </w:r>
          </w:p>
        </w:tc>
      </w:tr>
      <w:tr>
        <w:tblPrEx>
          <w:tblLayout w:type="fixed"/>
          <w:tblCellMar>
            <w:top w:w="15" w:type="dxa"/>
            <w:left w:w="15" w:type="dxa"/>
            <w:bottom w:w="15" w:type="dxa"/>
            <w:right w:w="15" w:type="dxa"/>
          </w:tblCellMar>
        </w:tblPrEx>
        <w:trPr>
          <w:trHeight w:val="45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类</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款</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项</w:t>
            </w:r>
          </w:p>
        </w:tc>
        <w:tc>
          <w:tcPr>
            <w:tcW w:w="4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c>
          <w:tcPr>
            <w:tcW w:w="218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合计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基本支出</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项目支出</w:t>
            </w:r>
          </w:p>
        </w:tc>
      </w:tr>
      <w:tr>
        <w:tblPrEx>
          <w:tblLayout w:type="fixed"/>
          <w:tblCellMar>
            <w:top w:w="15" w:type="dxa"/>
            <w:left w:w="15" w:type="dxa"/>
            <w:bottom w:w="15" w:type="dxa"/>
            <w:right w:w="15" w:type="dxa"/>
          </w:tblCellMar>
        </w:tblPrEx>
        <w:trPr>
          <w:trHeight w:val="450" w:hRule="atLeast"/>
        </w:trPr>
        <w:tc>
          <w:tcPr>
            <w:tcW w:w="74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w:t>
            </w:r>
          </w:p>
        </w:tc>
        <w:tc>
          <w:tcPr>
            <w:tcW w:w="93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w:t>
            </w:r>
          </w:p>
        </w:tc>
        <w:tc>
          <w:tcPr>
            <w:tcW w:w="92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w:t>
            </w:r>
          </w:p>
        </w:tc>
        <w:tc>
          <w:tcPr>
            <w:tcW w:w="468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w:t>
            </w:r>
          </w:p>
        </w:tc>
        <w:tc>
          <w:tcPr>
            <w:tcW w:w="21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1</w:t>
            </w:r>
          </w:p>
        </w:tc>
        <w:tc>
          <w:tcPr>
            <w:tcW w:w="177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2</w:t>
            </w:r>
          </w:p>
        </w:tc>
        <w:tc>
          <w:tcPr>
            <w:tcW w:w="221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3</w:t>
            </w:r>
          </w:p>
        </w:tc>
      </w:tr>
      <w:tr>
        <w:tblPrEx>
          <w:tblLayout w:type="fixed"/>
          <w:tblCellMar>
            <w:top w:w="15" w:type="dxa"/>
            <w:left w:w="15" w:type="dxa"/>
            <w:bottom w:w="15" w:type="dxa"/>
            <w:right w:w="15" w:type="dxa"/>
          </w:tblCellMar>
        </w:tblPrEx>
        <w:trPr>
          <w:trHeight w:val="315" w:hRule="atLeast"/>
        </w:trPr>
        <w:tc>
          <w:tcPr>
            <w:tcW w:w="747"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930"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929"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sz w:val="22"/>
                <w:szCs w:val="22"/>
              </w:rPr>
            </w:pPr>
          </w:p>
        </w:tc>
        <w:tc>
          <w:tcPr>
            <w:tcW w:w="46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p>
        </w:tc>
        <w:tc>
          <w:tcPr>
            <w:tcW w:w="218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772" w:type="dxa"/>
            <w:tcBorders>
              <w:top w:val="single" w:color="000000" w:sz="4" w:space="0"/>
              <w:bottom w:val="single" w:color="000000" w:sz="4" w:space="0"/>
            </w:tcBorders>
            <w:shd w:val="clear" w:color="auto" w:fill="auto"/>
            <w:vAlign w:val="center"/>
          </w:tcPr>
          <w:p>
            <w:pPr>
              <w:jc w:val="right"/>
              <w:rPr>
                <w:rFonts w:ascii="宋体" w:hAnsi="宋体" w:eastAsia="宋体" w:cs="宋体"/>
                <w:sz w:val="22"/>
                <w:szCs w:val="22"/>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r>
    </w:tbl>
    <w:p>
      <w:pPr>
        <w:pStyle w:val="17"/>
        <w:spacing w:after="620" w:line="576" w:lineRule="exact"/>
        <w:ind w:firstLine="0"/>
        <w:jc w:val="both"/>
        <w:rPr>
          <w:rFonts w:ascii="楷体_GB2312" w:hAnsi="楷体_GB2312" w:eastAsia="楷体_GB2312" w:cs="楷体_GB2312"/>
          <w:sz w:val="22"/>
          <w:szCs w:val="22"/>
          <w:lang w:eastAsia="zh-CN"/>
        </w:rPr>
      </w:pPr>
    </w:p>
    <w:p>
      <w:pPr>
        <w:pStyle w:val="17"/>
        <w:spacing w:after="620" w:line="576" w:lineRule="exact"/>
        <w:ind w:firstLine="0"/>
        <w:jc w:val="both"/>
        <w:rPr>
          <w:rFonts w:ascii="楷体_GB2312" w:hAnsi="楷体_GB2312" w:eastAsia="楷体_GB2312" w:cs="楷体_GB2312"/>
          <w:sz w:val="22"/>
          <w:szCs w:val="22"/>
        </w:rPr>
      </w:pPr>
    </w:p>
    <w:p>
      <w:pPr>
        <w:pStyle w:val="17"/>
        <w:spacing w:after="620" w:line="576" w:lineRule="exact"/>
        <w:ind w:firstLine="0"/>
        <w:jc w:val="both"/>
        <w:rPr>
          <w:rFonts w:ascii="楷体_GB2312" w:hAnsi="楷体_GB2312" w:eastAsia="楷体_GB2312" w:cs="楷体_GB2312"/>
          <w:sz w:val="22"/>
          <w:szCs w:val="22"/>
          <w:lang w:eastAsia="zh-CN"/>
        </w:rPr>
      </w:pPr>
    </w:p>
    <w:p>
      <w:pPr>
        <w:pStyle w:val="17"/>
        <w:spacing w:after="620" w:line="576" w:lineRule="exact"/>
        <w:ind w:firstLine="0"/>
        <w:jc w:val="both"/>
        <w:rPr>
          <w:rFonts w:ascii="楷体_GB2312" w:hAnsi="楷体_GB2312" w:eastAsia="楷体_GB2312" w:cs="楷体_GB2312"/>
          <w:sz w:val="22"/>
          <w:szCs w:val="22"/>
          <w:lang w:eastAsia="zh-CN"/>
        </w:rPr>
      </w:pPr>
    </w:p>
    <w:p>
      <w:pPr>
        <w:pStyle w:val="17"/>
        <w:spacing w:after="620" w:line="576" w:lineRule="exact"/>
        <w:ind w:firstLine="0"/>
        <w:jc w:val="both"/>
        <w:rPr>
          <w:rFonts w:ascii="楷体_GB2312" w:hAnsi="楷体_GB2312" w:eastAsia="楷体_GB2312" w:cs="楷体_GB2312"/>
          <w:sz w:val="22"/>
          <w:szCs w:val="22"/>
          <w:lang w:eastAsia="zh-CN"/>
        </w:rPr>
      </w:pPr>
    </w:p>
    <w:tbl>
      <w:tblPr>
        <w:tblStyle w:val="4"/>
        <w:tblpPr w:leftFromText="180" w:rightFromText="180" w:vertAnchor="text" w:horzAnchor="margin" w:tblpY="560"/>
        <w:tblW w:w="13468" w:type="dxa"/>
        <w:tblInd w:w="0" w:type="dxa"/>
        <w:tblLayout w:type="fixed"/>
        <w:tblCellMar>
          <w:top w:w="15" w:type="dxa"/>
          <w:left w:w="15" w:type="dxa"/>
          <w:bottom w:w="15" w:type="dxa"/>
          <w:right w:w="15" w:type="dxa"/>
        </w:tblCellMar>
      </w:tblPr>
      <w:tblGrid>
        <w:gridCol w:w="3170"/>
        <w:gridCol w:w="351"/>
        <w:gridCol w:w="977"/>
        <w:gridCol w:w="202"/>
        <w:gridCol w:w="882"/>
        <w:gridCol w:w="296"/>
        <w:gridCol w:w="1032"/>
        <w:gridCol w:w="211"/>
        <w:gridCol w:w="1154"/>
        <w:gridCol w:w="1084"/>
        <w:gridCol w:w="1365"/>
        <w:gridCol w:w="963"/>
        <w:gridCol w:w="1781"/>
      </w:tblGrid>
      <w:tr>
        <w:tblPrEx>
          <w:tblLayout w:type="fixed"/>
          <w:tblCellMar>
            <w:top w:w="15" w:type="dxa"/>
            <w:left w:w="15" w:type="dxa"/>
            <w:bottom w:w="15" w:type="dxa"/>
            <w:right w:w="15" w:type="dxa"/>
          </w:tblCellMar>
        </w:tblPrEx>
        <w:trPr>
          <w:trHeight w:val="345" w:hRule="atLeast"/>
        </w:trPr>
        <w:tc>
          <w:tcPr>
            <w:tcW w:w="3170" w:type="dxa"/>
            <w:shd w:val="clear" w:color="auto" w:fill="auto"/>
            <w:vAlign w:val="center"/>
          </w:tcPr>
          <w:p>
            <w:pPr>
              <w:widowControl/>
              <w:textAlignment w:val="center"/>
              <w:rPr>
                <w:rFonts w:ascii="宋体" w:hAnsi="宋体" w:eastAsia="宋体" w:cs="宋体"/>
                <w:b/>
                <w:sz w:val="22"/>
                <w:szCs w:val="22"/>
              </w:rPr>
            </w:pPr>
            <w:r>
              <w:rPr>
                <w:rFonts w:hint="eastAsia" w:ascii="宋体" w:hAnsi="宋体" w:eastAsia="宋体" w:cs="宋体"/>
                <w:b/>
                <w:sz w:val="22"/>
                <w:szCs w:val="22"/>
                <w:lang w:eastAsia="zh-CN"/>
              </w:rPr>
              <w:t>表8</w:t>
            </w:r>
          </w:p>
        </w:tc>
        <w:tc>
          <w:tcPr>
            <w:tcW w:w="1328" w:type="dxa"/>
            <w:gridSpan w:val="2"/>
            <w:shd w:val="clear" w:color="auto" w:fill="auto"/>
            <w:vAlign w:val="bottom"/>
          </w:tcPr>
          <w:p>
            <w:pPr>
              <w:jc w:val="center"/>
              <w:rPr>
                <w:rFonts w:ascii="宋体" w:hAnsi="宋体" w:eastAsia="宋体" w:cs="宋体"/>
                <w:sz w:val="22"/>
                <w:szCs w:val="22"/>
              </w:rPr>
            </w:pPr>
          </w:p>
        </w:tc>
        <w:tc>
          <w:tcPr>
            <w:tcW w:w="1084" w:type="dxa"/>
            <w:gridSpan w:val="2"/>
            <w:shd w:val="clear" w:color="auto" w:fill="auto"/>
            <w:vAlign w:val="bottom"/>
          </w:tcPr>
          <w:p>
            <w:pPr>
              <w:jc w:val="center"/>
              <w:rPr>
                <w:rFonts w:ascii="宋体" w:hAnsi="宋体" w:eastAsia="宋体" w:cs="宋体"/>
                <w:sz w:val="22"/>
                <w:szCs w:val="22"/>
              </w:rPr>
            </w:pPr>
          </w:p>
        </w:tc>
        <w:tc>
          <w:tcPr>
            <w:tcW w:w="1328" w:type="dxa"/>
            <w:gridSpan w:val="2"/>
            <w:shd w:val="clear" w:color="auto" w:fill="auto"/>
            <w:vAlign w:val="bottom"/>
          </w:tcPr>
          <w:p>
            <w:pPr>
              <w:jc w:val="center"/>
              <w:rPr>
                <w:rFonts w:ascii="宋体" w:hAnsi="宋体" w:eastAsia="宋体" w:cs="宋体"/>
                <w:sz w:val="22"/>
                <w:szCs w:val="22"/>
              </w:rPr>
            </w:pPr>
          </w:p>
        </w:tc>
        <w:tc>
          <w:tcPr>
            <w:tcW w:w="1365" w:type="dxa"/>
            <w:gridSpan w:val="2"/>
            <w:shd w:val="clear" w:color="auto" w:fill="auto"/>
            <w:vAlign w:val="center"/>
          </w:tcPr>
          <w:p>
            <w:pPr>
              <w:rPr>
                <w:rFonts w:ascii="宋体" w:hAnsi="宋体" w:eastAsia="宋体" w:cs="宋体"/>
                <w:sz w:val="22"/>
                <w:szCs w:val="22"/>
              </w:rPr>
            </w:pPr>
          </w:p>
        </w:tc>
        <w:tc>
          <w:tcPr>
            <w:tcW w:w="1084" w:type="dxa"/>
            <w:shd w:val="clear" w:color="auto" w:fill="auto"/>
            <w:vAlign w:val="center"/>
          </w:tcPr>
          <w:p>
            <w:pPr>
              <w:rPr>
                <w:rFonts w:ascii="宋体" w:hAnsi="宋体" w:eastAsia="宋体" w:cs="宋体"/>
                <w:sz w:val="22"/>
                <w:szCs w:val="22"/>
              </w:rPr>
            </w:pPr>
          </w:p>
        </w:tc>
        <w:tc>
          <w:tcPr>
            <w:tcW w:w="1365" w:type="dxa"/>
            <w:shd w:val="clear" w:color="auto" w:fill="auto"/>
            <w:vAlign w:val="center"/>
          </w:tcPr>
          <w:p>
            <w:pPr>
              <w:rPr>
                <w:rFonts w:ascii="宋体" w:hAnsi="宋体" w:eastAsia="宋体" w:cs="宋体"/>
                <w:sz w:val="22"/>
                <w:szCs w:val="22"/>
              </w:rPr>
            </w:pPr>
          </w:p>
        </w:tc>
        <w:tc>
          <w:tcPr>
            <w:tcW w:w="963" w:type="dxa"/>
            <w:shd w:val="clear" w:color="auto" w:fill="auto"/>
            <w:vAlign w:val="bottom"/>
          </w:tcPr>
          <w:p>
            <w:pPr>
              <w:rPr>
                <w:rFonts w:ascii="宋体" w:hAnsi="宋体" w:eastAsia="宋体" w:cs="宋体"/>
                <w:sz w:val="22"/>
                <w:szCs w:val="22"/>
              </w:rPr>
            </w:pPr>
          </w:p>
        </w:tc>
        <w:tc>
          <w:tcPr>
            <w:tcW w:w="1781" w:type="dxa"/>
            <w:shd w:val="clear" w:color="auto" w:fill="auto"/>
            <w:vAlign w:val="bottom"/>
          </w:tcPr>
          <w:p>
            <w:pPr>
              <w:jc w:val="right"/>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360" w:hRule="atLeast"/>
        </w:trPr>
        <w:tc>
          <w:tcPr>
            <w:tcW w:w="13468" w:type="dxa"/>
            <w:gridSpan w:val="13"/>
            <w:shd w:val="clear" w:color="auto" w:fill="auto"/>
            <w:vAlign w:val="center"/>
          </w:tcPr>
          <w:p>
            <w:pPr>
              <w:widowControl/>
              <w:jc w:val="center"/>
              <w:textAlignment w:val="center"/>
              <w:rPr>
                <w:rFonts w:ascii="宋体" w:hAnsi="宋体" w:eastAsia="宋体" w:cs="宋体"/>
                <w:b/>
                <w:sz w:val="36"/>
                <w:szCs w:val="36"/>
                <w:lang w:eastAsia="zh-CN"/>
              </w:rPr>
            </w:pPr>
            <w:r>
              <w:rPr>
                <w:rFonts w:hint="eastAsia" w:ascii="宋体" w:hAnsi="宋体" w:eastAsia="宋体" w:cs="宋体"/>
                <w:b/>
                <w:sz w:val="36"/>
                <w:szCs w:val="36"/>
                <w:lang w:eastAsia="zh-CN"/>
              </w:rPr>
              <w:t>2021年财政拨款“三公”经费支出预算表</w:t>
            </w:r>
          </w:p>
        </w:tc>
      </w:tr>
      <w:tr>
        <w:tblPrEx>
          <w:tblLayout w:type="fixed"/>
          <w:tblCellMar>
            <w:top w:w="15" w:type="dxa"/>
            <w:left w:w="15" w:type="dxa"/>
            <w:bottom w:w="15" w:type="dxa"/>
            <w:right w:w="15" w:type="dxa"/>
          </w:tblCellMar>
        </w:tblPrEx>
        <w:trPr>
          <w:trHeight w:val="315" w:hRule="atLeast"/>
        </w:trPr>
        <w:tc>
          <w:tcPr>
            <w:tcW w:w="3521" w:type="dxa"/>
            <w:gridSpan w:val="2"/>
            <w:shd w:val="clear" w:color="auto" w:fill="auto"/>
          </w:tcPr>
          <w:p>
            <w:pPr>
              <w:rPr>
                <w:rFonts w:ascii="仿宋_GB2312" w:hAnsi="宋体" w:eastAsia="仿宋_GB2312" w:cs="仿宋_GB2312"/>
                <w:sz w:val="22"/>
                <w:szCs w:val="22"/>
                <w:lang w:eastAsia="zh-CN"/>
              </w:rPr>
            </w:pPr>
          </w:p>
        </w:tc>
        <w:tc>
          <w:tcPr>
            <w:tcW w:w="977" w:type="dxa"/>
            <w:shd w:val="clear" w:color="auto" w:fill="auto"/>
            <w:vAlign w:val="center"/>
          </w:tcPr>
          <w:p>
            <w:pPr>
              <w:jc w:val="right"/>
              <w:rPr>
                <w:rFonts w:ascii="仿宋_GB2312" w:hAnsi="宋体" w:eastAsia="仿宋_GB2312" w:cs="仿宋_GB2312"/>
                <w:sz w:val="22"/>
                <w:szCs w:val="22"/>
                <w:lang w:eastAsia="zh-CN"/>
              </w:rPr>
            </w:pPr>
          </w:p>
        </w:tc>
        <w:tc>
          <w:tcPr>
            <w:tcW w:w="1084" w:type="dxa"/>
            <w:gridSpan w:val="2"/>
            <w:shd w:val="clear" w:color="auto" w:fill="auto"/>
            <w:vAlign w:val="center"/>
          </w:tcPr>
          <w:p>
            <w:pPr>
              <w:jc w:val="right"/>
              <w:rPr>
                <w:rFonts w:ascii="仿宋_GB2312" w:hAnsi="宋体" w:eastAsia="仿宋_GB2312" w:cs="仿宋_GB2312"/>
                <w:sz w:val="22"/>
                <w:szCs w:val="22"/>
                <w:lang w:eastAsia="zh-CN"/>
              </w:rPr>
            </w:pPr>
          </w:p>
        </w:tc>
        <w:tc>
          <w:tcPr>
            <w:tcW w:w="1539" w:type="dxa"/>
            <w:gridSpan w:val="3"/>
            <w:shd w:val="clear" w:color="auto" w:fill="auto"/>
            <w:vAlign w:val="center"/>
          </w:tcPr>
          <w:p>
            <w:pPr>
              <w:jc w:val="right"/>
              <w:rPr>
                <w:rFonts w:ascii="仿宋_GB2312" w:hAnsi="宋体" w:eastAsia="仿宋_GB2312" w:cs="仿宋_GB2312"/>
                <w:sz w:val="22"/>
                <w:szCs w:val="22"/>
                <w:lang w:eastAsia="zh-CN"/>
              </w:rPr>
            </w:pPr>
          </w:p>
        </w:tc>
        <w:tc>
          <w:tcPr>
            <w:tcW w:w="1154" w:type="dxa"/>
            <w:shd w:val="clear" w:color="auto" w:fill="auto"/>
            <w:vAlign w:val="bottom"/>
          </w:tcPr>
          <w:p>
            <w:pPr>
              <w:jc w:val="right"/>
              <w:rPr>
                <w:rFonts w:ascii="仿宋_GB2312" w:hAnsi="宋体" w:eastAsia="仿宋_GB2312" w:cs="仿宋_GB2312"/>
                <w:sz w:val="22"/>
                <w:szCs w:val="22"/>
                <w:lang w:eastAsia="zh-CN"/>
              </w:rPr>
            </w:pPr>
          </w:p>
        </w:tc>
        <w:tc>
          <w:tcPr>
            <w:tcW w:w="1084" w:type="dxa"/>
            <w:shd w:val="clear" w:color="auto" w:fill="auto"/>
            <w:vAlign w:val="bottom"/>
          </w:tcPr>
          <w:p>
            <w:pPr>
              <w:jc w:val="right"/>
              <w:rPr>
                <w:rFonts w:ascii="仿宋_GB2312" w:hAnsi="宋体" w:eastAsia="仿宋_GB2312" w:cs="仿宋_GB2312"/>
                <w:sz w:val="22"/>
                <w:szCs w:val="22"/>
                <w:lang w:eastAsia="zh-CN"/>
              </w:rPr>
            </w:pPr>
          </w:p>
        </w:tc>
        <w:tc>
          <w:tcPr>
            <w:tcW w:w="1365" w:type="dxa"/>
            <w:shd w:val="clear" w:color="auto" w:fill="auto"/>
            <w:vAlign w:val="bottom"/>
          </w:tcPr>
          <w:p>
            <w:pPr>
              <w:jc w:val="right"/>
              <w:rPr>
                <w:rFonts w:ascii="仿宋_GB2312" w:hAnsi="宋体" w:eastAsia="仿宋_GB2312" w:cs="仿宋_GB2312"/>
                <w:sz w:val="22"/>
                <w:szCs w:val="22"/>
                <w:lang w:eastAsia="zh-CN"/>
              </w:rPr>
            </w:pPr>
          </w:p>
        </w:tc>
        <w:tc>
          <w:tcPr>
            <w:tcW w:w="963" w:type="dxa"/>
            <w:shd w:val="clear" w:color="auto" w:fill="auto"/>
            <w:vAlign w:val="bottom"/>
          </w:tcPr>
          <w:p>
            <w:pPr>
              <w:rPr>
                <w:rFonts w:ascii="仿宋_GB2312" w:hAnsi="宋体" w:eastAsia="仿宋_GB2312" w:cs="仿宋_GB2312"/>
                <w:sz w:val="22"/>
                <w:szCs w:val="22"/>
                <w:lang w:eastAsia="zh-CN"/>
              </w:rPr>
            </w:pPr>
          </w:p>
        </w:tc>
        <w:tc>
          <w:tcPr>
            <w:tcW w:w="1781" w:type="dxa"/>
            <w:tcBorders>
              <w:bottom w:val="single" w:color="000000" w:sz="4" w:space="0"/>
            </w:tcBorders>
            <w:shd w:val="clear" w:color="auto" w:fill="auto"/>
            <w:vAlign w:val="bottom"/>
          </w:tcPr>
          <w:p>
            <w:pPr>
              <w:widowControl/>
              <w:jc w:val="right"/>
              <w:textAlignment w:val="bottom"/>
              <w:rPr>
                <w:rFonts w:ascii="宋体" w:hAnsi="宋体" w:eastAsia="宋体" w:cs="宋体"/>
                <w:b/>
                <w:sz w:val="22"/>
                <w:szCs w:val="22"/>
              </w:rPr>
            </w:pPr>
            <w:r>
              <w:rPr>
                <w:rFonts w:hint="eastAsia" w:ascii="宋体" w:hAnsi="宋体" w:eastAsia="宋体" w:cs="宋体"/>
                <w:b/>
                <w:sz w:val="22"/>
                <w:szCs w:val="22"/>
                <w:lang w:eastAsia="zh-CN"/>
              </w:rPr>
              <w:t>单位：元</w:t>
            </w:r>
          </w:p>
        </w:tc>
      </w:tr>
      <w:tr>
        <w:tblPrEx>
          <w:tblLayout w:type="fixed"/>
          <w:tblCellMar>
            <w:top w:w="15" w:type="dxa"/>
            <w:left w:w="15" w:type="dxa"/>
            <w:bottom w:w="15" w:type="dxa"/>
            <w:right w:w="15" w:type="dxa"/>
          </w:tblCellMar>
        </w:tblPrEx>
        <w:trPr>
          <w:trHeight w:val="630" w:hRule="atLeast"/>
        </w:trPr>
        <w:tc>
          <w:tcPr>
            <w:tcW w:w="3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项    目</w:t>
            </w:r>
          </w:p>
        </w:tc>
        <w:tc>
          <w:tcPr>
            <w:tcW w:w="3600" w:type="dxa"/>
            <w:gridSpan w:val="6"/>
            <w:tcBorders>
              <w:top w:val="single" w:color="000000" w:sz="4" w:space="0"/>
              <w:lef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上年预算数</w:t>
            </w:r>
          </w:p>
        </w:tc>
        <w:tc>
          <w:tcPr>
            <w:tcW w:w="3603" w:type="dxa"/>
            <w:gridSpan w:val="3"/>
            <w:tcBorders>
              <w:top w:val="single" w:color="000000" w:sz="4" w:space="0"/>
              <w:lef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本年预算数</w:t>
            </w:r>
          </w:p>
        </w:tc>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本年比上年增减情况</w:t>
            </w:r>
          </w:p>
        </w:tc>
      </w:tr>
      <w:tr>
        <w:tblPrEx>
          <w:tblLayout w:type="fixed"/>
          <w:tblCellMar>
            <w:top w:w="15" w:type="dxa"/>
            <w:left w:w="15" w:type="dxa"/>
            <w:bottom w:w="15" w:type="dxa"/>
            <w:right w:w="15" w:type="dxa"/>
          </w:tblCellMar>
        </w:tblPrEx>
        <w:trPr>
          <w:trHeight w:val="660" w:hRule="atLeast"/>
        </w:trPr>
        <w:tc>
          <w:tcPr>
            <w:tcW w:w="3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2"/>
                <w:szCs w:val="22"/>
              </w:rPr>
            </w:pP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合 计</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一般公共       预算拨款</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政府性基金预算拨款</w:t>
            </w:r>
          </w:p>
        </w:tc>
        <w:tc>
          <w:tcPr>
            <w:tcW w:w="115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合 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一般公共预算拨款</w:t>
            </w:r>
          </w:p>
        </w:tc>
        <w:tc>
          <w:tcPr>
            <w:tcW w:w="136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政府性基金预算拨款</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增减额</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增减%</w:t>
            </w:r>
          </w:p>
        </w:tc>
      </w:tr>
      <w:tr>
        <w:tblPrEx>
          <w:tblLayout w:type="fixed"/>
          <w:tblCellMar>
            <w:top w:w="15" w:type="dxa"/>
            <w:left w:w="15" w:type="dxa"/>
            <w:bottom w:w="15" w:type="dxa"/>
            <w:right w:w="15" w:type="dxa"/>
          </w:tblCellMar>
        </w:tblPrEx>
        <w:trPr>
          <w:trHeight w:val="480" w:hRule="atLeast"/>
        </w:trPr>
        <w:tc>
          <w:tcPr>
            <w:tcW w:w="3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sz w:val="22"/>
                <w:szCs w:val="22"/>
                <w:lang w:eastAsia="zh-CN"/>
              </w:rPr>
              <w:t>合    计</w:t>
            </w:r>
          </w:p>
        </w:tc>
        <w:tc>
          <w:tcPr>
            <w:tcW w:w="1179" w:type="dxa"/>
            <w:gridSpan w:val="2"/>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243"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sz w:val="22"/>
                <w:szCs w:val="22"/>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084" w:type="dxa"/>
            <w:tcBorders>
              <w:top w:val="single" w:color="000000" w:sz="4" w:space="0"/>
            </w:tcBorders>
            <w:shd w:val="clear" w:color="auto" w:fill="auto"/>
            <w:vAlign w:val="center"/>
          </w:tcPr>
          <w:p>
            <w:pPr>
              <w:jc w:val="right"/>
              <w:rPr>
                <w:rFonts w:ascii="宋体" w:hAnsi="宋体" w:eastAsia="宋体" w:cs="宋体"/>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963" w:type="dxa"/>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3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sz w:val="22"/>
                <w:szCs w:val="22"/>
              </w:rPr>
            </w:pPr>
            <w:r>
              <w:rPr>
                <w:rFonts w:hint="eastAsia" w:ascii="宋体" w:hAnsi="宋体" w:eastAsia="宋体" w:cs="宋体"/>
                <w:b/>
                <w:sz w:val="22"/>
                <w:szCs w:val="22"/>
                <w:lang w:eastAsia="zh-CN"/>
              </w:rPr>
              <w:t>1.因公出国（境）费用</w:t>
            </w:r>
          </w:p>
        </w:tc>
        <w:tc>
          <w:tcPr>
            <w:tcW w:w="1179" w:type="dxa"/>
            <w:gridSpan w:val="2"/>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178"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sz w:val="22"/>
                <w:szCs w:val="22"/>
              </w:rPr>
            </w:pPr>
          </w:p>
        </w:tc>
        <w:tc>
          <w:tcPr>
            <w:tcW w:w="1243"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sz w:val="22"/>
                <w:szCs w:val="22"/>
              </w:rPr>
            </w:pPr>
          </w:p>
        </w:tc>
        <w:tc>
          <w:tcPr>
            <w:tcW w:w="1154" w:type="dxa"/>
            <w:tcBorders>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365" w:type="dxa"/>
            <w:tcBorders>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3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sz w:val="22"/>
                <w:szCs w:val="22"/>
              </w:rPr>
            </w:pPr>
            <w:r>
              <w:rPr>
                <w:rFonts w:hint="eastAsia" w:ascii="宋体" w:hAnsi="宋体" w:eastAsia="宋体" w:cs="宋体"/>
                <w:b/>
                <w:sz w:val="22"/>
                <w:szCs w:val="22"/>
                <w:lang w:eastAsia="zh-CN"/>
              </w:rPr>
              <w:t>2.公务接待费</w:t>
            </w:r>
          </w:p>
        </w:tc>
        <w:tc>
          <w:tcPr>
            <w:tcW w:w="1179" w:type="dxa"/>
            <w:gridSpan w:val="2"/>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178"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sz w:val="22"/>
                <w:szCs w:val="22"/>
              </w:rPr>
            </w:pPr>
          </w:p>
        </w:tc>
        <w:tc>
          <w:tcPr>
            <w:tcW w:w="1243"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sz w:val="22"/>
                <w:szCs w:val="22"/>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r>
      <w:tr>
        <w:tblPrEx>
          <w:tblLayout w:type="fixed"/>
          <w:tblCellMar>
            <w:top w:w="15" w:type="dxa"/>
            <w:left w:w="15" w:type="dxa"/>
            <w:bottom w:w="15" w:type="dxa"/>
            <w:right w:w="15" w:type="dxa"/>
          </w:tblCellMar>
        </w:tblPrEx>
        <w:trPr>
          <w:trHeight w:val="480" w:hRule="atLeast"/>
        </w:trPr>
        <w:tc>
          <w:tcPr>
            <w:tcW w:w="3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sz w:val="22"/>
                <w:szCs w:val="22"/>
                <w:lang w:eastAsia="zh-CN"/>
              </w:rPr>
            </w:pPr>
            <w:r>
              <w:rPr>
                <w:rFonts w:hint="eastAsia" w:ascii="宋体" w:hAnsi="宋体" w:eastAsia="宋体" w:cs="宋体"/>
                <w:b/>
                <w:sz w:val="22"/>
                <w:szCs w:val="22"/>
                <w:lang w:eastAsia="zh-CN"/>
              </w:rPr>
              <w:t>3.公务用车购置及运行费</w:t>
            </w:r>
          </w:p>
        </w:tc>
        <w:tc>
          <w:tcPr>
            <w:tcW w:w="1179" w:type="dxa"/>
            <w:gridSpan w:val="2"/>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lang w:eastAsia="zh-CN"/>
              </w:rPr>
            </w:pP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lang w:eastAsia="zh-CN"/>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lang w:eastAsia="zh-CN"/>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lang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lang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lang w:eastAsia="zh-CN"/>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lang w:eastAsia="zh-CN"/>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lang w:eastAsia="zh-CN"/>
              </w:rPr>
            </w:pPr>
          </w:p>
        </w:tc>
      </w:tr>
      <w:tr>
        <w:tblPrEx>
          <w:tblLayout w:type="fixed"/>
          <w:tblCellMar>
            <w:top w:w="15" w:type="dxa"/>
            <w:left w:w="15" w:type="dxa"/>
            <w:bottom w:w="15" w:type="dxa"/>
            <w:right w:w="15" w:type="dxa"/>
          </w:tblCellMar>
        </w:tblPrEx>
        <w:trPr>
          <w:trHeight w:val="480" w:hRule="atLeast"/>
        </w:trPr>
        <w:tc>
          <w:tcPr>
            <w:tcW w:w="3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sz w:val="22"/>
                <w:szCs w:val="22"/>
                <w:lang w:eastAsia="zh-CN"/>
              </w:rPr>
            </w:pPr>
            <w:r>
              <w:rPr>
                <w:rFonts w:hint="eastAsia" w:ascii="宋体" w:hAnsi="宋体" w:eastAsia="宋体" w:cs="宋体"/>
                <w:b/>
                <w:sz w:val="22"/>
                <w:szCs w:val="22"/>
                <w:lang w:eastAsia="zh-CN"/>
              </w:rPr>
              <w:t xml:space="preserve">   其中：（1）公务用车运行维护费</w:t>
            </w:r>
          </w:p>
        </w:tc>
        <w:tc>
          <w:tcPr>
            <w:tcW w:w="1179" w:type="dxa"/>
            <w:gridSpan w:val="2"/>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lang w:eastAsia="zh-CN"/>
              </w:rPr>
            </w:pPr>
          </w:p>
        </w:tc>
        <w:tc>
          <w:tcPr>
            <w:tcW w:w="1178"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sz w:val="22"/>
                <w:szCs w:val="22"/>
                <w:lang w:eastAsia="zh-CN"/>
              </w:rPr>
            </w:pPr>
          </w:p>
        </w:tc>
        <w:tc>
          <w:tcPr>
            <w:tcW w:w="1243"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sz w:val="22"/>
                <w:szCs w:val="22"/>
                <w:lang w:eastAsia="zh-CN"/>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lang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lang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lang w:eastAsia="zh-CN"/>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lang w:eastAsia="zh-CN"/>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lang w:eastAsia="zh-CN"/>
              </w:rPr>
            </w:pPr>
          </w:p>
        </w:tc>
      </w:tr>
      <w:tr>
        <w:tblPrEx>
          <w:tblLayout w:type="fixed"/>
          <w:tblCellMar>
            <w:top w:w="15" w:type="dxa"/>
            <w:left w:w="15" w:type="dxa"/>
            <w:bottom w:w="15" w:type="dxa"/>
            <w:right w:w="15" w:type="dxa"/>
          </w:tblCellMar>
        </w:tblPrEx>
        <w:trPr>
          <w:trHeight w:val="480" w:hRule="atLeast"/>
        </w:trPr>
        <w:tc>
          <w:tcPr>
            <w:tcW w:w="3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sz w:val="22"/>
                <w:szCs w:val="22"/>
              </w:rPr>
            </w:pPr>
            <w:r>
              <w:rPr>
                <w:rFonts w:hint="eastAsia" w:ascii="宋体" w:hAnsi="宋体" w:eastAsia="宋体" w:cs="宋体"/>
                <w:b/>
                <w:sz w:val="22"/>
                <w:szCs w:val="22"/>
                <w:lang w:eastAsia="zh-CN"/>
              </w:rPr>
              <w:t xml:space="preserve">         （2）公务用车购置费</w:t>
            </w:r>
          </w:p>
        </w:tc>
        <w:tc>
          <w:tcPr>
            <w:tcW w:w="1179" w:type="dxa"/>
            <w:gridSpan w:val="2"/>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1178"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sz w:val="22"/>
                <w:szCs w:val="22"/>
              </w:rPr>
            </w:pPr>
          </w:p>
        </w:tc>
        <w:tc>
          <w:tcPr>
            <w:tcW w:w="1243"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sz w:val="22"/>
                <w:szCs w:val="22"/>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 w:val="22"/>
                <w:szCs w:val="22"/>
              </w:rPr>
            </w:pPr>
          </w:p>
        </w:tc>
      </w:tr>
    </w:tbl>
    <w:p>
      <w:pPr>
        <w:pStyle w:val="17"/>
        <w:spacing w:after="620" w:line="576" w:lineRule="exact"/>
        <w:ind w:firstLine="0"/>
        <w:jc w:val="both"/>
        <w:rPr>
          <w:rFonts w:ascii="楷体_GB2312" w:hAnsi="楷体_GB2312" w:eastAsia="楷体_GB2312" w:cs="楷体_GB2312"/>
          <w:sz w:val="22"/>
          <w:szCs w:val="22"/>
          <w:lang w:eastAsia="zh-CN"/>
        </w:rPr>
      </w:pPr>
    </w:p>
    <w:p>
      <w:pPr>
        <w:pStyle w:val="17"/>
        <w:spacing w:line="240" w:lineRule="atLeast"/>
        <w:ind w:firstLine="0"/>
        <w:jc w:val="both"/>
        <w:rPr>
          <w:sz w:val="10"/>
          <w:szCs w:val="10"/>
        </w:rPr>
      </w:pPr>
    </w:p>
    <w:tbl>
      <w:tblPr>
        <w:tblStyle w:val="4"/>
        <w:tblW w:w="14914" w:type="dxa"/>
        <w:tblInd w:w="-631" w:type="dxa"/>
        <w:tblLayout w:type="fixed"/>
        <w:tblCellMar>
          <w:top w:w="0" w:type="dxa"/>
          <w:left w:w="108" w:type="dxa"/>
          <w:bottom w:w="0" w:type="dxa"/>
          <w:right w:w="108" w:type="dxa"/>
        </w:tblCellMar>
      </w:tblPr>
      <w:tblGrid>
        <w:gridCol w:w="3065"/>
        <w:gridCol w:w="1083"/>
        <w:gridCol w:w="1378"/>
        <w:gridCol w:w="689"/>
        <w:gridCol w:w="437"/>
        <w:gridCol w:w="1488"/>
        <w:gridCol w:w="1041"/>
        <w:gridCol w:w="928"/>
        <w:gridCol w:w="928"/>
        <w:gridCol w:w="928"/>
        <w:gridCol w:w="928"/>
        <w:gridCol w:w="928"/>
        <w:gridCol w:w="1093"/>
      </w:tblGrid>
      <w:tr>
        <w:tblPrEx>
          <w:tblLayout w:type="fixed"/>
          <w:tblCellMar>
            <w:top w:w="0" w:type="dxa"/>
            <w:left w:w="108" w:type="dxa"/>
            <w:bottom w:w="0" w:type="dxa"/>
            <w:right w:w="108" w:type="dxa"/>
          </w:tblCellMar>
        </w:tblPrEx>
        <w:trPr>
          <w:trHeight w:val="302" w:hRule="atLeast"/>
        </w:trPr>
        <w:tc>
          <w:tcPr>
            <w:tcW w:w="3065" w:type="dxa"/>
            <w:tcBorders>
              <w:top w:val="nil"/>
              <w:left w:val="nil"/>
              <w:bottom w:val="nil"/>
              <w:right w:val="nil"/>
            </w:tcBorders>
            <w:shd w:val="clear" w:color="auto" w:fill="auto"/>
            <w:noWrap/>
            <w:vAlign w:val="center"/>
          </w:tcPr>
          <w:p>
            <w:pPr>
              <w:widowControl/>
              <w:rPr>
                <w:rFonts w:ascii="宋体" w:hAnsi="宋体" w:eastAsia="宋体" w:cs="宋体"/>
                <w:b/>
                <w:bCs/>
                <w:color w:val="auto"/>
                <w:sz w:val="18"/>
                <w:szCs w:val="18"/>
                <w:lang w:eastAsia="zh-CN" w:bidi="ar-SA"/>
              </w:rPr>
            </w:pPr>
            <w:r>
              <w:rPr>
                <w:rFonts w:hint="eastAsia" w:ascii="宋体" w:hAnsi="宋体" w:eastAsia="宋体" w:cs="宋体"/>
                <w:b/>
                <w:bCs/>
                <w:color w:val="auto"/>
                <w:sz w:val="22"/>
                <w:szCs w:val="18"/>
                <w:lang w:eastAsia="zh-CN" w:bidi="ar-SA"/>
              </w:rPr>
              <w:t>表9</w:t>
            </w:r>
          </w:p>
        </w:tc>
        <w:tc>
          <w:tcPr>
            <w:tcW w:w="1083"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1378"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689"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437"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1488"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1041"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928"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928"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928"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928"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928" w:type="dxa"/>
            <w:tcBorders>
              <w:top w:val="nil"/>
              <w:left w:val="nil"/>
              <w:bottom w:val="nil"/>
              <w:right w:val="nil"/>
            </w:tcBorders>
            <w:shd w:val="clear" w:color="auto" w:fill="auto"/>
            <w:noWrap/>
            <w:vAlign w:val="center"/>
          </w:tcPr>
          <w:p>
            <w:pPr>
              <w:widowControl/>
              <w:jc w:val="center"/>
              <w:rPr>
                <w:rFonts w:ascii="宋体" w:hAnsi="宋体" w:eastAsia="宋体" w:cs="宋体"/>
                <w:color w:val="auto"/>
                <w:sz w:val="20"/>
                <w:szCs w:val="20"/>
                <w:lang w:eastAsia="zh-CN" w:bidi="ar-SA"/>
              </w:rPr>
            </w:pPr>
          </w:p>
        </w:tc>
        <w:tc>
          <w:tcPr>
            <w:tcW w:w="1093" w:type="dxa"/>
            <w:tcBorders>
              <w:top w:val="nil"/>
              <w:left w:val="nil"/>
              <w:bottom w:val="nil"/>
              <w:right w:val="nil"/>
            </w:tcBorders>
            <w:shd w:val="clear" w:color="auto" w:fill="auto"/>
            <w:noWrap/>
            <w:vAlign w:val="bottom"/>
          </w:tcPr>
          <w:p>
            <w:pPr>
              <w:widowControl/>
              <w:rPr>
                <w:rFonts w:ascii="宋体" w:hAnsi="宋体" w:eastAsia="宋体" w:cs="宋体"/>
                <w:color w:val="auto"/>
                <w:sz w:val="18"/>
                <w:szCs w:val="18"/>
                <w:lang w:eastAsia="zh-CN" w:bidi="ar-SA"/>
              </w:rPr>
            </w:pPr>
          </w:p>
        </w:tc>
      </w:tr>
      <w:tr>
        <w:tblPrEx>
          <w:tblLayout w:type="fixed"/>
          <w:tblCellMar>
            <w:top w:w="0" w:type="dxa"/>
            <w:left w:w="108" w:type="dxa"/>
            <w:bottom w:w="0" w:type="dxa"/>
            <w:right w:w="108" w:type="dxa"/>
          </w:tblCellMar>
        </w:tblPrEx>
        <w:trPr>
          <w:trHeight w:val="498" w:hRule="atLeast"/>
        </w:trPr>
        <w:tc>
          <w:tcPr>
            <w:tcW w:w="14914" w:type="dxa"/>
            <w:gridSpan w:val="13"/>
            <w:tcBorders>
              <w:top w:val="nil"/>
              <w:left w:val="nil"/>
              <w:bottom w:val="nil"/>
              <w:right w:val="nil"/>
            </w:tcBorders>
            <w:shd w:val="clear" w:color="auto" w:fill="auto"/>
            <w:noWrap/>
            <w:vAlign w:val="center"/>
          </w:tcPr>
          <w:p>
            <w:pPr>
              <w:widowControl/>
              <w:jc w:val="center"/>
              <w:rPr>
                <w:rFonts w:ascii="宋体" w:hAnsi="宋体" w:eastAsia="宋体" w:cs="宋体"/>
                <w:b/>
                <w:bCs/>
                <w:color w:val="auto"/>
                <w:sz w:val="36"/>
                <w:szCs w:val="36"/>
                <w:lang w:eastAsia="zh-CN" w:bidi="ar-SA"/>
              </w:rPr>
            </w:pPr>
            <w:r>
              <w:rPr>
                <w:rFonts w:hint="eastAsia" w:ascii="宋体" w:hAnsi="宋体" w:eastAsia="宋体" w:cs="宋体"/>
                <w:b/>
                <w:bCs/>
                <w:color w:val="auto"/>
                <w:sz w:val="36"/>
                <w:szCs w:val="36"/>
                <w:lang w:eastAsia="zh-CN" w:bidi="ar-SA"/>
              </w:rPr>
              <w:t>2021年政府采购预算表</w:t>
            </w:r>
          </w:p>
        </w:tc>
      </w:tr>
      <w:tr>
        <w:tblPrEx>
          <w:tblLayout w:type="fixed"/>
          <w:tblCellMar>
            <w:top w:w="0" w:type="dxa"/>
            <w:left w:w="108" w:type="dxa"/>
            <w:bottom w:w="0" w:type="dxa"/>
            <w:right w:w="108" w:type="dxa"/>
          </w:tblCellMar>
        </w:tblPrEx>
        <w:trPr>
          <w:trHeight w:val="272" w:hRule="atLeast"/>
        </w:trPr>
        <w:tc>
          <w:tcPr>
            <w:tcW w:w="3065" w:type="dxa"/>
            <w:tcBorders>
              <w:top w:val="nil"/>
              <w:left w:val="nil"/>
              <w:bottom w:val="nil"/>
              <w:right w:val="nil"/>
            </w:tcBorders>
            <w:shd w:val="clear" w:color="auto" w:fill="auto"/>
            <w:noWrap/>
            <w:vAlign w:val="center"/>
          </w:tcPr>
          <w:p>
            <w:pPr>
              <w:widowControl/>
              <w:rPr>
                <w:rFonts w:cs="宋体" w:asciiTheme="minorEastAsia" w:hAnsiTheme="minorEastAsia" w:eastAsiaTheme="minorEastAsia"/>
                <w:color w:val="auto"/>
                <w:sz w:val="22"/>
                <w:szCs w:val="22"/>
                <w:lang w:eastAsia="zh-CN" w:bidi="ar-SA"/>
              </w:rPr>
            </w:pPr>
          </w:p>
        </w:tc>
        <w:tc>
          <w:tcPr>
            <w:tcW w:w="1083" w:type="dxa"/>
            <w:tcBorders>
              <w:top w:val="nil"/>
              <w:left w:val="nil"/>
              <w:bottom w:val="nil"/>
              <w:right w:val="nil"/>
            </w:tcBorders>
            <w:shd w:val="clear" w:color="auto" w:fill="auto"/>
            <w:noWrap/>
            <w:vAlign w:val="center"/>
          </w:tcPr>
          <w:p>
            <w:pPr>
              <w:widowControl/>
              <w:rPr>
                <w:rFonts w:cs="宋体" w:asciiTheme="minorEastAsia" w:hAnsiTheme="minorEastAsia" w:eastAsiaTheme="minorEastAsia"/>
                <w:color w:val="auto"/>
                <w:sz w:val="22"/>
                <w:szCs w:val="22"/>
                <w:lang w:eastAsia="zh-CN" w:bidi="ar-SA"/>
              </w:rPr>
            </w:pPr>
          </w:p>
        </w:tc>
        <w:tc>
          <w:tcPr>
            <w:tcW w:w="1378"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auto"/>
                <w:sz w:val="22"/>
                <w:szCs w:val="22"/>
                <w:lang w:eastAsia="zh-CN" w:bidi="ar-SA"/>
              </w:rPr>
            </w:pPr>
          </w:p>
        </w:tc>
        <w:tc>
          <w:tcPr>
            <w:tcW w:w="689"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auto"/>
                <w:sz w:val="22"/>
                <w:szCs w:val="22"/>
                <w:lang w:eastAsia="zh-CN" w:bidi="ar-SA"/>
              </w:rPr>
            </w:pPr>
          </w:p>
        </w:tc>
        <w:tc>
          <w:tcPr>
            <w:tcW w:w="437"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auto"/>
                <w:sz w:val="22"/>
                <w:szCs w:val="22"/>
                <w:lang w:eastAsia="zh-CN" w:bidi="ar-SA"/>
              </w:rPr>
            </w:pPr>
          </w:p>
        </w:tc>
        <w:tc>
          <w:tcPr>
            <w:tcW w:w="1488"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auto"/>
                <w:sz w:val="22"/>
                <w:szCs w:val="22"/>
                <w:lang w:eastAsia="zh-CN" w:bidi="ar-SA"/>
              </w:rPr>
            </w:pPr>
          </w:p>
        </w:tc>
        <w:tc>
          <w:tcPr>
            <w:tcW w:w="1041"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auto"/>
                <w:sz w:val="22"/>
                <w:szCs w:val="22"/>
                <w:lang w:eastAsia="zh-CN" w:bidi="ar-SA"/>
              </w:rPr>
            </w:pPr>
          </w:p>
        </w:tc>
        <w:tc>
          <w:tcPr>
            <w:tcW w:w="928"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auto"/>
                <w:sz w:val="22"/>
                <w:szCs w:val="22"/>
                <w:lang w:eastAsia="zh-CN" w:bidi="ar-SA"/>
              </w:rPr>
            </w:pPr>
          </w:p>
        </w:tc>
        <w:tc>
          <w:tcPr>
            <w:tcW w:w="928"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auto"/>
                <w:sz w:val="22"/>
                <w:szCs w:val="22"/>
                <w:lang w:eastAsia="zh-CN" w:bidi="ar-SA"/>
              </w:rPr>
            </w:pPr>
          </w:p>
        </w:tc>
        <w:tc>
          <w:tcPr>
            <w:tcW w:w="928"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auto"/>
                <w:sz w:val="22"/>
                <w:szCs w:val="22"/>
                <w:lang w:eastAsia="zh-CN" w:bidi="ar-SA"/>
              </w:rPr>
            </w:pPr>
          </w:p>
        </w:tc>
        <w:tc>
          <w:tcPr>
            <w:tcW w:w="928"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auto"/>
                <w:sz w:val="22"/>
                <w:szCs w:val="22"/>
                <w:lang w:eastAsia="zh-CN" w:bidi="ar-SA"/>
              </w:rPr>
            </w:pPr>
          </w:p>
        </w:tc>
        <w:tc>
          <w:tcPr>
            <w:tcW w:w="928"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color w:val="auto"/>
                <w:sz w:val="22"/>
                <w:szCs w:val="22"/>
                <w:lang w:eastAsia="zh-CN" w:bidi="ar-SA"/>
              </w:rPr>
            </w:pPr>
          </w:p>
        </w:tc>
        <w:tc>
          <w:tcPr>
            <w:tcW w:w="1093" w:type="dxa"/>
            <w:tcBorders>
              <w:top w:val="nil"/>
              <w:left w:val="nil"/>
              <w:bottom w:val="single" w:color="auto" w:sz="4" w:space="0"/>
              <w:right w:val="nil"/>
            </w:tcBorders>
            <w:shd w:val="clear" w:color="auto" w:fill="auto"/>
            <w:noWrap/>
            <w:vAlign w:val="center"/>
          </w:tcPr>
          <w:p>
            <w:pPr>
              <w:widowControl/>
              <w:jc w:val="right"/>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单位：元</w:t>
            </w:r>
          </w:p>
        </w:tc>
      </w:tr>
      <w:tr>
        <w:tblPrEx>
          <w:tblLayout w:type="fixed"/>
          <w:tblCellMar>
            <w:top w:w="0" w:type="dxa"/>
            <w:left w:w="108" w:type="dxa"/>
            <w:bottom w:w="0" w:type="dxa"/>
            <w:right w:w="108" w:type="dxa"/>
          </w:tblCellMar>
        </w:tblPrEx>
        <w:trPr>
          <w:trHeight w:val="483" w:hRule="atLeast"/>
        </w:trPr>
        <w:tc>
          <w:tcPr>
            <w:tcW w:w="3065" w:type="dxa"/>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单位名称</w:t>
            </w:r>
          </w:p>
        </w:tc>
        <w:tc>
          <w:tcPr>
            <w:tcW w:w="1083" w:type="dxa"/>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采购项目</w:t>
            </w:r>
          </w:p>
        </w:tc>
        <w:tc>
          <w:tcPr>
            <w:tcW w:w="13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采购目录</w:t>
            </w:r>
          </w:p>
        </w:tc>
        <w:tc>
          <w:tcPr>
            <w:tcW w:w="689" w:type="dxa"/>
            <w:vMerge w:val="restart"/>
            <w:tcBorders>
              <w:top w:val="single" w:color="auto" w:sz="4" w:space="0"/>
              <w:left w:val="nil"/>
              <w:bottom w:val="single" w:color="auto" w:sz="4" w:space="0"/>
              <w:right w:val="nil"/>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采购方式</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 xml:space="preserve">数量 </w:t>
            </w:r>
          </w:p>
        </w:tc>
        <w:tc>
          <w:tcPr>
            <w:tcW w:w="8262" w:type="dxa"/>
            <w:gridSpan w:val="8"/>
            <w:tcBorders>
              <w:top w:val="single" w:color="auto" w:sz="4" w:space="0"/>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资     金     来     源</w:t>
            </w:r>
          </w:p>
        </w:tc>
      </w:tr>
      <w:tr>
        <w:tblPrEx>
          <w:tblLayout w:type="fixed"/>
          <w:tblCellMar>
            <w:top w:w="0" w:type="dxa"/>
            <w:left w:w="108" w:type="dxa"/>
            <w:bottom w:w="0" w:type="dxa"/>
            <w:right w:w="108" w:type="dxa"/>
          </w:tblCellMar>
        </w:tblPrEx>
        <w:trPr>
          <w:trHeight w:val="317" w:hRule="atLeast"/>
        </w:trPr>
        <w:tc>
          <w:tcPr>
            <w:tcW w:w="3065" w:type="dxa"/>
            <w:vMerge w:val="continue"/>
            <w:tcBorders>
              <w:top w:val="single" w:color="auto" w:sz="4" w:space="0"/>
              <w:left w:val="single" w:color="auto" w:sz="4" w:space="0"/>
              <w:bottom w:val="single" w:color="auto" w:sz="4" w:space="0"/>
              <w:right w:val="nil"/>
            </w:tcBorders>
            <w:vAlign w:val="center"/>
          </w:tcPr>
          <w:p>
            <w:pPr>
              <w:widowControl/>
              <w:rPr>
                <w:rFonts w:cs="宋体" w:asciiTheme="minorEastAsia" w:hAnsiTheme="minorEastAsia" w:eastAsiaTheme="minorEastAsia"/>
                <w:b/>
                <w:bCs/>
                <w:color w:val="auto"/>
                <w:sz w:val="22"/>
                <w:szCs w:val="22"/>
                <w:lang w:eastAsia="zh-CN" w:bidi="ar-SA"/>
              </w:rPr>
            </w:pPr>
          </w:p>
        </w:tc>
        <w:tc>
          <w:tcPr>
            <w:tcW w:w="1083" w:type="dxa"/>
            <w:vMerge w:val="continue"/>
            <w:tcBorders>
              <w:top w:val="single" w:color="auto" w:sz="4" w:space="0"/>
              <w:left w:val="single" w:color="auto" w:sz="4" w:space="0"/>
              <w:bottom w:val="single" w:color="auto" w:sz="4" w:space="0"/>
              <w:right w:val="nil"/>
            </w:tcBorders>
            <w:vAlign w:val="center"/>
          </w:tcPr>
          <w:p>
            <w:pPr>
              <w:widowControl/>
              <w:rPr>
                <w:rFonts w:cs="宋体" w:asciiTheme="minorEastAsia" w:hAnsiTheme="minorEastAsia" w:eastAsiaTheme="minorEastAsia"/>
                <w:b/>
                <w:bCs/>
                <w:color w:val="auto"/>
                <w:sz w:val="22"/>
                <w:szCs w:val="22"/>
                <w:lang w:eastAsia="zh-CN" w:bidi="ar-SA"/>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689" w:type="dxa"/>
            <w:vMerge w:val="continue"/>
            <w:tcBorders>
              <w:top w:val="single" w:color="auto" w:sz="4" w:space="0"/>
              <w:left w:val="nil"/>
              <w:bottom w:val="single" w:color="auto" w:sz="4" w:space="0"/>
              <w:right w:val="nil"/>
            </w:tcBorders>
            <w:vAlign w:val="center"/>
          </w:tcPr>
          <w:p>
            <w:pPr>
              <w:widowControl/>
              <w:rPr>
                <w:rFonts w:cs="宋体" w:asciiTheme="minorEastAsia" w:hAnsiTheme="minorEastAsia" w:eastAsiaTheme="minorEastAsia"/>
                <w:b/>
                <w:bCs/>
                <w:color w:val="auto"/>
                <w:sz w:val="22"/>
                <w:szCs w:val="22"/>
                <w:lang w:eastAsia="zh-CN" w:bidi="ar-SA"/>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488"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总计</w:t>
            </w:r>
          </w:p>
        </w:tc>
        <w:tc>
          <w:tcPr>
            <w:tcW w:w="104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财政拨款（补助）</w:t>
            </w:r>
          </w:p>
        </w:tc>
        <w:tc>
          <w:tcPr>
            <w:tcW w:w="928" w:type="dxa"/>
            <w:vMerge w:val="restart"/>
            <w:tcBorders>
              <w:top w:val="single" w:color="auto" w:sz="4" w:space="0"/>
              <w:left w:val="nil"/>
              <w:bottom w:val="single" w:color="000000" w:sz="4" w:space="0"/>
              <w:right w:val="nil"/>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纳入预算内管理的一般性非税收入</w:t>
            </w:r>
          </w:p>
        </w:tc>
        <w:tc>
          <w:tcPr>
            <w:tcW w:w="928"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纳入预算内管理的政府性基金收入</w:t>
            </w:r>
          </w:p>
        </w:tc>
        <w:tc>
          <w:tcPr>
            <w:tcW w:w="9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纳入预算外专户管理的非税收入</w:t>
            </w:r>
          </w:p>
        </w:tc>
        <w:tc>
          <w:tcPr>
            <w:tcW w:w="928" w:type="dxa"/>
            <w:vMerge w:val="restart"/>
            <w:tcBorders>
              <w:top w:val="single" w:color="auto" w:sz="4" w:space="0"/>
              <w:left w:val="nil"/>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事业单位经营收入</w:t>
            </w:r>
          </w:p>
        </w:tc>
        <w:tc>
          <w:tcPr>
            <w:tcW w:w="928" w:type="dxa"/>
            <w:vMerge w:val="restart"/>
            <w:tcBorders>
              <w:top w:val="single" w:color="auto" w:sz="4" w:space="0"/>
              <w:left w:val="nil"/>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上年结余结转收入</w:t>
            </w:r>
          </w:p>
        </w:tc>
        <w:tc>
          <w:tcPr>
            <w:tcW w:w="1093" w:type="dxa"/>
            <w:vMerge w:val="restart"/>
            <w:tcBorders>
              <w:top w:val="single" w:color="auto" w:sz="4" w:space="0"/>
              <w:left w:val="nil"/>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其他收入</w:t>
            </w:r>
          </w:p>
        </w:tc>
      </w:tr>
      <w:tr>
        <w:tblPrEx>
          <w:tblLayout w:type="fixed"/>
          <w:tblCellMar>
            <w:top w:w="0" w:type="dxa"/>
            <w:left w:w="108" w:type="dxa"/>
            <w:bottom w:w="0" w:type="dxa"/>
            <w:right w:w="108" w:type="dxa"/>
          </w:tblCellMar>
        </w:tblPrEx>
        <w:trPr>
          <w:trHeight w:val="317" w:hRule="atLeast"/>
        </w:trPr>
        <w:tc>
          <w:tcPr>
            <w:tcW w:w="3065" w:type="dxa"/>
            <w:vMerge w:val="continue"/>
            <w:tcBorders>
              <w:top w:val="single" w:color="auto" w:sz="4" w:space="0"/>
              <w:left w:val="single" w:color="auto" w:sz="4" w:space="0"/>
              <w:bottom w:val="single" w:color="auto" w:sz="4" w:space="0"/>
              <w:right w:val="nil"/>
            </w:tcBorders>
            <w:vAlign w:val="center"/>
          </w:tcPr>
          <w:p>
            <w:pPr>
              <w:widowControl/>
              <w:rPr>
                <w:rFonts w:cs="宋体" w:asciiTheme="minorEastAsia" w:hAnsiTheme="minorEastAsia" w:eastAsiaTheme="minorEastAsia"/>
                <w:b/>
                <w:bCs/>
                <w:color w:val="auto"/>
                <w:sz w:val="22"/>
                <w:szCs w:val="22"/>
                <w:lang w:eastAsia="zh-CN" w:bidi="ar-SA"/>
              </w:rPr>
            </w:pPr>
          </w:p>
        </w:tc>
        <w:tc>
          <w:tcPr>
            <w:tcW w:w="1083" w:type="dxa"/>
            <w:vMerge w:val="continue"/>
            <w:tcBorders>
              <w:top w:val="single" w:color="auto" w:sz="4" w:space="0"/>
              <w:left w:val="single" w:color="auto" w:sz="4" w:space="0"/>
              <w:bottom w:val="single" w:color="auto" w:sz="4" w:space="0"/>
              <w:right w:val="nil"/>
            </w:tcBorders>
            <w:vAlign w:val="center"/>
          </w:tcPr>
          <w:p>
            <w:pPr>
              <w:widowControl/>
              <w:rPr>
                <w:rFonts w:cs="宋体" w:asciiTheme="minorEastAsia" w:hAnsiTheme="minorEastAsia" w:eastAsiaTheme="minorEastAsia"/>
                <w:b/>
                <w:bCs/>
                <w:color w:val="auto"/>
                <w:sz w:val="22"/>
                <w:szCs w:val="22"/>
                <w:lang w:eastAsia="zh-CN" w:bidi="ar-SA"/>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689" w:type="dxa"/>
            <w:vMerge w:val="continue"/>
            <w:tcBorders>
              <w:top w:val="single" w:color="auto" w:sz="4" w:space="0"/>
              <w:left w:val="nil"/>
              <w:bottom w:val="single" w:color="auto" w:sz="4" w:space="0"/>
              <w:right w:val="nil"/>
            </w:tcBorders>
            <w:vAlign w:val="center"/>
          </w:tcPr>
          <w:p>
            <w:pPr>
              <w:widowControl/>
              <w:rPr>
                <w:rFonts w:cs="宋体" w:asciiTheme="minorEastAsia" w:hAnsiTheme="minorEastAsia" w:eastAsiaTheme="minorEastAsia"/>
                <w:b/>
                <w:bCs/>
                <w:color w:val="auto"/>
                <w:sz w:val="22"/>
                <w:szCs w:val="22"/>
                <w:lang w:eastAsia="zh-CN" w:bidi="ar-SA"/>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488" w:type="dxa"/>
            <w:vMerge w:val="continue"/>
            <w:tcBorders>
              <w:top w:val="single" w:color="auto" w:sz="4" w:space="0"/>
              <w:left w:val="single" w:color="auto" w:sz="4" w:space="0"/>
              <w:bottom w:val="single" w:color="000000" w:sz="4" w:space="0"/>
              <w:right w:val="nil"/>
            </w:tcBorders>
            <w:vAlign w:val="center"/>
          </w:tcPr>
          <w:p>
            <w:pPr>
              <w:widowControl/>
              <w:rPr>
                <w:rFonts w:cs="宋体" w:asciiTheme="minorEastAsia" w:hAnsiTheme="minorEastAsia" w:eastAsiaTheme="minorEastAsia"/>
                <w:b/>
                <w:bCs/>
                <w:color w:val="auto"/>
                <w:sz w:val="22"/>
                <w:szCs w:val="22"/>
                <w:lang w:eastAsia="zh-CN" w:bidi="ar-SA"/>
              </w:rPr>
            </w:pPr>
          </w:p>
        </w:tc>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928" w:type="dxa"/>
            <w:vMerge w:val="continue"/>
            <w:tcBorders>
              <w:top w:val="single" w:color="auto" w:sz="4" w:space="0"/>
              <w:left w:val="nil"/>
              <w:bottom w:val="single" w:color="000000" w:sz="4" w:space="0"/>
              <w:right w:val="nil"/>
            </w:tcBorders>
            <w:vAlign w:val="center"/>
          </w:tcPr>
          <w:p>
            <w:pPr>
              <w:widowControl/>
              <w:rPr>
                <w:rFonts w:cs="宋体" w:asciiTheme="minorEastAsia" w:hAnsiTheme="minorEastAsia" w:eastAsiaTheme="minorEastAsia"/>
                <w:b/>
                <w:bCs/>
                <w:color w:val="auto"/>
                <w:sz w:val="22"/>
                <w:szCs w:val="22"/>
                <w:lang w:eastAsia="zh-CN" w:bidi="ar-SA"/>
              </w:rPr>
            </w:pPr>
          </w:p>
        </w:tc>
        <w:tc>
          <w:tcPr>
            <w:tcW w:w="928" w:type="dxa"/>
            <w:vMerge w:val="continue"/>
            <w:tcBorders>
              <w:top w:val="single" w:color="auto" w:sz="4" w:space="0"/>
              <w:left w:val="single" w:color="auto" w:sz="4" w:space="0"/>
              <w:bottom w:val="single" w:color="000000" w:sz="4" w:space="0"/>
              <w:right w:val="nil"/>
            </w:tcBorders>
            <w:vAlign w:val="center"/>
          </w:tcPr>
          <w:p>
            <w:pPr>
              <w:widowControl/>
              <w:rPr>
                <w:rFonts w:cs="宋体" w:asciiTheme="minorEastAsia" w:hAnsiTheme="minorEastAsia" w:eastAsiaTheme="minorEastAsia"/>
                <w:b/>
                <w:bCs/>
                <w:color w:val="auto"/>
                <w:sz w:val="22"/>
                <w:szCs w:val="22"/>
                <w:lang w:eastAsia="zh-CN" w:bidi="ar-SA"/>
              </w:rPr>
            </w:pPr>
          </w:p>
        </w:tc>
        <w:tc>
          <w:tcPr>
            <w:tcW w:w="928"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928" w:type="dxa"/>
            <w:vMerge w:val="continue"/>
            <w:tcBorders>
              <w:top w:val="single" w:color="auto" w:sz="4" w:space="0"/>
              <w:left w:val="nil"/>
              <w:bottom w:val="single" w:color="000000"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928" w:type="dxa"/>
            <w:vMerge w:val="continue"/>
            <w:tcBorders>
              <w:top w:val="single" w:color="auto" w:sz="4" w:space="0"/>
              <w:left w:val="nil"/>
              <w:bottom w:val="single" w:color="000000"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c>
          <w:tcPr>
            <w:tcW w:w="1093" w:type="dxa"/>
            <w:vMerge w:val="continue"/>
            <w:tcBorders>
              <w:top w:val="single" w:color="auto" w:sz="4" w:space="0"/>
              <w:left w:val="nil"/>
              <w:bottom w:val="single" w:color="000000" w:sz="4" w:space="0"/>
              <w:right w:val="single" w:color="auto" w:sz="4" w:space="0"/>
            </w:tcBorders>
            <w:vAlign w:val="center"/>
          </w:tcPr>
          <w:p>
            <w:pPr>
              <w:widowControl/>
              <w:rPr>
                <w:rFonts w:cs="宋体" w:asciiTheme="minorEastAsia" w:hAnsiTheme="minorEastAsia" w:eastAsiaTheme="minorEastAsia"/>
                <w:b/>
                <w:bCs/>
                <w:color w:val="auto"/>
                <w:sz w:val="22"/>
                <w:szCs w:val="22"/>
                <w:lang w:eastAsia="zh-CN" w:bidi="ar-SA"/>
              </w:rPr>
            </w:pPr>
          </w:p>
        </w:tc>
      </w:tr>
      <w:tr>
        <w:tblPrEx>
          <w:tblLayout w:type="fixed"/>
          <w:tblCellMar>
            <w:top w:w="0" w:type="dxa"/>
            <w:left w:w="108" w:type="dxa"/>
            <w:bottom w:w="0" w:type="dxa"/>
            <w:right w:w="108" w:type="dxa"/>
          </w:tblCellMar>
        </w:tblPrEx>
        <w:trPr>
          <w:trHeight w:val="377" w:hRule="atLeast"/>
        </w:trPr>
        <w:tc>
          <w:tcPr>
            <w:tcW w:w="3065" w:type="dxa"/>
            <w:tcBorders>
              <w:top w:val="nil"/>
              <w:left w:val="single" w:color="auto" w:sz="4" w:space="0"/>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w:t>
            </w:r>
          </w:p>
        </w:tc>
        <w:tc>
          <w:tcPr>
            <w:tcW w:w="108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w:t>
            </w:r>
          </w:p>
        </w:tc>
        <w:tc>
          <w:tcPr>
            <w:tcW w:w="68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1</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2</w:t>
            </w:r>
          </w:p>
        </w:tc>
        <w:tc>
          <w:tcPr>
            <w:tcW w:w="10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3</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4</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5</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6</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7</w:t>
            </w:r>
          </w:p>
        </w:tc>
        <w:tc>
          <w:tcPr>
            <w:tcW w:w="928"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8</w:t>
            </w:r>
          </w:p>
        </w:tc>
        <w:tc>
          <w:tcPr>
            <w:tcW w:w="1093" w:type="dxa"/>
            <w:tcBorders>
              <w:top w:val="nil"/>
              <w:left w:val="nil"/>
              <w:bottom w:val="nil"/>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sz w:val="22"/>
                <w:szCs w:val="22"/>
                <w:lang w:eastAsia="zh-CN" w:bidi="ar-SA"/>
              </w:rPr>
            </w:pPr>
            <w:r>
              <w:rPr>
                <w:rFonts w:hint="eastAsia" w:cs="宋体" w:asciiTheme="minorEastAsia" w:hAnsiTheme="minorEastAsia" w:eastAsiaTheme="minorEastAsia"/>
                <w:b/>
                <w:bCs/>
                <w:color w:val="auto"/>
                <w:sz w:val="22"/>
                <w:szCs w:val="22"/>
                <w:lang w:eastAsia="zh-CN" w:bidi="ar-SA"/>
              </w:rPr>
              <w:t>9</w:t>
            </w:r>
          </w:p>
        </w:tc>
      </w:tr>
      <w:tr>
        <w:tblPrEx>
          <w:tblLayout w:type="fixed"/>
          <w:tblCellMar>
            <w:top w:w="0" w:type="dxa"/>
            <w:left w:w="108" w:type="dxa"/>
            <w:bottom w:w="0" w:type="dxa"/>
            <w:right w:w="108" w:type="dxa"/>
          </w:tblCellMar>
        </w:tblPrEx>
        <w:trPr>
          <w:trHeight w:val="377" w:hRule="atLeast"/>
        </w:trPr>
        <w:tc>
          <w:tcPr>
            <w:tcW w:w="3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8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37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8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4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single" w:color="auto" w:sz="4" w:space="0"/>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77" w:hRule="atLeast"/>
        </w:trPr>
        <w:tc>
          <w:tcPr>
            <w:tcW w:w="3065"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8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37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8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4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77" w:hRule="atLeast"/>
        </w:trPr>
        <w:tc>
          <w:tcPr>
            <w:tcW w:w="3065"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8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37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8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4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77" w:hRule="atLeast"/>
        </w:trPr>
        <w:tc>
          <w:tcPr>
            <w:tcW w:w="3065"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8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37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8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4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77" w:hRule="atLeast"/>
        </w:trPr>
        <w:tc>
          <w:tcPr>
            <w:tcW w:w="3065"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8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37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8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4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77" w:hRule="atLeast"/>
        </w:trPr>
        <w:tc>
          <w:tcPr>
            <w:tcW w:w="3065"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8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37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8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4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77" w:hRule="atLeast"/>
        </w:trPr>
        <w:tc>
          <w:tcPr>
            <w:tcW w:w="3065"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8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37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8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4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77" w:hRule="atLeast"/>
        </w:trPr>
        <w:tc>
          <w:tcPr>
            <w:tcW w:w="3065"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8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37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8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4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77" w:hRule="atLeast"/>
        </w:trPr>
        <w:tc>
          <w:tcPr>
            <w:tcW w:w="3065"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8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37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8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4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r>
        <w:tblPrEx>
          <w:tblLayout w:type="fixed"/>
          <w:tblCellMar>
            <w:top w:w="0" w:type="dxa"/>
            <w:left w:w="108" w:type="dxa"/>
            <w:bottom w:w="0" w:type="dxa"/>
            <w:right w:w="108" w:type="dxa"/>
          </w:tblCellMar>
        </w:tblPrEx>
        <w:trPr>
          <w:trHeight w:val="377" w:hRule="atLeast"/>
        </w:trPr>
        <w:tc>
          <w:tcPr>
            <w:tcW w:w="3065"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83"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378"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48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4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nil"/>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928" w:type="dxa"/>
            <w:tcBorders>
              <w:top w:val="nil"/>
              <w:left w:val="single" w:color="auto" w:sz="4" w:space="0"/>
              <w:bottom w:val="single" w:color="auto" w:sz="4" w:space="0"/>
              <w:right w:val="nil"/>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auto"/>
                <w:sz w:val="22"/>
                <w:szCs w:val="22"/>
                <w:lang w:eastAsia="zh-CN" w:bidi="ar-SA"/>
              </w:rPr>
            </w:pPr>
            <w:r>
              <w:rPr>
                <w:rFonts w:hint="eastAsia" w:cs="宋体" w:asciiTheme="minorEastAsia" w:hAnsiTheme="minorEastAsia" w:eastAsiaTheme="minorEastAsia"/>
                <w:color w:val="auto"/>
                <w:sz w:val="22"/>
                <w:szCs w:val="22"/>
                <w:lang w:eastAsia="zh-CN" w:bidi="ar-SA"/>
              </w:rPr>
              <w:t>　</w:t>
            </w:r>
          </w:p>
        </w:tc>
      </w:tr>
    </w:tbl>
    <w:p>
      <w:pPr>
        <w:pStyle w:val="17"/>
        <w:spacing w:after="620" w:line="576" w:lineRule="exact"/>
        <w:ind w:firstLine="0"/>
        <w:jc w:val="both"/>
        <w:rPr>
          <w:rFonts w:ascii="楷体_GB2312" w:hAnsi="楷体_GB2312" w:eastAsia="楷体_GB2312" w:cs="楷体_GB2312"/>
          <w:sz w:val="22"/>
          <w:szCs w:val="22"/>
          <w:lang w:eastAsia="zh-CN"/>
        </w:rPr>
      </w:pPr>
    </w:p>
    <w:tbl>
      <w:tblPr>
        <w:tblStyle w:val="4"/>
        <w:tblW w:w="13266" w:type="dxa"/>
        <w:tblInd w:w="89" w:type="dxa"/>
        <w:tblLayout w:type="fixed"/>
        <w:tblCellMar>
          <w:top w:w="0" w:type="dxa"/>
          <w:left w:w="108" w:type="dxa"/>
          <w:bottom w:w="0" w:type="dxa"/>
          <w:right w:w="108" w:type="dxa"/>
        </w:tblCellMar>
      </w:tblPr>
      <w:tblGrid>
        <w:gridCol w:w="1816"/>
        <w:gridCol w:w="7291"/>
        <w:gridCol w:w="4159"/>
      </w:tblGrid>
      <w:tr>
        <w:tblPrEx>
          <w:tblLayout w:type="fixed"/>
          <w:tblCellMar>
            <w:top w:w="0" w:type="dxa"/>
            <w:left w:w="108" w:type="dxa"/>
            <w:bottom w:w="0" w:type="dxa"/>
            <w:right w:w="108" w:type="dxa"/>
          </w:tblCellMar>
        </w:tblPrEx>
        <w:trPr>
          <w:trHeight w:val="295" w:hRule="atLeast"/>
        </w:trPr>
        <w:tc>
          <w:tcPr>
            <w:tcW w:w="1816" w:type="dxa"/>
            <w:tcBorders>
              <w:top w:val="nil"/>
              <w:left w:val="nil"/>
              <w:bottom w:val="nil"/>
              <w:right w:val="nil"/>
            </w:tcBorders>
            <w:shd w:val="clear" w:color="auto" w:fill="auto"/>
            <w:noWrap/>
            <w:vAlign w:val="bottom"/>
          </w:tcPr>
          <w:p>
            <w:pPr>
              <w:widowControl/>
              <w:rPr>
                <w:rFonts w:ascii="宋体" w:hAnsi="宋体" w:eastAsia="宋体" w:cs="宋体"/>
                <w:b/>
                <w:bCs/>
                <w:color w:val="auto"/>
                <w:sz w:val="18"/>
                <w:szCs w:val="18"/>
                <w:lang w:eastAsia="zh-CN" w:bidi="ar-SA"/>
              </w:rPr>
            </w:pPr>
            <w:bookmarkStart w:id="65" w:name="RANGE!A1:C5"/>
            <w:r>
              <w:rPr>
                <w:rFonts w:hint="eastAsia" w:ascii="宋体" w:hAnsi="宋体" w:eastAsia="宋体" w:cs="宋体"/>
                <w:b/>
                <w:bCs/>
                <w:color w:val="auto"/>
                <w:sz w:val="22"/>
                <w:szCs w:val="18"/>
                <w:lang w:eastAsia="zh-CN" w:bidi="ar-SA"/>
              </w:rPr>
              <w:t>表10</w:t>
            </w:r>
            <w:bookmarkEnd w:id="65"/>
          </w:p>
        </w:tc>
        <w:tc>
          <w:tcPr>
            <w:tcW w:w="7291" w:type="dxa"/>
            <w:tcBorders>
              <w:top w:val="nil"/>
              <w:left w:val="nil"/>
              <w:bottom w:val="nil"/>
              <w:right w:val="nil"/>
            </w:tcBorders>
            <w:shd w:val="clear" w:color="auto" w:fill="auto"/>
            <w:noWrap/>
            <w:vAlign w:val="bottom"/>
          </w:tcPr>
          <w:p>
            <w:pPr>
              <w:widowControl/>
              <w:rPr>
                <w:rFonts w:ascii="宋体" w:hAnsi="宋体" w:eastAsia="宋体" w:cs="宋体"/>
                <w:color w:val="auto"/>
                <w:sz w:val="18"/>
                <w:szCs w:val="18"/>
                <w:lang w:eastAsia="zh-CN" w:bidi="ar-SA"/>
              </w:rPr>
            </w:pPr>
          </w:p>
        </w:tc>
        <w:tc>
          <w:tcPr>
            <w:tcW w:w="4159" w:type="dxa"/>
            <w:tcBorders>
              <w:top w:val="nil"/>
              <w:left w:val="nil"/>
              <w:bottom w:val="nil"/>
              <w:right w:val="nil"/>
            </w:tcBorders>
            <w:shd w:val="clear" w:color="auto" w:fill="auto"/>
            <w:noWrap/>
            <w:vAlign w:val="bottom"/>
          </w:tcPr>
          <w:p>
            <w:pPr>
              <w:widowControl/>
              <w:jc w:val="right"/>
              <w:rPr>
                <w:rFonts w:ascii="宋体" w:hAnsi="宋体" w:eastAsia="宋体" w:cs="宋体"/>
                <w:color w:val="auto"/>
                <w:sz w:val="18"/>
                <w:szCs w:val="18"/>
                <w:lang w:eastAsia="zh-CN" w:bidi="ar-SA"/>
              </w:rPr>
            </w:pPr>
          </w:p>
        </w:tc>
      </w:tr>
      <w:tr>
        <w:tblPrEx>
          <w:tblLayout w:type="fixed"/>
          <w:tblCellMar>
            <w:top w:w="0" w:type="dxa"/>
            <w:left w:w="108" w:type="dxa"/>
            <w:bottom w:w="0" w:type="dxa"/>
            <w:right w:w="108" w:type="dxa"/>
          </w:tblCellMar>
        </w:tblPrEx>
        <w:trPr>
          <w:trHeight w:val="572" w:hRule="atLeast"/>
        </w:trPr>
        <w:tc>
          <w:tcPr>
            <w:tcW w:w="13266"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sz w:val="32"/>
                <w:szCs w:val="32"/>
                <w:lang w:eastAsia="zh-CN" w:bidi="ar-SA"/>
              </w:rPr>
            </w:pPr>
            <w:r>
              <w:rPr>
                <w:rFonts w:hint="eastAsia" w:ascii="宋体" w:hAnsi="宋体" w:eastAsia="宋体" w:cs="宋体"/>
                <w:b/>
                <w:bCs/>
                <w:color w:val="auto"/>
                <w:sz w:val="36"/>
                <w:szCs w:val="32"/>
                <w:lang w:eastAsia="zh-CN" w:bidi="ar-SA"/>
              </w:rPr>
              <w:t>2021年一般性支出经费预算表</w:t>
            </w:r>
          </w:p>
        </w:tc>
      </w:tr>
      <w:tr>
        <w:tblPrEx>
          <w:tblLayout w:type="fixed"/>
          <w:tblCellMar>
            <w:top w:w="0" w:type="dxa"/>
            <w:left w:w="108" w:type="dxa"/>
            <w:bottom w:w="0" w:type="dxa"/>
            <w:right w:w="108" w:type="dxa"/>
          </w:tblCellMar>
        </w:tblPrEx>
        <w:trPr>
          <w:trHeight w:val="312" w:hRule="atLeast"/>
        </w:trPr>
        <w:tc>
          <w:tcPr>
            <w:tcW w:w="1816" w:type="dxa"/>
            <w:tcBorders>
              <w:top w:val="nil"/>
              <w:left w:val="nil"/>
              <w:bottom w:val="nil"/>
              <w:right w:val="nil"/>
            </w:tcBorders>
            <w:shd w:val="clear" w:color="auto" w:fill="auto"/>
            <w:noWrap/>
            <w:vAlign w:val="bottom"/>
          </w:tcPr>
          <w:p>
            <w:pPr>
              <w:widowControl/>
              <w:rPr>
                <w:rFonts w:ascii="宋体" w:hAnsi="宋体" w:eastAsia="宋体" w:cs="宋体"/>
                <w:color w:val="auto"/>
                <w:sz w:val="22"/>
                <w:szCs w:val="20"/>
                <w:lang w:eastAsia="zh-CN" w:bidi="ar-SA"/>
              </w:rPr>
            </w:pPr>
          </w:p>
        </w:tc>
        <w:tc>
          <w:tcPr>
            <w:tcW w:w="7291" w:type="dxa"/>
            <w:tcBorders>
              <w:top w:val="nil"/>
              <w:left w:val="nil"/>
              <w:bottom w:val="nil"/>
              <w:right w:val="nil"/>
            </w:tcBorders>
            <w:shd w:val="clear" w:color="auto" w:fill="auto"/>
            <w:noWrap/>
            <w:vAlign w:val="bottom"/>
          </w:tcPr>
          <w:p>
            <w:pPr>
              <w:widowControl/>
              <w:rPr>
                <w:rFonts w:ascii="宋体" w:hAnsi="宋体" w:eastAsia="宋体" w:cs="宋体"/>
                <w:color w:val="auto"/>
                <w:sz w:val="22"/>
                <w:szCs w:val="20"/>
                <w:lang w:eastAsia="zh-CN" w:bidi="ar-SA"/>
              </w:rPr>
            </w:pPr>
          </w:p>
        </w:tc>
        <w:tc>
          <w:tcPr>
            <w:tcW w:w="4159" w:type="dxa"/>
            <w:tcBorders>
              <w:top w:val="nil"/>
              <w:left w:val="nil"/>
              <w:bottom w:val="nil"/>
              <w:right w:val="nil"/>
            </w:tcBorders>
            <w:shd w:val="clear" w:color="auto" w:fill="auto"/>
            <w:noWrap/>
            <w:vAlign w:val="bottom"/>
          </w:tcPr>
          <w:p>
            <w:pPr>
              <w:widowControl/>
              <w:jc w:val="right"/>
              <w:rPr>
                <w:rFonts w:ascii="宋体" w:hAnsi="宋体" w:eastAsia="宋体" w:cs="宋体"/>
                <w:b/>
                <w:bCs/>
                <w:color w:val="auto"/>
                <w:sz w:val="22"/>
                <w:szCs w:val="20"/>
                <w:lang w:eastAsia="zh-CN" w:bidi="ar-SA"/>
              </w:rPr>
            </w:pPr>
            <w:r>
              <w:rPr>
                <w:rFonts w:hint="eastAsia" w:ascii="宋体" w:hAnsi="宋体" w:eastAsia="宋体" w:cs="宋体"/>
                <w:b/>
                <w:bCs/>
                <w:color w:val="auto"/>
                <w:sz w:val="22"/>
                <w:szCs w:val="20"/>
                <w:lang w:eastAsia="zh-CN" w:bidi="ar-SA"/>
              </w:rPr>
              <w:t>单位：元</w:t>
            </w:r>
          </w:p>
        </w:tc>
      </w:tr>
      <w:tr>
        <w:tblPrEx>
          <w:tblLayout w:type="fixed"/>
          <w:tblCellMar>
            <w:top w:w="0" w:type="dxa"/>
            <w:left w:w="108" w:type="dxa"/>
            <w:bottom w:w="0" w:type="dxa"/>
            <w:right w:w="108" w:type="dxa"/>
          </w:tblCellMar>
        </w:tblPrEx>
        <w:trPr>
          <w:trHeight w:val="589" w:hRule="atLeast"/>
        </w:trPr>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sz w:val="22"/>
                <w:szCs w:val="20"/>
                <w:lang w:eastAsia="zh-CN" w:bidi="ar-SA"/>
              </w:rPr>
            </w:pPr>
            <w:r>
              <w:rPr>
                <w:rFonts w:hint="eastAsia" w:ascii="宋体" w:hAnsi="宋体" w:eastAsia="宋体" w:cs="宋体"/>
                <w:b/>
                <w:bCs/>
                <w:color w:val="auto"/>
                <w:sz w:val="22"/>
                <w:szCs w:val="20"/>
                <w:lang w:eastAsia="zh-CN" w:bidi="ar-SA"/>
              </w:rPr>
              <w:t>编码</w:t>
            </w:r>
          </w:p>
        </w:tc>
        <w:tc>
          <w:tcPr>
            <w:tcW w:w="7291"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b/>
                <w:bCs/>
                <w:color w:val="auto"/>
                <w:sz w:val="22"/>
                <w:szCs w:val="20"/>
                <w:lang w:eastAsia="zh-CN" w:bidi="ar-SA"/>
              </w:rPr>
            </w:pPr>
            <w:r>
              <w:rPr>
                <w:rFonts w:hint="eastAsia" w:ascii="宋体" w:hAnsi="宋体" w:eastAsia="宋体" w:cs="宋体"/>
                <w:b/>
                <w:bCs/>
                <w:color w:val="auto"/>
                <w:sz w:val="22"/>
                <w:szCs w:val="20"/>
                <w:lang w:eastAsia="zh-CN" w:bidi="ar-SA"/>
              </w:rPr>
              <w:t>名称</w:t>
            </w:r>
          </w:p>
        </w:tc>
        <w:tc>
          <w:tcPr>
            <w:tcW w:w="41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sz w:val="22"/>
                <w:szCs w:val="20"/>
                <w:lang w:eastAsia="zh-CN" w:bidi="ar-SA"/>
              </w:rPr>
            </w:pPr>
            <w:r>
              <w:rPr>
                <w:rFonts w:hint="eastAsia" w:ascii="宋体" w:hAnsi="宋体" w:eastAsia="宋体" w:cs="宋体"/>
                <w:b/>
                <w:bCs/>
                <w:color w:val="auto"/>
                <w:sz w:val="22"/>
                <w:szCs w:val="20"/>
                <w:lang w:eastAsia="zh-CN" w:bidi="ar-SA"/>
              </w:rPr>
              <w:t>金额</w:t>
            </w:r>
          </w:p>
        </w:tc>
      </w:tr>
      <w:tr>
        <w:tblPrEx>
          <w:tblLayout w:type="fixed"/>
          <w:tblCellMar>
            <w:top w:w="0" w:type="dxa"/>
            <w:left w:w="108" w:type="dxa"/>
            <w:bottom w:w="0" w:type="dxa"/>
            <w:right w:w="108" w:type="dxa"/>
          </w:tblCellMar>
        </w:tblPrEx>
        <w:trPr>
          <w:trHeight w:val="399" w:hRule="atLeast"/>
        </w:trPr>
        <w:tc>
          <w:tcPr>
            <w:tcW w:w="1816" w:type="dxa"/>
            <w:tcBorders>
              <w:top w:val="nil"/>
              <w:left w:val="single" w:color="auto" w:sz="4" w:space="0"/>
              <w:bottom w:val="nil"/>
              <w:right w:val="nil"/>
            </w:tcBorders>
            <w:shd w:val="clear" w:color="auto" w:fill="auto"/>
            <w:noWrap/>
            <w:vAlign w:val="center"/>
          </w:tcPr>
          <w:p>
            <w:pPr>
              <w:widowControl/>
              <w:jc w:val="center"/>
              <w:rPr>
                <w:rFonts w:ascii="宋体" w:hAnsi="宋体" w:eastAsia="宋体" w:cs="宋体"/>
                <w:b/>
                <w:bCs/>
                <w:color w:val="auto"/>
                <w:sz w:val="22"/>
                <w:szCs w:val="20"/>
                <w:lang w:eastAsia="zh-CN" w:bidi="ar-SA"/>
              </w:rPr>
            </w:pPr>
            <w:r>
              <w:rPr>
                <w:rFonts w:hint="eastAsia" w:ascii="宋体" w:hAnsi="宋体" w:eastAsia="宋体" w:cs="宋体"/>
                <w:b/>
                <w:bCs/>
                <w:color w:val="auto"/>
                <w:sz w:val="22"/>
                <w:szCs w:val="20"/>
                <w:lang w:eastAsia="zh-CN" w:bidi="ar-SA"/>
              </w:rPr>
              <w:t>**</w:t>
            </w:r>
          </w:p>
        </w:tc>
        <w:tc>
          <w:tcPr>
            <w:tcW w:w="7291" w:type="dxa"/>
            <w:tcBorders>
              <w:top w:val="nil"/>
              <w:left w:val="single" w:color="auto" w:sz="4" w:space="0"/>
              <w:bottom w:val="nil"/>
              <w:right w:val="nil"/>
            </w:tcBorders>
            <w:shd w:val="clear" w:color="auto" w:fill="auto"/>
            <w:noWrap/>
            <w:vAlign w:val="center"/>
          </w:tcPr>
          <w:p>
            <w:pPr>
              <w:widowControl/>
              <w:jc w:val="center"/>
              <w:rPr>
                <w:rFonts w:ascii="宋体" w:hAnsi="宋体" w:eastAsia="宋体" w:cs="宋体"/>
                <w:b/>
                <w:bCs/>
                <w:color w:val="auto"/>
                <w:sz w:val="22"/>
                <w:szCs w:val="20"/>
                <w:lang w:eastAsia="zh-CN" w:bidi="ar-SA"/>
              </w:rPr>
            </w:pPr>
            <w:r>
              <w:rPr>
                <w:rFonts w:hint="eastAsia" w:ascii="宋体" w:hAnsi="宋体" w:eastAsia="宋体" w:cs="宋体"/>
                <w:b/>
                <w:bCs/>
                <w:color w:val="auto"/>
                <w:sz w:val="22"/>
                <w:szCs w:val="20"/>
                <w:lang w:eastAsia="zh-CN" w:bidi="ar-SA"/>
              </w:rPr>
              <w:t>**</w:t>
            </w:r>
          </w:p>
        </w:tc>
        <w:tc>
          <w:tcPr>
            <w:tcW w:w="4159"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color w:val="auto"/>
                <w:sz w:val="22"/>
                <w:szCs w:val="20"/>
                <w:lang w:eastAsia="zh-CN" w:bidi="ar-SA"/>
              </w:rPr>
            </w:pPr>
            <w:r>
              <w:rPr>
                <w:rFonts w:hint="eastAsia" w:ascii="宋体" w:hAnsi="宋体" w:eastAsia="宋体" w:cs="宋体"/>
                <w:b/>
                <w:bCs/>
                <w:color w:val="auto"/>
                <w:sz w:val="22"/>
                <w:szCs w:val="20"/>
                <w:lang w:eastAsia="zh-CN" w:bidi="ar-SA"/>
              </w:rPr>
              <w:t>1</w:t>
            </w:r>
          </w:p>
        </w:tc>
      </w:tr>
      <w:tr>
        <w:tblPrEx>
          <w:tblLayout w:type="fixed"/>
          <w:tblCellMar>
            <w:top w:w="0" w:type="dxa"/>
            <w:left w:w="108" w:type="dxa"/>
            <w:bottom w:w="0" w:type="dxa"/>
            <w:right w:w="108" w:type="dxa"/>
          </w:tblCellMar>
        </w:tblPrEx>
        <w:trPr>
          <w:trHeight w:val="433" w:hRule="atLeast"/>
        </w:trPr>
        <w:tc>
          <w:tcPr>
            <w:tcW w:w="1816"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eastAsia="宋体" w:cs="宋体"/>
                <w:b/>
                <w:bCs/>
                <w:color w:val="auto"/>
                <w:sz w:val="22"/>
                <w:szCs w:val="20"/>
                <w:lang w:eastAsia="zh-CN" w:bidi="ar-SA"/>
              </w:rPr>
            </w:pPr>
            <w:r>
              <w:rPr>
                <w:rFonts w:hint="eastAsia" w:ascii="宋体" w:hAnsi="宋体" w:eastAsia="宋体" w:cs="宋体"/>
                <w:b/>
                <w:bCs/>
                <w:color w:val="auto"/>
                <w:sz w:val="22"/>
                <w:szCs w:val="20"/>
                <w:lang w:eastAsia="zh-CN" w:bidi="ar-SA"/>
              </w:rPr>
              <w:t>　</w:t>
            </w:r>
          </w:p>
        </w:tc>
        <w:tc>
          <w:tcPr>
            <w:tcW w:w="7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b/>
                <w:bCs/>
                <w:color w:val="auto"/>
                <w:sz w:val="22"/>
                <w:szCs w:val="20"/>
                <w:lang w:eastAsia="zh-CN" w:bidi="ar-SA"/>
              </w:rPr>
            </w:pPr>
            <w:r>
              <w:rPr>
                <w:rFonts w:hint="eastAsia" w:ascii="宋体" w:hAnsi="宋体" w:eastAsia="宋体" w:cs="宋体"/>
                <w:b/>
                <w:bCs/>
                <w:color w:val="auto"/>
                <w:sz w:val="22"/>
                <w:szCs w:val="20"/>
                <w:lang w:eastAsia="zh-CN" w:bidi="ar-SA"/>
              </w:rPr>
              <w:t>　</w:t>
            </w:r>
          </w:p>
        </w:tc>
        <w:tc>
          <w:tcPr>
            <w:tcW w:w="415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sz w:val="22"/>
                <w:szCs w:val="20"/>
                <w:lang w:eastAsia="zh-CN" w:bidi="ar-SA"/>
              </w:rPr>
            </w:pPr>
            <w:r>
              <w:rPr>
                <w:rFonts w:hint="eastAsia" w:ascii="宋体" w:hAnsi="宋体" w:eastAsia="宋体" w:cs="宋体"/>
                <w:color w:val="auto"/>
                <w:sz w:val="22"/>
                <w:szCs w:val="20"/>
                <w:lang w:eastAsia="zh-CN" w:bidi="ar-SA"/>
              </w:rPr>
              <w:t>　</w:t>
            </w:r>
          </w:p>
        </w:tc>
      </w:tr>
    </w:tbl>
    <w:p>
      <w:pPr>
        <w:pStyle w:val="17"/>
        <w:spacing w:after="620" w:line="576" w:lineRule="exact"/>
        <w:ind w:firstLine="0"/>
        <w:jc w:val="both"/>
        <w:rPr>
          <w:rFonts w:ascii="楷体_GB2312" w:hAnsi="楷体_GB2312" w:eastAsia="楷体_GB2312" w:cs="楷体_GB2312"/>
          <w:sz w:val="22"/>
          <w:szCs w:val="22"/>
          <w:lang w:eastAsia="zh-CN"/>
        </w:rPr>
        <w:sectPr>
          <w:pgSz w:w="16840" w:h="11900" w:orient="landscape"/>
          <w:pgMar w:top="1536" w:right="1701" w:bottom="1684" w:left="1701" w:header="874" w:footer="6" w:gutter="0"/>
          <w:cols w:space="0" w:num="1"/>
          <w:docGrid w:linePitch="360" w:charSpace="0"/>
        </w:sectPr>
      </w:pPr>
    </w:p>
    <w:tbl>
      <w:tblPr>
        <w:tblStyle w:val="4"/>
        <w:tblW w:w="10122" w:type="dxa"/>
        <w:jc w:val="center"/>
        <w:tblInd w:w="89" w:type="dxa"/>
        <w:tblLayout w:type="fixed"/>
        <w:tblCellMar>
          <w:top w:w="0" w:type="dxa"/>
          <w:left w:w="108" w:type="dxa"/>
          <w:bottom w:w="0" w:type="dxa"/>
          <w:right w:w="108" w:type="dxa"/>
        </w:tblCellMar>
      </w:tblPr>
      <w:tblGrid>
        <w:gridCol w:w="680"/>
        <w:gridCol w:w="980"/>
        <w:gridCol w:w="1700"/>
        <w:gridCol w:w="1080"/>
        <w:gridCol w:w="1240"/>
        <w:gridCol w:w="380"/>
        <w:gridCol w:w="1120"/>
        <w:gridCol w:w="640"/>
        <w:gridCol w:w="400"/>
        <w:gridCol w:w="222"/>
        <w:gridCol w:w="400"/>
        <w:gridCol w:w="280"/>
        <w:gridCol w:w="460"/>
        <w:gridCol w:w="540"/>
      </w:tblGrid>
      <w:tr>
        <w:tblPrEx>
          <w:tblLayout w:type="fixed"/>
          <w:tblCellMar>
            <w:top w:w="0" w:type="dxa"/>
            <w:left w:w="108" w:type="dxa"/>
            <w:bottom w:w="0" w:type="dxa"/>
            <w:right w:w="108" w:type="dxa"/>
          </w:tblCellMar>
        </w:tblPrEx>
        <w:trPr>
          <w:trHeight w:val="405" w:hRule="atLeast"/>
          <w:jc w:val="center"/>
        </w:trPr>
        <w:tc>
          <w:tcPr>
            <w:tcW w:w="10122" w:type="dxa"/>
            <w:gridSpan w:val="14"/>
            <w:tcBorders>
              <w:top w:val="nil"/>
              <w:left w:val="nil"/>
              <w:bottom w:val="nil"/>
              <w:right w:val="nil"/>
            </w:tcBorders>
            <w:shd w:val="clear" w:color="auto" w:fill="auto"/>
            <w:vAlign w:val="center"/>
          </w:tcPr>
          <w:p>
            <w:pPr>
              <w:widowControl/>
              <w:jc w:val="center"/>
              <w:rPr>
                <w:rFonts w:ascii="宋体" w:hAnsi="宋体" w:eastAsia="宋体" w:cs="宋体"/>
                <w:b/>
                <w:bCs/>
                <w:sz w:val="32"/>
                <w:szCs w:val="32"/>
                <w:lang w:eastAsia="zh-CN" w:bidi="ar-SA"/>
              </w:rPr>
            </w:pPr>
            <w:r>
              <w:rPr>
                <w:rFonts w:hint="eastAsia" w:ascii="宋体" w:hAnsi="宋体" w:eastAsia="宋体" w:cs="宋体"/>
                <w:b/>
                <w:bCs/>
                <w:sz w:val="32"/>
                <w:szCs w:val="32"/>
                <w:lang w:eastAsia="zh-CN" w:bidi="ar-SA"/>
              </w:rPr>
              <w:t>项目支出绩效目标填报（自评）表</w:t>
            </w:r>
          </w:p>
        </w:tc>
      </w:tr>
      <w:tr>
        <w:tblPrEx>
          <w:tblLayout w:type="fixed"/>
          <w:tblCellMar>
            <w:top w:w="0" w:type="dxa"/>
            <w:left w:w="108" w:type="dxa"/>
            <w:bottom w:w="0" w:type="dxa"/>
            <w:right w:w="108" w:type="dxa"/>
          </w:tblCellMar>
        </w:tblPrEx>
        <w:trPr>
          <w:trHeight w:val="285" w:hRule="atLeast"/>
          <w:jc w:val="center"/>
        </w:trPr>
        <w:tc>
          <w:tcPr>
            <w:tcW w:w="10122" w:type="dxa"/>
            <w:gridSpan w:val="14"/>
            <w:tcBorders>
              <w:top w:val="nil"/>
              <w:left w:val="nil"/>
              <w:bottom w:val="nil"/>
              <w:right w:val="nil"/>
            </w:tcBorders>
            <w:shd w:val="clear" w:color="auto" w:fill="auto"/>
            <w:vAlign w:val="center"/>
          </w:tcPr>
          <w:p>
            <w:pPr>
              <w:widowControl/>
              <w:jc w:val="center"/>
              <w:rPr>
                <w:rFonts w:ascii="宋体" w:hAnsi="宋体" w:eastAsia="宋体" w:cs="宋体"/>
                <w:b/>
                <w:bCs/>
                <w:sz w:val="22"/>
                <w:szCs w:val="22"/>
                <w:lang w:eastAsia="zh-CN" w:bidi="ar-SA"/>
              </w:rPr>
            </w:pPr>
            <w:r>
              <w:rPr>
                <w:rFonts w:hint="eastAsia" w:ascii="宋体" w:hAnsi="宋体" w:eastAsia="宋体" w:cs="宋体"/>
                <w:b/>
                <w:bCs/>
                <w:sz w:val="22"/>
                <w:szCs w:val="22"/>
                <w:lang w:eastAsia="zh-CN" w:bidi="ar-SA"/>
              </w:rPr>
              <w:t>（2021年度）</w:t>
            </w:r>
          </w:p>
        </w:tc>
      </w:tr>
      <w:tr>
        <w:tblPrEx>
          <w:tblLayout w:type="fixed"/>
          <w:tblCellMar>
            <w:top w:w="0" w:type="dxa"/>
            <w:left w:w="108" w:type="dxa"/>
            <w:bottom w:w="0" w:type="dxa"/>
            <w:right w:w="108" w:type="dxa"/>
          </w:tblCellMar>
        </w:tblPrEx>
        <w:trPr>
          <w:trHeight w:val="285" w:hRule="atLeast"/>
          <w:jc w:val="center"/>
        </w:trPr>
        <w:tc>
          <w:tcPr>
            <w:tcW w:w="1660" w:type="dxa"/>
            <w:gridSpan w:val="2"/>
            <w:tcBorders>
              <w:top w:val="nil"/>
              <w:left w:val="nil"/>
              <w:bottom w:val="single" w:color="auto" w:sz="8" w:space="0"/>
              <w:right w:val="nil"/>
            </w:tcBorders>
            <w:shd w:val="clear" w:color="auto" w:fill="auto"/>
            <w:vAlign w:val="center"/>
          </w:tcPr>
          <w:p>
            <w:pPr>
              <w:widowControl/>
              <w:rPr>
                <w:rFonts w:ascii="宋体" w:hAnsi="宋体" w:eastAsia="宋体" w:cs="宋体"/>
                <w:b/>
                <w:bCs/>
                <w:sz w:val="18"/>
                <w:szCs w:val="18"/>
                <w:lang w:eastAsia="zh-CN" w:bidi="ar-SA"/>
              </w:rPr>
            </w:pPr>
            <w:r>
              <w:rPr>
                <w:rFonts w:hint="eastAsia" w:ascii="宋体" w:hAnsi="宋体" w:eastAsia="宋体" w:cs="宋体"/>
                <w:b/>
                <w:bCs/>
                <w:sz w:val="18"/>
                <w:szCs w:val="18"/>
                <w:lang w:eastAsia="zh-CN" w:bidi="ar-SA"/>
              </w:rPr>
              <w:t>填报单位（章）：</w:t>
            </w:r>
          </w:p>
        </w:tc>
        <w:tc>
          <w:tcPr>
            <w:tcW w:w="4020" w:type="dxa"/>
            <w:gridSpan w:val="3"/>
            <w:tcBorders>
              <w:top w:val="nil"/>
              <w:left w:val="nil"/>
              <w:bottom w:val="single" w:color="auto" w:sz="8" w:space="0"/>
              <w:right w:val="nil"/>
            </w:tcBorders>
            <w:shd w:val="clear" w:color="auto" w:fill="auto"/>
            <w:vAlign w:val="center"/>
          </w:tcPr>
          <w:p>
            <w:pPr>
              <w:widowControl/>
              <w:jc w:val="center"/>
              <w:rPr>
                <w:rFonts w:ascii="宋体" w:hAnsi="宋体" w:eastAsia="宋体" w:cs="宋体"/>
                <w:b/>
                <w:bCs/>
                <w:sz w:val="18"/>
                <w:szCs w:val="18"/>
                <w:lang w:eastAsia="zh-CN" w:bidi="ar-SA"/>
              </w:rPr>
            </w:pPr>
            <w:r>
              <w:rPr>
                <w:rFonts w:hint="eastAsia" w:ascii="宋体" w:hAnsi="宋体" w:eastAsia="宋体" w:cs="宋体"/>
                <w:b/>
                <w:bCs/>
                <w:sz w:val="18"/>
                <w:szCs w:val="18"/>
                <w:lang w:eastAsia="zh-CN" w:bidi="ar-SA"/>
              </w:rPr>
              <w:t>鄂尔多斯市中心医院</w:t>
            </w:r>
          </w:p>
        </w:tc>
        <w:tc>
          <w:tcPr>
            <w:tcW w:w="1500" w:type="dxa"/>
            <w:gridSpan w:val="2"/>
            <w:tcBorders>
              <w:top w:val="nil"/>
              <w:left w:val="nil"/>
              <w:bottom w:val="single" w:color="auto" w:sz="8" w:space="0"/>
              <w:right w:val="nil"/>
            </w:tcBorders>
            <w:shd w:val="clear" w:color="auto" w:fill="auto"/>
            <w:vAlign w:val="center"/>
          </w:tcPr>
          <w:p>
            <w:pPr>
              <w:widowControl/>
              <w:rPr>
                <w:rFonts w:ascii="宋体" w:hAnsi="宋体" w:eastAsia="宋体" w:cs="宋体"/>
                <w:b/>
                <w:bCs/>
                <w:sz w:val="18"/>
                <w:szCs w:val="18"/>
                <w:lang w:eastAsia="zh-CN" w:bidi="ar-SA"/>
              </w:rPr>
            </w:pPr>
            <w:r>
              <w:rPr>
                <w:rFonts w:hint="eastAsia" w:ascii="宋体" w:hAnsi="宋体" w:eastAsia="宋体" w:cs="宋体"/>
                <w:b/>
                <w:bCs/>
                <w:sz w:val="18"/>
                <w:szCs w:val="18"/>
                <w:lang w:eastAsia="zh-CN" w:bidi="ar-SA"/>
              </w:rPr>
              <w:t xml:space="preserve">联系人：                    </w:t>
            </w:r>
          </w:p>
        </w:tc>
        <w:tc>
          <w:tcPr>
            <w:tcW w:w="64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b/>
                <w:bCs/>
                <w:sz w:val="18"/>
                <w:szCs w:val="18"/>
                <w:lang w:eastAsia="zh-CN" w:bidi="ar-SA"/>
              </w:rPr>
            </w:pPr>
            <w:r>
              <w:rPr>
                <w:rFonts w:hint="eastAsia" w:ascii="宋体" w:hAnsi="宋体" w:eastAsia="宋体" w:cs="宋体"/>
                <w:b/>
                <w:bCs/>
                <w:sz w:val="18"/>
                <w:szCs w:val="18"/>
                <w:lang w:eastAsia="zh-CN" w:bidi="ar-SA"/>
              </w:rPr>
              <w:t>秦姣</w:t>
            </w:r>
          </w:p>
        </w:tc>
        <w:tc>
          <w:tcPr>
            <w:tcW w:w="40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b/>
                <w:bCs/>
                <w:sz w:val="18"/>
                <w:szCs w:val="18"/>
                <w:lang w:eastAsia="zh-CN" w:bidi="ar-SA"/>
              </w:rPr>
            </w:pPr>
            <w:r>
              <w:rPr>
                <w:rFonts w:hint="eastAsia" w:ascii="宋体" w:hAnsi="宋体" w:eastAsia="宋体" w:cs="宋体"/>
                <w:b/>
                <w:bCs/>
                <w:sz w:val="18"/>
                <w:szCs w:val="18"/>
                <w:lang w:eastAsia="zh-CN" w:bidi="ar-SA"/>
              </w:rPr>
              <w:t>　</w:t>
            </w:r>
          </w:p>
        </w:tc>
        <w:tc>
          <w:tcPr>
            <w:tcW w:w="902" w:type="dxa"/>
            <w:gridSpan w:val="3"/>
            <w:tcBorders>
              <w:top w:val="nil"/>
              <w:left w:val="nil"/>
              <w:bottom w:val="single" w:color="auto" w:sz="8" w:space="0"/>
              <w:right w:val="nil"/>
            </w:tcBorders>
            <w:shd w:val="clear" w:color="auto" w:fill="auto"/>
            <w:vAlign w:val="center"/>
          </w:tcPr>
          <w:p>
            <w:pPr>
              <w:widowControl/>
              <w:rPr>
                <w:rFonts w:ascii="宋体" w:hAnsi="宋体" w:eastAsia="宋体" w:cs="宋体"/>
                <w:b/>
                <w:bCs/>
                <w:sz w:val="18"/>
                <w:szCs w:val="18"/>
                <w:lang w:eastAsia="zh-CN" w:bidi="ar-SA"/>
              </w:rPr>
            </w:pPr>
            <w:r>
              <w:rPr>
                <w:rFonts w:hint="eastAsia" w:ascii="宋体" w:hAnsi="宋体" w:eastAsia="宋体" w:cs="宋体"/>
                <w:b/>
                <w:bCs/>
                <w:sz w:val="18"/>
                <w:szCs w:val="18"/>
                <w:lang w:eastAsia="zh-CN" w:bidi="ar-SA"/>
              </w:rPr>
              <w:t>电话：</w:t>
            </w:r>
          </w:p>
        </w:tc>
        <w:tc>
          <w:tcPr>
            <w:tcW w:w="1000" w:type="dxa"/>
            <w:gridSpan w:val="2"/>
            <w:tcBorders>
              <w:top w:val="nil"/>
              <w:left w:val="nil"/>
              <w:bottom w:val="single" w:color="auto" w:sz="8" w:space="0"/>
              <w:right w:val="nil"/>
            </w:tcBorders>
            <w:shd w:val="clear" w:color="auto" w:fill="auto"/>
            <w:vAlign w:val="center"/>
          </w:tcPr>
          <w:p>
            <w:pPr>
              <w:widowControl/>
              <w:jc w:val="center"/>
              <w:rPr>
                <w:rFonts w:ascii="宋体" w:hAnsi="宋体" w:eastAsia="宋体" w:cs="宋体"/>
                <w:b/>
                <w:bCs/>
                <w:sz w:val="22"/>
                <w:szCs w:val="22"/>
                <w:lang w:eastAsia="zh-CN" w:bidi="ar-SA"/>
              </w:rPr>
            </w:pPr>
            <w:r>
              <w:rPr>
                <w:rFonts w:hint="eastAsia" w:ascii="宋体" w:hAnsi="宋体" w:eastAsia="宋体" w:cs="宋体"/>
                <w:b/>
                <w:bCs/>
                <w:sz w:val="22"/>
                <w:szCs w:val="22"/>
                <w:lang w:eastAsia="zh-CN" w:bidi="ar-SA"/>
              </w:rPr>
              <w:t>8363168</w:t>
            </w:r>
          </w:p>
        </w:tc>
      </w:tr>
      <w:tr>
        <w:tblPrEx>
          <w:tblLayout w:type="fixed"/>
          <w:tblCellMar>
            <w:top w:w="0" w:type="dxa"/>
            <w:left w:w="108" w:type="dxa"/>
            <w:bottom w:w="0" w:type="dxa"/>
            <w:right w:w="108" w:type="dxa"/>
          </w:tblCellMar>
        </w:tblPrEx>
        <w:trPr>
          <w:trHeight w:val="360" w:hRule="atLeast"/>
          <w:jc w:val="center"/>
        </w:trPr>
        <w:tc>
          <w:tcPr>
            <w:tcW w:w="166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项目名称</w:t>
            </w:r>
          </w:p>
        </w:tc>
        <w:tc>
          <w:tcPr>
            <w:tcW w:w="8462" w:type="dxa"/>
            <w:gridSpan w:val="1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派驻纪检组工作经费</w:t>
            </w:r>
          </w:p>
        </w:tc>
      </w:tr>
      <w:tr>
        <w:tblPrEx>
          <w:tblLayout w:type="fixed"/>
          <w:tblCellMar>
            <w:top w:w="0" w:type="dxa"/>
            <w:left w:w="108" w:type="dxa"/>
            <w:bottom w:w="0" w:type="dxa"/>
            <w:right w:w="108" w:type="dxa"/>
          </w:tblCellMar>
        </w:tblPrEx>
        <w:trPr>
          <w:trHeight w:val="360" w:hRule="atLeast"/>
          <w:jc w:val="center"/>
        </w:trPr>
        <w:tc>
          <w:tcPr>
            <w:tcW w:w="166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主管部门</w:t>
            </w:r>
          </w:p>
        </w:tc>
        <w:tc>
          <w:tcPr>
            <w:tcW w:w="55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鄂尔多斯市卫生健康委员会</w:t>
            </w:r>
          </w:p>
        </w:tc>
        <w:tc>
          <w:tcPr>
            <w:tcW w:w="10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实施单位</w:t>
            </w:r>
          </w:p>
        </w:tc>
        <w:tc>
          <w:tcPr>
            <w:tcW w:w="1902"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鄂尔多斯市中心医院</w:t>
            </w:r>
          </w:p>
        </w:tc>
      </w:tr>
      <w:tr>
        <w:tblPrEx>
          <w:tblLayout w:type="fixed"/>
          <w:tblCellMar>
            <w:top w:w="0" w:type="dxa"/>
            <w:left w:w="108" w:type="dxa"/>
            <w:bottom w:w="0" w:type="dxa"/>
            <w:right w:w="108" w:type="dxa"/>
          </w:tblCellMar>
        </w:tblPrEx>
        <w:trPr>
          <w:trHeight w:val="360" w:hRule="atLeast"/>
          <w:jc w:val="center"/>
        </w:trPr>
        <w:tc>
          <w:tcPr>
            <w:tcW w:w="16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项目资金（万元）</w:t>
            </w:r>
          </w:p>
        </w:tc>
        <w:tc>
          <w:tcPr>
            <w:tcW w:w="27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年初预算数</w:t>
            </w:r>
          </w:p>
        </w:tc>
        <w:tc>
          <w:tcPr>
            <w:tcW w:w="15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全年预算数</w:t>
            </w:r>
          </w:p>
        </w:tc>
        <w:tc>
          <w:tcPr>
            <w:tcW w:w="10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全年执行数</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分值</w:t>
            </w:r>
          </w:p>
        </w:tc>
        <w:tc>
          <w:tcPr>
            <w:tcW w:w="7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执行率</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得分</w:t>
            </w:r>
          </w:p>
        </w:tc>
      </w:tr>
      <w:tr>
        <w:tblPrEx>
          <w:tblLayout w:type="fixed"/>
          <w:tblCellMar>
            <w:top w:w="0" w:type="dxa"/>
            <w:left w:w="108" w:type="dxa"/>
            <w:bottom w:w="0" w:type="dxa"/>
            <w:right w:w="108" w:type="dxa"/>
          </w:tblCellMar>
        </w:tblPrEx>
        <w:trPr>
          <w:trHeight w:val="360" w:hRule="atLeast"/>
          <w:jc w:val="center"/>
        </w:trPr>
        <w:tc>
          <w:tcPr>
            <w:tcW w:w="16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rPr>
                <w:rFonts w:ascii="宋体" w:hAnsi="宋体" w:eastAsia="宋体" w:cs="宋体"/>
                <w:sz w:val="18"/>
                <w:szCs w:val="18"/>
                <w:lang w:eastAsia="zh-CN" w:bidi="ar-SA"/>
              </w:rPr>
            </w:pPr>
          </w:p>
        </w:tc>
        <w:tc>
          <w:tcPr>
            <w:tcW w:w="27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both"/>
              <w:rPr>
                <w:rFonts w:ascii="宋体" w:hAnsi="宋体" w:eastAsia="宋体" w:cs="宋体"/>
                <w:sz w:val="18"/>
                <w:szCs w:val="18"/>
                <w:lang w:eastAsia="zh-CN" w:bidi="ar-SA"/>
              </w:rPr>
            </w:pPr>
            <w:r>
              <w:rPr>
                <w:rFonts w:hint="eastAsia" w:ascii="宋体" w:hAnsi="宋体" w:eastAsia="宋体" w:cs="宋体"/>
                <w:sz w:val="18"/>
                <w:szCs w:val="18"/>
                <w:lang w:eastAsia="zh-CN" w:bidi="ar-SA"/>
              </w:rPr>
              <w:t>年度资金总额</w:t>
            </w: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10.00</w:t>
            </w:r>
          </w:p>
        </w:tc>
        <w:tc>
          <w:tcPr>
            <w:tcW w:w="15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10.00</w:t>
            </w:r>
          </w:p>
        </w:tc>
        <w:tc>
          <w:tcPr>
            <w:tcW w:w="10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w:t>
            </w:r>
          </w:p>
        </w:tc>
        <w:tc>
          <w:tcPr>
            <w:tcW w:w="7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60" w:hRule="atLeast"/>
          <w:jc w:val="center"/>
        </w:trPr>
        <w:tc>
          <w:tcPr>
            <w:tcW w:w="16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rPr>
                <w:rFonts w:ascii="宋体" w:hAnsi="宋体" w:eastAsia="宋体" w:cs="宋体"/>
                <w:sz w:val="18"/>
                <w:szCs w:val="18"/>
                <w:lang w:eastAsia="zh-CN" w:bidi="ar-SA"/>
              </w:rPr>
            </w:pPr>
          </w:p>
        </w:tc>
        <w:tc>
          <w:tcPr>
            <w:tcW w:w="27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其中：当年财政拨款</w:t>
            </w: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10.00</w:t>
            </w:r>
          </w:p>
        </w:tc>
        <w:tc>
          <w:tcPr>
            <w:tcW w:w="15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10.00</w:t>
            </w:r>
          </w:p>
        </w:tc>
        <w:tc>
          <w:tcPr>
            <w:tcW w:w="10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Layout w:type="fixed"/>
          <w:tblCellMar>
            <w:top w:w="0" w:type="dxa"/>
            <w:left w:w="108" w:type="dxa"/>
            <w:bottom w:w="0" w:type="dxa"/>
            <w:right w:w="108" w:type="dxa"/>
          </w:tblCellMar>
        </w:tblPrEx>
        <w:trPr>
          <w:trHeight w:val="360" w:hRule="atLeast"/>
          <w:jc w:val="center"/>
        </w:trPr>
        <w:tc>
          <w:tcPr>
            <w:tcW w:w="16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rPr>
                <w:rFonts w:ascii="宋体" w:hAnsi="宋体" w:eastAsia="宋体" w:cs="宋体"/>
                <w:sz w:val="18"/>
                <w:szCs w:val="18"/>
                <w:lang w:eastAsia="zh-CN" w:bidi="ar-SA"/>
              </w:rPr>
            </w:pPr>
          </w:p>
        </w:tc>
        <w:tc>
          <w:tcPr>
            <w:tcW w:w="27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xml:space="preserve">  其他资金</w:t>
            </w:r>
          </w:p>
        </w:tc>
        <w:tc>
          <w:tcPr>
            <w:tcW w:w="12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w:t>
            </w:r>
          </w:p>
        </w:tc>
        <w:tc>
          <w:tcPr>
            <w:tcW w:w="15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0.00</w:t>
            </w:r>
          </w:p>
        </w:tc>
        <w:tc>
          <w:tcPr>
            <w:tcW w:w="10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c>
          <w:tcPr>
            <w:tcW w:w="74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w:t>
            </w:r>
          </w:p>
        </w:tc>
      </w:tr>
      <w:tr>
        <w:tblPrEx>
          <w:tblLayout w:type="fixed"/>
          <w:tblCellMar>
            <w:top w:w="0" w:type="dxa"/>
            <w:left w:w="108" w:type="dxa"/>
            <w:bottom w:w="0" w:type="dxa"/>
            <w:right w:w="108" w:type="dxa"/>
          </w:tblCellMar>
        </w:tblPrEx>
        <w:trPr>
          <w:trHeight w:val="360" w:hRule="atLeast"/>
          <w:jc w:val="center"/>
        </w:trPr>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年度总体目标</w:t>
            </w:r>
          </w:p>
        </w:tc>
        <w:tc>
          <w:tcPr>
            <w:tcW w:w="6500"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预期目标</w:t>
            </w:r>
          </w:p>
        </w:tc>
        <w:tc>
          <w:tcPr>
            <w:tcW w:w="2942"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实际完成情况</w:t>
            </w:r>
          </w:p>
        </w:tc>
      </w:tr>
      <w:tr>
        <w:tblPrEx>
          <w:tblLayout w:type="fixed"/>
          <w:tblCellMar>
            <w:top w:w="0" w:type="dxa"/>
            <w:left w:w="108" w:type="dxa"/>
            <w:bottom w:w="0" w:type="dxa"/>
            <w:right w:w="108" w:type="dxa"/>
          </w:tblCellMar>
        </w:tblPrEx>
        <w:trPr>
          <w:trHeight w:val="825" w:hRule="atLeast"/>
          <w:jc w:val="center"/>
        </w:trPr>
        <w:tc>
          <w:tcPr>
            <w:tcW w:w="68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6500" w:type="dxa"/>
            <w:gridSpan w:val="6"/>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加强监督派驻部门对中央和自治区、市委重大决策部署执行情况，通过查处有令不行、有禁不止的行为，监督检查新形势下党内政治生活若干准则等制度执行情况，发现问题及时督促整改，达到营造廉洁勤政氛围的目的。</w:t>
            </w:r>
          </w:p>
        </w:tc>
        <w:tc>
          <w:tcPr>
            <w:tcW w:w="2942"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60" w:hRule="atLeast"/>
          <w:jc w:val="center"/>
        </w:trPr>
        <w:tc>
          <w:tcPr>
            <w:tcW w:w="680" w:type="dxa"/>
            <w:vMerge w:val="restart"/>
            <w:tcBorders>
              <w:top w:val="nil"/>
              <w:left w:val="single" w:color="auto" w:sz="8" w:space="0"/>
              <w:bottom w:val="nil"/>
              <w:right w:val="single" w:color="auto" w:sz="8" w:space="0"/>
            </w:tcBorders>
            <w:shd w:val="clear" w:color="auto" w:fill="auto"/>
            <w:textDirection w:val="tbRlV"/>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绩效指标</w:t>
            </w:r>
          </w:p>
        </w:tc>
        <w:tc>
          <w:tcPr>
            <w:tcW w:w="9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一级指标</w:t>
            </w:r>
          </w:p>
        </w:tc>
        <w:tc>
          <w:tcPr>
            <w:tcW w:w="17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二级指标</w:t>
            </w:r>
          </w:p>
        </w:tc>
        <w:tc>
          <w:tcPr>
            <w:tcW w:w="2700"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三级指标</w:t>
            </w:r>
          </w:p>
        </w:tc>
        <w:tc>
          <w:tcPr>
            <w:tcW w:w="1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年度指标值</w:t>
            </w:r>
          </w:p>
        </w:tc>
        <w:tc>
          <w:tcPr>
            <w:tcW w:w="6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实际完成值</w:t>
            </w:r>
          </w:p>
        </w:tc>
        <w:tc>
          <w:tcPr>
            <w:tcW w:w="62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分值</w:t>
            </w:r>
          </w:p>
        </w:tc>
        <w:tc>
          <w:tcPr>
            <w:tcW w:w="68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得分</w:t>
            </w:r>
          </w:p>
        </w:tc>
        <w:tc>
          <w:tcPr>
            <w:tcW w:w="10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偏差原因分析及改进措施</w:t>
            </w:r>
          </w:p>
        </w:tc>
      </w:tr>
      <w:tr>
        <w:tblPrEx>
          <w:tblLayout w:type="fixed"/>
          <w:tblCellMar>
            <w:top w:w="0" w:type="dxa"/>
            <w:left w:w="108" w:type="dxa"/>
            <w:bottom w:w="0" w:type="dxa"/>
            <w:right w:w="108" w:type="dxa"/>
          </w:tblCellMar>
        </w:tblPrEx>
        <w:trPr>
          <w:trHeight w:val="36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vMerge w:val="continue"/>
            <w:tcBorders>
              <w:top w:val="single" w:color="auto" w:sz="8" w:space="0"/>
              <w:left w:val="single" w:color="auto" w:sz="8" w:space="0"/>
              <w:bottom w:val="single" w:color="000000" w:sz="8" w:space="0"/>
              <w:right w:val="single" w:color="000000" w:sz="8" w:space="0"/>
            </w:tcBorders>
            <w:vAlign w:val="center"/>
          </w:tcPr>
          <w:p>
            <w:pPr>
              <w:widowControl/>
              <w:rPr>
                <w:rFonts w:ascii="宋体" w:hAnsi="宋体" w:eastAsia="宋体" w:cs="宋体"/>
                <w:sz w:val="18"/>
                <w:szCs w:val="18"/>
                <w:lang w:eastAsia="zh-CN" w:bidi="ar-SA"/>
              </w:rPr>
            </w:pPr>
          </w:p>
        </w:tc>
        <w:tc>
          <w:tcPr>
            <w:tcW w:w="112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64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62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rPr>
                <w:rFonts w:ascii="宋体" w:hAnsi="宋体" w:eastAsia="宋体" w:cs="宋体"/>
                <w:sz w:val="18"/>
                <w:szCs w:val="18"/>
                <w:lang w:eastAsia="zh-CN" w:bidi="ar-SA"/>
              </w:rPr>
            </w:pPr>
          </w:p>
        </w:tc>
        <w:tc>
          <w:tcPr>
            <w:tcW w:w="68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rPr>
                <w:rFonts w:ascii="宋体" w:hAnsi="宋体" w:eastAsia="宋体" w:cs="宋体"/>
                <w:sz w:val="18"/>
                <w:szCs w:val="18"/>
                <w:lang w:eastAsia="zh-CN" w:bidi="ar-SA"/>
              </w:rPr>
            </w:pPr>
          </w:p>
        </w:tc>
        <w:tc>
          <w:tcPr>
            <w:tcW w:w="10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rPr>
                <w:rFonts w:ascii="宋体" w:hAnsi="宋体" w:eastAsia="宋体" w:cs="宋体"/>
                <w:sz w:val="18"/>
                <w:szCs w:val="18"/>
                <w:lang w:eastAsia="zh-CN" w:bidi="ar-SA"/>
              </w:rPr>
            </w:pP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产出指标（50分）</w:t>
            </w:r>
          </w:p>
        </w:tc>
        <w:tc>
          <w:tcPr>
            <w:tcW w:w="17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数量指标</w:t>
            </w: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纪检组长讲廉政党课次数</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≥1次</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4</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组织警示教育次数</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≥1次</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4</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监督检查次数</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≥3次</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4</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发监督建议书份数</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≥3份</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4</w:t>
            </w:r>
          </w:p>
        </w:tc>
        <w:tc>
          <w:tcPr>
            <w:tcW w:w="40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2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46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商品和服务支出科目</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≥2项</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2</w:t>
            </w:r>
          </w:p>
        </w:tc>
        <w:tc>
          <w:tcPr>
            <w:tcW w:w="40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2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46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购置专用设备种类</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≥1类</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2</w:t>
            </w:r>
          </w:p>
        </w:tc>
        <w:tc>
          <w:tcPr>
            <w:tcW w:w="40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2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46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质量指标</w:t>
            </w: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发现问题整改率</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100%</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4</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验收合格率</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100%</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4</w:t>
            </w:r>
          </w:p>
        </w:tc>
        <w:tc>
          <w:tcPr>
            <w:tcW w:w="40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2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46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45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时效指标</w:t>
            </w: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党课培训时间</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2021年1月-12月</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5</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51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监督检查时间</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2021年1月-12月</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5</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问题整改及时率</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100%</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4</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single" w:color="000000" w:sz="8" w:space="0"/>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购置及时率</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100%</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4</w:t>
            </w:r>
          </w:p>
        </w:tc>
        <w:tc>
          <w:tcPr>
            <w:tcW w:w="40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2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46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成本指标</w:t>
            </w: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商品和服务支出成本</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≤6万元</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2</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购置专用设备成本</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≤4万元</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2</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效益指标（30分）</w:t>
            </w:r>
          </w:p>
        </w:tc>
        <w:tc>
          <w:tcPr>
            <w:tcW w:w="1700"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经济效益指标</w:t>
            </w: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无</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无</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single" w:color="auto" w:sz="8" w:space="0"/>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社会效益指标</w:t>
            </w: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纪检组自身建设水平</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有所提高</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single" w:color="auto" w:sz="8" w:space="0"/>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vMerge w:val="continue"/>
            <w:tcBorders>
              <w:top w:val="single" w:color="auto" w:sz="8" w:space="0"/>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保障部门工作正常运转</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有效保障</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single" w:color="auto" w:sz="8" w:space="0"/>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生态效益指标</w:t>
            </w: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无</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无</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vMerge w:val="continue"/>
            <w:tcBorders>
              <w:top w:val="single" w:color="auto" w:sz="8" w:space="0"/>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1700"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可持续影响指标</w:t>
            </w: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营造廉洁勤政氛围</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长期</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435" w:hRule="atLeast"/>
          <w:jc w:val="center"/>
        </w:trPr>
        <w:tc>
          <w:tcPr>
            <w:tcW w:w="680" w:type="dxa"/>
            <w:vMerge w:val="continue"/>
            <w:tcBorders>
              <w:top w:val="nil"/>
              <w:left w:val="single" w:color="auto" w:sz="8" w:space="0"/>
              <w:bottom w:val="nil"/>
              <w:right w:val="single" w:color="auto" w:sz="8" w:space="0"/>
            </w:tcBorders>
            <w:vAlign w:val="center"/>
          </w:tcPr>
          <w:p>
            <w:pPr>
              <w:widowControl/>
              <w:rPr>
                <w:rFonts w:ascii="宋体" w:hAnsi="宋体" w:eastAsia="宋体" w:cs="宋体"/>
                <w:sz w:val="18"/>
                <w:szCs w:val="18"/>
                <w:lang w:eastAsia="zh-CN" w:bidi="ar-SA"/>
              </w:rPr>
            </w:pPr>
          </w:p>
        </w:tc>
        <w:tc>
          <w:tcPr>
            <w:tcW w:w="980"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满意度指标（10分）</w:t>
            </w:r>
          </w:p>
        </w:tc>
        <w:tc>
          <w:tcPr>
            <w:tcW w:w="1700"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服务对象满意度指标</w:t>
            </w:r>
          </w:p>
        </w:tc>
        <w:tc>
          <w:tcPr>
            <w:tcW w:w="270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eastAsia="宋体" w:cs="宋体"/>
                <w:sz w:val="18"/>
                <w:szCs w:val="18"/>
                <w:lang w:eastAsia="zh-CN" w:bidi="ar-SA"/>
              </w:rPr>
            </w:pPr>
            <w:r>
              <w:rPr>
                <w:rFonts w:hint="eastAsia" w:ascii="宋体" w:hAnsi="宋体" w:eastAsia="宋体" w:cs="宋体"/>
                <w:sz w:val="18"/>
                <w:szCs w:val="18"/>
                <w:lang w:eastAsia="zh-CN" w:bidi="ar-SA"/>
              </w:rPr>
              <w:t>派驻纪检组满意度</w:t>
            </w:r>
          </w:p>
        </w:tc>
        <w:tc>
          <w:tcPr>
            <w:tcW w:w="11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≥90%</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r>
        <w:tblPrEx>
          <w:tblLayout w:type="fixed"/>
          <w:tblCellMar>
            <w:top w:w="0" w:type="dxa"/>
            <w:left w:w="108" w:type="dxa"/>
            <w:bottom w:w="0" w:type="dxa"/>
            <w:right w:w="108" w:type="dxa"/>
          </w:tblCellMar>
        </w:tblPrEx>
        <w:trPr>
          <w:trHeight w:val="330" w:hRule="atLeast"/>
          <w:jc w:val="center"/>
        </w:trPr>
        <w:tc>
          <w:tcPr>
            <w:tcW w:w="7820" w:type="dxa"/>
            <w:gridSpan w:val="8"/>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总分</w:t>
            </w:r>
          </w:p>
        </w:tc>
        <w:tc>
          <w:tcPr>
            <w:tcW w:w="62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100</w:t>
            </w:r>
          </w:p>
        </w:tc>
        <w:tc>
          <w:tcPr>
            <w:tcW w:w="68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c>
          <w:tcPr>
            <w:tcW w:w="100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sz w:val="18"/>
                <w:szCs w:val="18"/>
                <w:lang w:eastAsia="zh-CN" w:bidi="ar-SA"/>
              </w:rPr>
            </w:pPr>
            <w:r>
              <w:rPr>
                <w:rFonts w:hint="eastAsia" w:ascii="宋体" w:hAnsi="宋体" w:eastAsia="宋体" w:cs="宋体"/>
                <w:sz w:val="18"/>
                <w:szCs w:val="18"/>
                <w:lang w:eastAsia="zh-CN" w:bidi="ar-SA"/>
              </w:rPr>
              <w:t>　</w:t>
            </w:r>
          </w:p>
        </w:tc>
      </w:tr>
    </w:tbl>
    <w:p>
      <w:pPr>
        <w:rPr>
          <w:rFonts w:ascii="宋体" w:hAnsi="宋体" w:eastAsia="宋体" w:cs="宋体"/>
          <w:b/>
          <w:sz w:val="36"/>
          <w:szCs w:val="36"/>
          <w:lang w:eastAsia="zh-CN"/>
        </w:rPr>
      </w:pPr>
    </w:p>
    <w:sectPr>
      <w:pgSz w:w="11900" w:h="16840"/>
      <w:pgMar w:top="1701" w:right="1684" w:bottom="1701" w:left="1536" w:header="874" w:footer="6" w:gutter="0"/>
      <w:cols w:space="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ge">
                <wp:posOffset>9447530</wp:posOffset>
              </wp:positionV>
              <wp:extent cx="45720"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45720" cy="82550"/>
                      </a:xfrm>
                      <a:prstGeom prst="rect">
                        <a:avLst/>
                      </a:prstGeom>
                      <a:noFill/>
                      <a:ln>
                        <a:noFill/>
                      </a:ln>
                      <a:effectLst/>
                    </wps:spPr>
                    <wps:txbx>
                      <w:txbxContent>
                        <w:p>
                          <w:pPr>
                            <w:pStyle w:val="11"/>
                            <w:rPr>
                              <w:sz w:val="17"/>
                              <w:szCs w:val="17"/>
                            </w:rPr>
                          </w:pPr>
                          <w:r>
                            <w:fldChar w:fldCharType="begin"/>
                          </w:r>
                          <w:r>
                            <w:instrText xml:space="preserve"> PAGE \* MERGEFORMAT </w:instrText>
                          </w:r>
                          <w:r>
                            <w:fldChar w:fldCharType="separate"/>
                          </w:r>
                          <w:r>
                            <w:rPr>
                              <w:b/>
                              <w:bCs/>
                              <w:sz w:val="17"/>
                              <w:szCs w:val="17"/>
                            </w:rPr>
                            <w:t>2</w:t>
                          </w:r>
                          <w:r>
                            <w:rPr>
                              <w:b/>
                              <w:bCs/>
                              <w:sz w:val="17"/>
                              <w:szCs w:val="17"/>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top:743.9pt;height:6.5pt;width:3.6pt;mso-position-horizontal:center;mso-position-horizontal-relative:margin;mso-position-vertical-relative:page;mso-wrap-style:none;z-index:251657216;mso-width-relative:page;mso-height-relative:page;" filled="f" stroked="f" coordsize="21600,21600" o:gfxdata="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oQZA51AAAAAgBAAAPAAAAAAAAAAEAIAAA&#10;ACIAAABkcnMvZG93bnJldi54bWxQSwECFAAUAAAACACHTuJALPaSqZ4BAABFAwAADgAAAAAAAAAB&#10;ACAAAAAjAQAAZHJzL2Uyb0RvYy54bWxQSwUGAAAAAAYABgBZAQAAMwUAAAAA&#10;">
              <v:fill on="f" focussize="0,0"/>
              <v:stroke on="f"/>
              <v:imagedata o:title=""/>
              <o:lock v:ext="edit" aspectratio="f"/>
              <v:textbox inset="0mm,0mm,0mm,0mm" style="mso-fit-shape-to-text:t;">
                <w:txbxContent>
                  <w:p>
                    <w:pPr>
                      <w:pStyle w:val="11"/>
                      <w:rPr>
                        <w:sz w:val="17"/>
                        <w:szCs w:val="17"/>
                      </w:rPr>
                    </w:pPr>
                    <w:r>
                      <w:fldChar w:fldCharType="begin"/>
                    </w:r>
                    <w:r>
                      <w:instrText xml:space="preserve"> PAGE \* MERGEFORMAT </w:instrText>
                    </w:r>
                    <w:r>
                      <w:fldChar w:fldCharType="separate"/>
                    </w:r>
                    <w:r>
                      <w:rPr>
                        <w:b/>
                        <w:bCs/>
                        <w:sz w:val="17"/>
                        <w:szCs w:val="17"/>
                      </w:rPr>
                      <w:t>2</w:t>
                    </w:r>
                    <w:r>
                      <w:rPr>
                        <w:b/>
                        <w:bCs/>
                        <w:sz w:val="17"/>
                        <w:szCs w:val="17"/>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ge">
                <wp:posOffset>9845040</wp:posOffset>
              </wp:positionV>
              <wp:extent cx="50165" cy="82550"/>
              <wp:effectExtent l="0" t="0" r="0" b="0"/>
              <wp:wrapNone/>
              <wp:docPr id="5" name="Shape 5"/>
              <wp:cNvGraphicFramePr/>
              <a:graphic xmlns:a="http://schemas.openxmlformats.org/drawingml/2006/main">
                <a:graphicData uri="http://schemas.microsoft.com/office/word/2010/wordprocessingShape">
                  <wps:wsp>
                    <wps:cNvSpPr txBox="1"/>
                    <wps:spPr>
                      <a:xfrm>
                        <a:off x="0" y="0"/>
                        <a:ext cx="50165" cy="82550"/>
                      </a:xfrm>
                      <a:prstGeom prst="rect">
                        <a:avLst/>
                      </a:prstGeom>
                      <a:noFill/>
                      <a:ln>
                        <a:noFill/>
                      </a:ln>
                      <a:effectLst/>
                    </wps:spPr>
                    <wps:txbx>
                      <w:txbxContent>
                        <w:p>
                          <w:pPr>
                            <w:pStyle w:val="11"/>
                            <w:rPr>
                              <w:sz w:val="17"/>
                              <w:szCs w:val="17"/>
                            </w:rPr>
                          </w:pPr>
                          <w:r>
                            <w:fldChar w:fldCharType="begin"/>
                          </w:r>
                          <w:r>
                            <w:instrText xml:space="preserve"> PAGE \* MERGEFORMAT </w:instrText>
                          </w:r>
                          <w:r>
                            <w:fldChar w:fldCharType="separate"/>
                          </w:r>
                          <w:r>
                            <w:rPr>
                              <w:b/>
                              <w:bCs/>
                              <w:sz w:val="17"/>
                              <w:szCs w:val="17"/>
                            </w:rPr>
                            <w:t>1</w:t>
                          </w:r>
                          <w:r>
                            <w:rPr>
                              <w:b/>
                              <w:bCs/>
                              <w:sz w:val="17"/>
                              <w:szCs w:val="17"/>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top:775.2pt;height:6.5pt;width:3.95pt;mso-position-horizontal:center;mso-position-horizontal-relative:margin;mso-position-vertical-relative:page;mso-wrap-style:none;z-index:251656192;mso-width-relative:page;mso-height-relative:page;" filled="f" stroked="f" coordsize="21600,21600" o:gfxdata="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cYL2NQAAAAIAQAADwAAAAAAAAABACAAAAAi&#10;AAAAZHJzL2Rvd25yZXYueG1sUEsBAhQAFAAAAAgAh07iQL00a6qcAQAARQMAAA4AAAAAAAAAAQAg&#10;AAAAIwEAAGRycy9lMm9Eb2MueG1sUEsFBgAAAAAGAAYAWQEAADEFAAAAAA==&#10;">
              <v:fill on="f" focussize="0,0"/>
              <v:stroke on="f"/>
              <v:imagedata o:title=""/>
              <o:lock v:ext="edit" aspectratio="f"/>
              <v:textbox inset="0mm,0mm,0mm,0mm" style="mso-fit-shape-to-text:t;">
                <w:txbxContent>
                  <w:p>
                    <w:pPr>
                      <w:pStyle w:val="11"/>
                      <w:rPr>
                        <w:sz w:val="17"/>
                        <w:szCs w:val="17"/>
                      </w:rPr>
                    </w:pPr>
                    <w:r>
                      <w:fldChar w:fldCharType="begin"/>
                    </w:r>
                    <w:r>
                      <w:instrText xml:space="preserve"> PAGE \* MERGEFORMAT </w:instrText>
                    </w:r>
                    <w:r>
                      <w:fldChar w:fldCharType="separate"/>
                    </w:r>
                    <w:r>
                      <w:rPr>
                        <w:b/>
                        <w:bCs/>
                        <w:sz w:val="17"/>
                        <w:szCs w:val="17"/>
                      </w:rPr>
                      <w:t>1</w:t>
                    </w:r>
                    <w:r>
                      <w:rPr>
                        <w:b/>
                        <w:bCs/>
                        <w:sz w:val="17"/>
                        <w:szCs w:val="17"/>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9957435</wp:posOffset>
              </wp:positionV>
              <wp:extent cx="95885" cy="82550"/>
              <wp:effectExtent l="0" t="0" r="0" b="0"/>
              <wp:wrapNone/>
              <wp:docPr id="7" name="Shape 7"/>
              <wp:cNvGraphicFramePr/>
              <a:graphic xmlns:a="http://schemas.openxmlformats.org/drawingml/2006/main">
                <a:graphicData uri="http://schemas.microsoft.com/office/word/2010/wordprocessingShape">
                  <wps:wsp>
                    <wps:cNvSpPr txBox="1"/>
                    <wps:spPr>
                      <a:xfrm>
                        <a:off x="0" y="0"/>
                        <a:ext cx="95885" cy="82550"/>
                      </a:xfrm>
                      <a:prstGeom prst="rect">
                        <a:avLst/>
                      </a:prstGeom>
                      <a:noFill/>
                      <a:ln>
                        <a:noFill/>
                      </a:ln>
                      <a:effectLst/>
                    </wps:spPr>
                    <wps:txbx>
                      <w:txbxContent>
                        <w:p>
                          <w:pPr>
                            <w:pStyle w:val="11"/>
                            <w:rPr>
                              <w:sz w:val="17"/>
                              <w:szCs w:val="17"/>
                            </w:rPr>
                          </w:pPr>
                          <w:r>
                            <w:fldChar w:fldCharType="begin"/>
                          </w:r>
                          <w:r>
                            <w:instrText xml:space="preserve"> PAGE \* MERGEFORMAT </w:instrText>
                          </w:r>
                          <w:r>
                            <w:fldChar w:fldCharType="separate"/>
                          </w:r>
                          <w:r>
                            <w:rPr>
                              <w:b/>
                              <w:bCs/>
                              <w:sz w:val="17"/>
                              <w:szCs w:val="17"/>
                            </w:rPr>
                            <w:t>5</w:t>
                          </w:r>
                          <w:r>
                            <w:rPr>
                              <w:b/>
                              <w:bCs/>
                              <w:sz w:val="17"/>
                              <w:szCs w:val="17"/>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top:784.05pt;height:6.5pt;width:7.55pt;mso-position-horizontal:center;mso-position-horizontal-relative:margin;mso-position-vertical-relative:page;mso-wrap-style:none;z-index:251658240;mso-width-relative:page;mso-height-relative:page;" filled="f" stroked="f" coordsize="21600,21600" o:gfxdata="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9Q+J/TAAAACQEAAA8AAAAAAAAAAQAgAAAA&#10;IgAAAGRycy9kb3ducmV2LnhtbFBLAQIUABQAAAAIAIdO4kCXqbuXngEAAEUDAAAOAAAAAAAAAAEA&#10;IAAAACIBAABkcnMvZTJvRG9jLnhtbFBLBQYAAAAABgAGAFkBAAAyBQAAAAA=&#10;">
              <v:fill on="f" focussize="0,0"/>
              <v:stroke on="f"/>
              <v:imagedata o:title=""/>
              <o:lock v:ext="edit" aspectratio="f"/>
              <v:textbox inset="0mm,0mm,0mm,0mm" style="mso-fit-shape-to-text:t;">
                <w:txbxContent>
                  <w:p>
                    <w:pPr>
                      <w:pStyle w:val="11"/>
                      <w:rPr>
                        <w:sz w:val="17"/>
                        <w:szCs w:val="17"/>
                      </w:rPr>
                    </w:pPr>
                    <w:r>
                      <w:fldChar w:fldCharType="begin"/>
                    </w:r>
                    <w:r>
                      <w:instrText xml:space="preserve"> PAGE \* MERGEFORMAT </w:instrText>
                    </w:r>
                    <w:r>
                      <w:fldChar w:fldCharType="separate"/>
                    </w:r>
                    <w:r>
                      <w:rPr>
                        <w:b/>
                        <w:bCs/>
                        <w:sz w:val="17"/>
                        <w:szCs w:val="17"/>
                      </w:rPr>
                      <w:t>5</w:t>
                    </w:r>
                    <w:r>
                      <w:rPr>
                        <w:b/>
                        <w:bCs/>
                        <w:sz w:val="17"/>
                        <w:szCs w:val="1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9938385</wp:posOffset>
              </wp:positionV>
              <wp:extent cx="86995" cy="82550"/>
              <wp:effectExtent l="0" t="0" r="0" b="0"/>
              <wp:wrapNone/>
              <wp:docPr id="15" name="Shape 15"/>
              <wp:cNvGraphicFramePr/>
              <a:graphic xmlns:a="http://schemas.openxmlformats.org/drawingml/2006/main">
                <a:graphicData uri="http://schemas.microsoft.com/office/word/2010/wordprocessingShape">
                  <wps:wsp>
                    <wps:cNvSpPr txBox="1"/>
                    <wps:spPr>
                      <a:xfrm>
                        <a:off x="0" y="0"/>
                        <a:ext cx="86995" cy="82550"/>
                      </a:xfrm>
                      <a:prstGeom prst="rect">
                        <a:avLst/>
                      </a:prstGeom>
                      <a:noFill/>
                      <a:ln>
                        <a:noFill/>
                      </a:ln>
                      <a:effectLst/>
                    </wps:spPr>
                    <wps:txbx>
                      <w:txbxContent>
                        <w:p>
                          <w:pPr>
                            <w:pStyle w:val="25"/>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top:782.55pt;height:6.5pt;width:6.85pt;mso-position-horizontal:center;mso-position-horizontal-relative:margin;mso-position-vertical-relative:page;mso-wrap-style:none;z-index:251659264;mso-width-relative:page;mso-height-relative:page;" filled="f" stroked="f" coordsize="21600,21600" o:gfxdata="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NSK1LUAAAACQEAAA8AAAAAAAAAAQAgAAAA&#10;IgAAAGRycy9kb3ducmV2LnhtbFBLAQIUABQAAAAIAIdO4kCs5b9tnQEAAEcDAAAOAAAAAAAAAAEA&#10;IAAAACMBAABkcnMvZTJvRG9jLnhtbFBLBQYAAAAABgAGAFkBAAAy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14FC4611"/>
    <w:multiLevelType w:val="multilevel"/>
    <w:tmpl w:val="14FC461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EB50BE0"/>
    <w:multiLevelType w:val="singleLevel"/>
    <w:tmpl w:val="5EB50BE0"/>
    <w:lvl w:ilvl="0" w:tentative="0">
      <w:start w:val="4"/>
      <w:numFmt w:val="chineseCounting"/>
      <w:suff w:val="nothing"/>
      <w:lvlText w:val="第%1部"/>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81"/>
  <w:drawingGridVerticalSpacing w:val="18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E5"/>
    <w:rsid w:val="00037048"/>
    <w:rsid w:val="000813B8"/>
    <w:rsid w:val="000A62E3"/>
    <w:rsid w:val="000B14A7"/>
    <w:rsid w:val="000B40F4"/>
    <w:rsid w:val="00140BE2"/>
    <w:rsid w:val="00157FE9"/>
    <w:rsid w:val="001774CC"/>
    <w:rsid w:val="00192FD9"/>
    <w:rsid w:val="001A578B"/>
    <w:rsid w:val="001D0AC8"/>
    <w:rsid w:val="00200A94"/>
    <w:rsid w:val="0022022F"/>
    <w:rsid w:val="00227C36"/>
    <w:rsid w:val="00244878"/>
    <w:rsid w:val="0027296A"/>
    <w:rsid w:val="0027442E"/>
    <w:rsid w:val="002C4FB6"/>
    <w:rsid w:val="002E6A42"/>
    <w:rsid w:val="00330580"/>
    <w:rsid w:val="00344577"/>
    <w:rsid w:val="00381BAD"/>
    <w:rsid w:val="003D4C5D"/>
    <w:rsid w:val="003D76FA"/>
    <w:rsid w:val="003F2EF3"/>
    <w:rsid w:val="004276C3"/>
    <w:rsid w:val="004545E8"/>
    <w:rsid w:val="00454DB9"/>
    <w:rsid w:val="00465B0F"/>
    <w:rsid w:val="00487A7B"/>
    <w:rsid w:val="004D7090"/>
    <w:rsid w:val="00586FE2"/>
    <w:rsid w:val="00591047"/>
    <w:rsid w:val="005B2B53"/>
    <w:rsid w:val="00614466"/>
    <w:rsid w:val="0068245B"/>
    <w:rsid w:val="00685815"/>
    <w:rsid w:val="006C4319"/>
    <w:rsid w:val="006E7B3D"/>
    <w:rsid w:val="006F58E8"/>
    <w:rsid w:val="00704E7A"/>
    <w:rsid w:val="0071508B"/>
    <w:rsid w:val="00742F6B"/>
    <w:rsid w:val="00762D14"/>
    <w:rsid w:val="007C28FE"/>
    <w:rsid w:val="007E03FE"/>
    <w:rsid w:val="008113E5"/>
    <w:rsid w:val="00872A93"/>
    <w:rsid w:val="00874AB3"/>
    <w:rsid w:val="008805F7"/>
    <w:rsid w:val="008D19AE"/>
    <w:rsid w:val="00921AD4"/>
    <w:rsid w:val="00976C5F"/>
    <w:rsid w:val="00995C81"/>
    <w:rsid w:val="00996066"/>
    <w:rsid w:val="00A3385B"/>
    <w:rsid w:val="00A42B9A"/>
    <w:rsid w:val="00A81438"/>
    <w:rsid w:val="00AA3DE3"/>
    <w:rsid w:val="00AC179E"/>
    <w:rsid w:val="00B01270"/>
    <w:rsid w:val="00B57782"/>
    <w:rsid w:val="00B7525C"/>
    <w:rsid w:val="00BB550A"/>
    <w:rsid w:val="00BC7E26"/>
    <w:rsid w:val="00BF0FED"/>
    <w:rsid w:val="00C20F18"/>
    <w:rsid w:val="00C46F0E"/>
    <w:rsid w:val="00C535E8"/>
    <w:rsid w:val="00CB3D5A"/>
    <w:rsid w:val="00CC0DC9"/>
    <w:rsid w:val="00E224FE"/>
    <w:rsid w:val="00E31802"/>
    <w:rsid w:val="00E614BF"/>
    <w:rsid w:val="00E70D98"/>
    <w:rsid w:val="00E93EE3"/>
    <w:rsid w:val="00EE11E6"/>
    <w:rsid w:val="00F14BDD"/>
    <w:rsid w:val="00F24A4E"/>
    <w:rsid w:val="00F25355"/>
    <w:rsid w:val="00F43E34"/>
    <w:rsid w:val="00F601FE"/>
    <w:rsid w:val="00F62E1F"/>
    <w:rsid w:val="00F739A4"/>
    <w:rsid w:val="00FB2970"/>
    <w:rsid w:val="00FF7694"/>
    <w:rsid w:val="01662201"/>
    <w:rsid w:val="016B4636"/>
    <w:rsid w:val="01804808"/>
    <w:rsid w:val="01B61722"/>
    <w:rsid w:val="02EC4FDC"/>
    <w:rsid w:val="03DF7370"/>
    <w:rsid w:val="0491530D"/>
    <w:rsid w:val="052473D5"/>
    <w:rsid w:val="06230449"/>
    <w:rsid w:val="0922000F"/>
    <w:rsid w:val="0A871399"/>
    <w:rsid w:val="0B2319A9"/>
    <w:rsid w:val="0B486EF8"/>
    <w:rsid w:val="0B6F65EC"/>
    <w:rsid w:val="0D2B4FB2"/>
    <w:rsid w:val="0D9C5366"/>
    <w:rsid w:val="11C338EA"/>
    <w:rsid w:val="11C34A06"/>
    <w:rsid w:val="1240024E"/>
    <w:rsid w:val="13081EF3"/>
    <w:rsid w:val="15124412"/>
    <w:rsid w:val="16491A69"/>
    <w:rsid w:val="1965268F"/>
    <w:rsid w:val="1A2652E4"/>
    <w:rsid w:val="1A2E1373"/>
    <w:rsid w:val="1A5165BB"/>
    <w:rsid w:val="1AE639F3"/>
    <w:rsid w:val="1CD56FE5"/>
    <w:rsid w:val="1CF57615"/>
    <w:rsid w:val="1EFF5593"/>
    <w:rsid w:val="20E703FB"/>
    <w:rsid w:val="26221A2A"/>
    <w:rsid w:val="282A12FD"/>
    <w:rsid w:val="2A9F7458"/>
    <w:rsid w:val="2AD85D9E"/>
    <w:rsid w:val="2C0F4644"/>
    <w:rsid w:val="2C3D199E"/>
    <w:rsid w:val="2EA31D50"/>
    <w:rsid w:val="2EEC4D13"/>
    <w:rsid w:val="2FDF19DE"/>
    <w:rsid w:val="315C158A"/>
    <w:rsid w:val="31D60666"/>
    <w:rsid w:val="323806CF"/>
    <w:rsid w:val="34D52AD3"/>
    <w:rsid w:val="369F37DF"/>
    <w:rsid w:val="36D92F76"/>
    <w:rsid w:val="38587262"/>
    <w:rsid w:val="38B5450E"/>
    <w:rsid w:val="38BA5006"/>
    <w:rsid w:val="3A004853"/>
    <w:rsid w:val="3B6361ED"/>
    <w:rsid w:val="3D815C79"/>
    <w:rsid w:val="3DAF6D69"/>
    <w:rsid w:val="3E0026D4"/>
    <w:rsid w:val="4029683A"/>
    <w:rsid w:val="407813D2"/>
    <w:rsid w:val="42E32CB5"/>
    <w:rsid w:val="438A5148"/>
    <w:rsid w:val="46CA598C"/>
    <w:rsid w:val="46DF47CC"/>
    <w:rsid w:val="479F1BCE"/>
    <w:rsid w:val="489479F8"/>
    <w:rsid w:val="4B4A1D91"/>
    <w:rsid w:val="4C157AF2"/>
    <w:rsid w:val="4C584B89"/>
    <w:rsid w:val="4E6C6067"/>
    <w:rsid w:val="4F966B1A"/>
    <w:rsid w:val="506F380D"/>
    <w:rsid w:val="50BA77A9"/>
    <w:rsid w:val="512B2F18"/>
    <w:rsid w:val="515C2FC1"/>
    <w:rsid w:val="52F4552F"/>
    <w:rsid w:val="55C325AE"/>
    <w:rsid w:val="585A3E58"/>
    <w:rsid w:val="5A200615"/>
    <w:rsid w:val="5CB40F1E"/>
    <w:rsid w:val="5D1304B2"/>
    <w:rsid w:val="5F934839"/>
    <w:rsid w:val="5F9F4DBC"/>
    <w:rsid w:val="602558B0"/>
    <w:rsid w:val="620C50A3"/>
    <w:rsid w:val="62A55DA1"/>
    <w:rsid w:val="63863976"/>
    <w:rsid w:val="657B5D50"/>
    <w:rsid w:val="659022CE"/>
    <w:rsid w:val="66030595"/>
    <w:rsid w:val="690864A5"/>
    <w:rsid w:val="6B9F7E81"/>
    <w:rsid w:val="6EE27079"/>
    <w:rsid w:val="6EE96CA9"/>
    <w:rsid w:val="6F940612"/>
    <w:rsid w:val="72924456"/>
    <w:rsid w:val="72EB3D6C"/>
    <w:rsid w:val="75E76F1B"/>
    <w:rsid w:val="76AE2511"/>
    <w:rsid w:val="77593865"/>
    <w:rsid w:val="78D53A68"/>
    <w:rsid w:val="7A993F40"/>
    <w:rsid w:val="7B6E7075"/>
    <w:rsid w:val="7DD663FA"/>
    <w:rsid w:val="7DEA7C5C"/>
    <w:rsid w:val="7E6666AC"/>
    <w:rsid w:val="7E74408D"/>
    <w:rsid w:val="7F086D81"/>
    <w:rsid w:val="7FC44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7"/>
    <w:qFormat/>
    <w:uiPriority w:val="0"/>
    <w:pPr>
      <w:tabs>
        <w:tab w:val="center" w:pos="4153"/>
        <w:tab w:val="right" w:pos="8306"/>
      </w:tabs>
      <w:snapToGrid w:val="0"/>
    </w:pPr>
    <w:rPr>
      <w:sz w:val="18"/>
      <w:szCs w:val="18"/>
    </w:rPr>
  </w:style>
  <w:style w:type="paragraph" w:styleId="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Body text|4_"/>
    <w:basedOn w:val="5"/>
    <w:link w:val="7"/>
    <w:qFormat/>
    <w:uiPriority w:val="0"/>
    <w:rPr>
      <w:rFonts w:ascii="宋体" w:hAnsi="宋体" w:eastAsia="宋体" w:cs="宋体"/>
      <w:sz w:val="32"/>
      <w:szCs w:val="32"/>
      <w:u w:val="none"/>
      <w:shd w:val="clear" w:color="auto" w:fill="auto"/>
      <w:lang w:val="zh-TW" w:eastAsia="zh-TW" w:bidi="zh-TW"/>
    </w:rPr>
  </w:style>
  <w:style w:type="paragraph" w:customStyle="1" w:styleId="7">
    <w:name w:val="Body text|4"/>
    <w:basedOn w:val="1"/>
    <w:link w:val="6"/>
    <w:qFormat/>
    <w:uiPriority w:val="0"/>
    <w:pPr>
      <w:spacing w:line="307" w:lineRule="auto"/>
      <w:ind w:firstLine="310"/>
    </w:pPr>
    <w:rPr>
      <w:rFonts w:ascii="宋体" w:hAnsi="宋体" w:eastAsia="宋体" w:cs="宋体"/>
      <w:sz w:val="32"/>
      <w:szCs w:val="32"/>
      <w:lang w:val="zh-TW" w:eastAsia="zh-TW" w:bidi="zh-TW"/>
    </w:rPr>
  </w:style>
  <w:style w:type="character" w:customStyle="1" w:styleId="8">
    <w:name w:val="Body text|2_"/>
    <w:basedOn w:val="5"/>
    <w:link w:val="9"/>
    <w:qFormat/>
    <w:uiPriority w:val="0"/>
    <w:rPr>
      <w:rFonts w:ascii="宋体" w:hAnsi="宋体" w:eastAsia="宋体" w:cs="宋体"/>
      <w:sz w:val="52"/>
      <w:szCs w:val="52"/>
      <w:u w:val="none"/>
      <w:shd w:val="clear" w:color="auto" w:fill="auto"/>
      <w:lang w:val="zh-TW" w:eastAsia="zh-TW" w:bidi="zh-TW"/>
    </w:rPr>
  </w:style>
  <w:style w:type="paragraph" w:customStyle="1" w:styleId="9">
    <w:name w:val="Body text|2"/>
    <w:basedOn w:val="1"/>
    <w:link w:val="8"/>
    <w:qFormat/>
    <w:uiPriority w:val="0"/>
    <w:pPr>
      <w:spacing w:after="230"/>
      <w:jc w:val="center"/>
    </w:pPr>
    <w:rPr>
      <w:rFonts w:ascii="宋体" w:hAnsi="宋体" w:eastAsia="宋体" w:cs="宋体"/>
      <w:sz w:val="52"/>
      <w:szCs w:val="52"/>
      <w:lang w:val="zh-TW" w:eastAsia="zh-TW" w:bidi="zh-TW"/>
    </w:rPr>
  </w:style>
  <w:style w:type="character" w:customStyle="1" w:styleId="10">
    <w:name w:val="Header or footer|2_"/>
    <w:basedOn w:val="5"/>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rPr>
      <w:sz w:val="20"/>
      <w:szCs w:val="20"/>
      <w:lang w:val="zh-TW" w:eastAsia="zh-TW" w:bidi="zh-TW"/>
    </w:rPr>
  </w:style>
  <w:style w:type="character" w:customStyle="1" w:styleId="12">
    <w:name w:val="Body text|3_"/>
    <w:basedOn w:val="5"/>
    <w:link w:val="13"/>
    <w:qFormat/>
    <w:uiPriority w:val="0"/>
    <w:rPr>
      <w:rFonts w:ascii="宋体" w:hAnsi="宋体" w:eastAsia="宋体" w:cs="宋体"/>
      <w:sz w:val="38"/>
      <w:szCs w:val="38"/>
      <w:u w:val="none"/>
      <w:shd w:val="clear" w:color="auto" w:fill="auto"/>
      <w:lang w:val="zh-TW" w:eastAsia="zh-TW" w:bidi="zh-TW"/>
    </w:rPr>
  </w:style>
  <w:style w:type="paragraph" w:customStyle="1" w:styleId="13">
    <w:name w:val="Body text|3"/>
    <w:basedOn w:val="1"/>
    <w:link w:val="12"/>
    <w:qFormat/>
    <w:uiPriority w:val="0"/>
    <w:pPr>
      <w:spacing w:after="740"/>
      <w:ind w:left="2440"/>
    </w:pPr>
    <w:rPr>
      <w:rFonts w:ascii="宋体" w:hAnsi="宋体" w:eastAsia="宋体" w:cs="宋体"/>
      <w:sz w:val="38"/>
      <w:szCs w:val="38"/>
      <w:lang w:val="zh-TW" w:eastAsia="zh-TW" w:bidi="zh-TW"/>
    </w:rPr>
  </w:style>
  <w:style w:type="character" w:customStyle="1" w:styleId="14">
    <w:name w:val="Heading #2|1_"/>
    <w:basedOn w:val="5"/>
    <w:link w:val="15"/>
    <w:qFormat/>
    <w:uiPriority w:val="0"/>
    <w:rPr>
      <w:rFonts w:ascii="宋体" w:hAnsi="宋体" w:eastAsia="宋体" w:cs="宋体"/>
      <w:b/>
      <w:bCs/>
      <w:sz w:val="26"/>
      <w:szCs w:val="26"/>
      <w:u w:val="none"/>
      <w:shd w:val="clear" w:color="auto" w:fill="auto"/>
      <w:lang w:val="zh-TW" w:eastAsia="zh-TW" w:bidi="zh-TW"/>
    </w:rPr>
  </w:style>
  <w:style w:type="paragraph" w:customStyle="1" w:styleId="15">
    <w:name w:val="Heading #2|1"/>
    <w:basedOn w:val="1"/>
    <w:link w:val="14"/>
    <w:qFormat/>
    <w:uiPriority w:val="0"/>
    <w:pPr>
      <w:spacing w:after="370"/>
      <w:outlineLvl w:val="1"/>
    </w:pPr>
    <w:rPr>
      <w:rFonts w:ascii="宋体" w:hAnsi="宋体" w:eastAsia="宋体" w:cs="宋体"/>
      <w:b/>
      <w:bCs/>
      <w:sz w:val="26"/>
      <w:szCs w:val="26"/>
      <w:lang w:val="zh-TW" w:eastAsia="zh-TW" w:bidi="zh-TW"/>
    </w:rPr>
  </w:style>
  <w:style w:type="character" w:customStyle="1" w:styleId="16">
    <w:name w:val="Body text|1_"/>
    <w:basedOn w:val="5"/>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Body text|1"/>
    <w:basedOn w:val="1"/>
    <w:link w:val="16"/>
    <w:uiPriority w:val="0"/>
    <w:pPr>
      <w:spacing w:line="430" w:lineRule="auto"/>
      <w:ind w:firstLine="400"/>
    </w:pPr>
    <w:rPr>
      <w:rFonts w:ascii="宋体" w:hAnsi="宋体" w:eastAsia="宋体" w:cs="宋体"/>
      <w:sz w:val="26"/>
      <w:szCs w:val="26"/>
      <w:lang w:val="zh-TW" w:eastAsia="zh-TW" w:bidi="zh-TW"/>
    </w:rPr>
  </w:style>
  <w:style w:type="character" w:customStyle="1" w:styleId="18">
    <w:name w:val="Table caption|1_"/>
    <w:basedOn w:val="5"/>
    <w:link w:val="19"/>
    <w:qFormat/>
    <w:uiPriority w:val="0"/>
    <w:rPr>
      <w:rFonts w:ascii="宋体" w:hAnsi="宋体" w:eastAsia="宋体" w:cs="宋体"/>
      <w:b/>
      <w:bCs/>
      <w:sz w:val="26"/>
      <w:szCs w:val="26"/>
      <w:u w:val="none"/>
      <w:shd w:val="clear" w:color="auto" w:fill="auto"/>
      <w:lang w:val="zh-TW" w:eastAsia="zh-TW" w:bidi="zh-TW"/>
    </w:rPr>
  </w:style>
  <w:style w:type="paragraph" w:customStyle="1" w:styleId="19">
    <w:name w:val="Table caption|1"/>
    <w:basedOn w:val="1"/>
    <w:link w:val="18"/>
    <w:qFormat/>
    <w:uiPriority w:val="0"/>
    <w:pPr>
      <w:spacing w:line="598" w:lineRule="exact"/>
      <w:jc w:val="center"/>
    </w:pPr>
    <w:rPr>
      <w:rFonts w:ascii="宋体" w:hAnsi="宋体" w:eastAsia="宋体" w:cs="宋体"/>
      <w:b/>
      <w:bCs/>
      <w:sz w:val="26"/>
      <w:szCs w:val="26"/>
      <w:lang w:val="zh-TW" w:eastAsia="zh-TW" w:bidi="zh-TW"/>
    </w:rPr>
  </w:style>
  <w:style w:type="character" w:customStyle="1" w:styleId="20">
    <w:name w:val="Other|1_"/>
    <w:basedOn w:val="5"/>
    <w:link w:val="21"/>
    <w:qFormat/>
    <w:uiPriority w:val="0"/>
    <w:rPr>
      <w:rFonts w:ascii="宋体" w:hAnsi="宋体" w:eastAsia="宋体" w:cs="宋体"/>
      <w:sz w:val="26"/>
      <w:szCs w:val="26"/>
      <w:u w:val="none"/>
      <w:shd w:val="clear" w:color="auto" w:fill="auto"/>
      <w:lang w:val="zh-TW" w:eastAsia="zh-TW" w:bidi="zh-TW"/>
    </w:rPr>
  </w:style>
  <w:style w:type="paragraph" w:customStyle="1" w:styleId="21">
    <w:name w:val="Other|1"/>
    <w:basedOn w:val="1"/>
    <w:link w:val="20"/>
    <w:uiPriority w:val="0"/>
    <w:pPr>
      <w:spacing w:line="430" w:lineRule="auto"/>
      <w:ind w:firstLine="400"/>
    </w:pPr>
    <w:rPr>
      <w:rFonts w:ascii="宋体" w:hAnsi="宋体" w:eastAsia="宋体" w:cs="宋体"/>
      <w:sz w:val="26"/>
      <w:szCs w:val="26"/>
      <w:lang w:val="zh-TW" w:eastAsia="zh-TW" w:bidi="zh-TW"/>
    </w:rPr>
  </w:style>
  <w:style w:type="character" w:customStyle="1" w:styleId="22">
    <w:name w:val="Heading #1|1_"/>
    <w:basedOn w:val="5"/>
    <w:link w:val="23"/>
    <w:uiPriority w:val="0"/>
    <w:rPr>
      <w:sz w:val="84"/>
      <w:szCs w:val="84"/>
      <w:u w:val="none"/>
      <w:shd w:val="clear" w:color="auto" w:fill="auto"/>
    </w:rPr>
  </w:style>
  <w:style w:type="paragraph" w:customStyle="1" w:styleId="23">
    <w:name w:val="Heading #1|1"/>
    <w:basedOn w:val="1"/>
    <w:link w:val="22"/>
    <w:qFormat/>
    <w:uiPriority w:val="0"/>
    <w:pPr>
      <w:spacing w:line="180" w:lineRule="auto"/>
      <w:ind w:firstLine="300"/>
      <w:outlineLvl w:val="0"/>
    </w:pPr>
    <w:rPr>
      <w:sz w:val="84"/>
      <w:szCs w:val="84"/>
    </w:rPr>
  </w:style>
  <w:style w:type="character" w:customStyle="1" w:styleId="24">
    <w:name w:val="Header or footer|1_"/>
    <w:basedOn w:val="5"/>
    <w:link w:val="25"/>
    <w:qFormat/>
    <w:uiPriority w:val="0"/>
    <w:rPr>
      <w:b/>
      <w:bCs/>
      <w:sz w:val="17"/>
      <w:szCs w:val="17"/>
      <w:u w:val="none"/>
      <w:shd w:val="clear" w:color="auto" w:fill="auto"/>
      <w:lang w:val="zh-TW" w:eastAsia="zh-TW" w:bidi="zh-TW"/>
    </w:rPr>
  </w:style>
  <w:style w:type="paragraph" w:customStyle="1" w:styleId="25">
    <w:name w:val="Header or footer|1"/>
    <w:basedOn w:val="1"/>
    <w:link w:val="24"/>
    <w:qFormat/>
    <w:uiPriority w:val="0"/>
    <w:rPr>
      <w:b/>
      <w:bCs/>
      <w:sz w:val="17"/>
      <w:szCs w:val="17"/>
      <w:lang w:val="zh-TW" w:eastAsia="zh-TW" w:bidi="zh-TW"/>
    </w:rPr>
  </w:style>
  <w:style w:type="character" w:customStyle="1" w:styleId="26">
    <w:name w:val="页眉 Char"/>
    <w:basedOn w:val="5"/>
    <w:link w:val="3"/>
    <w:uiPriority w:val="0"/>
    <w:rPr>
      <w:rFonts w:eastAsia="Times New Roman"/>
      <w:color w:val="000000"/>
      <w:sz w:val="18"/>
      <w:szCs w:val="18"/>
      <w:lang w:eastAsia="en-US" w:bidi="en-US"/>
    </w:rPr>
  </w:style>
  <w:style w:type="character" w:customStyle="1" w:styleId="27">
    <w:name w:val="页脚 Char"/>
    <w:basedOn w:val="5"/>
    <w:link w:val="2"/>
    <w:uiPriority w:val="0"/>
    <w:rPr>
      <w:rFonts w:eastAsia="Times New Roman"/>
      <w:color w:val="000000"/>
      <w:sz w:val="18"/>
      <w:szCs w:val="18"/>
      <w:lang w:eastAsia="en-US" w:bidi="en-US"/>
    </w:rPr>
  </w:style>
  <w:style w:type="paragraph" w:styleId="2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1602</Words>
  <Characters>9136</Characters>
  <Lines>76</Lines>
  <Paragraphs>21</Paragraphs>
  <TotalTime>527</TotalTime>
  <ScaleCrop>false</ScaleCrop>
  <LinksUpToDate>false</LinksUpToDate>
  <CharactersWithSpaces>10717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2021-03-25T08:24:00Z</dcterms:created>
  <dc:creator>Administrator</dc:creator>
  <cp:lastModifiedBy>Administrator</cp:lastModifiedBy>
  <cp:lastPrinted>2020-05-13T01:27:00Z</cp:lastPrinted>
  <dcterms:modified xsi:type="dcterms:W3CDTF">2024-11-20T02:39:32Z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