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1396BDDA">
      <w:pPr>
        <w:rPr>
          <w:rFonts w:hint="eastAsia"/>
          <w:b w:val="0"/>
          <w:sz w:val="28"/>
          <w:szCs w:val="28"/>
          <w:lang w:val="en-US" w:eastAsia="zh-CN"/>
        </w:rPr>
      </w:pPr>
    </w:p>
    <w:p w14:paraId="5AD4C301">
      <w:pPr>
        <w:rPr>
          <w:rFonts w:hint="eastAsia"/>
          <w:b w:val="0"/>
          <w:sz w:val="28"/>
          <w:szCs w:val="28"/>
          <w:lang w:val="en-US" w:eastAsia="zh-CN"/>
        </w:rPr>
      </w:pPr>
    </w:p>
    <w:p w14:paraId="31438F32">
      <w:pPr>
        <w:rPr>
          <w:rFonts w:hint="eastAsia"/>
          <w:b w:val="0"/>
          <w:sz w:val="28"/>
          <w:szCs w:val="28"/>
          <w:lang w:val="en-US" w:eastAsia="zh-CN"/>
        </w:rPr>
      </w:pPr>
    </w:p>
    <w:p w14:paraId="60BBAC5B">
      <w:pPr>
        <w:rPr>
          <w:rFonts w:hint="eastAsia"/>
          <w:b w:val="0"/>
          <w:sz w:val="28"/>
          <w:szCs w:val="28"/>
          <w:lang w:val="en-US" w:eastAsia="zh-CN"/>
        </w:rPr>
      </w:pPr>
    </w:p>
    <w:p w14:paraId="5C692A06">
      <w:pPr>
        <w:rPr>
          <w:rFonts w:hint="eastAsia"/>
          <w:b w:val="0"/>
          <w:sz w:val="28"/>
          <w:szCs w:val="28"/>
          <w:lang w:val="en-US" w:eastAsia="zh-CN"/>
        </w:rPr>
      </w:pPr>
    </w:p>
    <w:p w14:paraId="69D597C5">
      <w:pPr>
        <w:rPr>
          <w:rFonts w:hint="eastAsia"/>
          <w:b w:val="0"/>
          <w:sz w:val="28"/>
          <w:szCs w:val="28"/>
          <w:lang w:val="en-US" w:eastAsia="zh-CN"/>
        </w:rPr>
      </w:pPr>
    </w:p>
    <w:p w14:paraId="6BBA40BD">
      <w:pPr>
        <w:rPr>
          <w:rFonts w:hint="eastAsia"/>
          <w:b w:val="0"/>
          <w:sz w:val="28"/>
          <w:szCs w:val="28"/>
          <w:lang w:val="en-US" w:eastAsia="zh-CN"/>
        </w:rPr>
      </w:pPr>
    </w:p>
    <w:p w14:paraId="7EEA03DA">
      <w:pPr>
        <w:rPr>
          <w:rFonts w:hint="eastAsia"/>
          <w:b w:val="0"/>
          <w:sz w:val="28"/>
          <w:szCs w:val="28"/>
          <w:lang w:val="en-US" w:eastAsia="zh-CN"/>
        </w:rPr>
      </w:pPr>
    </w:p>
    <w:p w14:paraId="6753D880">
      <w:pPr>
        <w:rPr>
          <w:rFonts w:hint="eastAsia"/>
          <w:b w:val="0"/>
          <w:sz w:val="28"/>
          <w:szCs w:val="28"/>
          <w:lang w:val="en-US" w:eastAsia="zh-CN"/>
        </w:rPr>
      </w:pPr>
    </w:p>
    <w:p w14:paraId="29A4DDF1">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E8D6248">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职工通勤车服务项目（二次）</w:t>
      </w:r>
    </w:p>
    <w:p w14:paraId="74FAF913">
      <w:pPr>
        <w:numPr>
          <w:ilvl w:val="0"/>
          <w:numId w:val="0"/>
        </w:numPr>
        <w:ind w:left="0" w:right="0" w:firstLine="0"/>
        <w:jc w:val="center"/>
        <w:rPr>
          <w:rFonts w:hint="eastAsia" w:ascii="黑体" w:hAnsi="黑体" w:eastAsia="黑体" w:cs="黑体"/>
          <w:b/>
          <w:sz w:val="36"/>
          <w:szCs w:val="36"/>
          <w:lang w:val="en-US" w:eastAsia="zh-CN"/>
        </w:rPr>
      </w:pP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2024年12月6</w:t>
      </w:r>
      <w:bookmarkStart w:id="1" w:name="_GoBack"/>
      <w:bookmarkEnd w:id="1"/>
      <w:r>
        <w:rPr>
          <w:rFonts w:hint="eastAsia" w:ascii="黑体" w:hAnsi="黑体" w:eastAsia="黑体" w:cs="黑体"/>
          <w:b/>
          <w:sz w:val="36"/>
          <w:szCs w:val="36"/>
          <w:lang w:val="en-US" w:eastAsia="zh-CN"/>
        </w:rPr>
        <w:t>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912"/>
        <w:gridCol w:w="938"/>
        <w:gridCol w:w="1892"/>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91"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1912"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38" w:type="dxa"/>
            <w:vAlign w:val="center"/>
          </w:tcPr>
          <w:p w14:paraId="07310B12">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1892" w:type="dxa"/>
            <w:vAlign w:val="center"/>
          </w:tcPr>
          <w:p w14:paraId="20208E75">
            <w:pPr>
              <w:ind w:firstLine="720" w:firstLineChars="30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1912" w:type="dxa"/>
            <w:vAlign w:val="center"/>
          </w:tcPr>
          <w:p w14:paraId="76F16622">
            <w:pPr>
              <w:rPr>
                <w:rFonts w:hint="default" w:ascii="宋体" w:hAnsi="宋体" w:eastAsia="宋体" w:cs="宋体"/>
                <w:lang w:val="en-US" w:eastAsia="zh-CN"/>
              </w:rPr>
            </w:pPr>
            <w:r>
              <w:rPr>
                <w:rFonts w:hint="eastAsia" w:ascii="宋体" w:hAnsi="宋体" w:eastAsia="宋体" w:cs="宋体"/>
                <w:sz w:val="24"/>
                <w:szCs w:val="24"/>
                <w:lang w:val="en-US" w:eastAsia="zh-CN"/>
              </w:rPr>
              <w:t>职工通勤车服务</w:t>
            </w:r>
          </w:p>
        </w:tc>
        <w:tc>
          <w:tcPr>
            <w:tcW w:w="938"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辆</w:t>
            </w:r>
          </w:p>
        </w:tc>
        <w:tc>
          <w:tcPr>
            <w:tcW w:w="1892"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2（44座及以上）</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每座4元</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235000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6F91595E">
            <w:pPr>
              <w:rPr>
                <w:rFonts w:hint="eastAsia" w:ascii="宋体" w:hAnsi="宋体" w:eastAsia="宋体" w:cs="宋体"/>
                <w:sz w:val="24"/>
                <w:szCs w:val="24"/>
              </w:rPr>
            </w:pPr>
          </w:p>
        </w:tc>
        <w:tc>
          <w:tcPr>
            <w:tcW w:w="6080"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235000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91"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1912"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5764"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1日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91"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1912"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lang w:val="en-US" w:eastAsia="zh-CN"/>
              </w:rPr>
              <w:t>合同</w:t>
            </w:r>
            <w:r>
              <w:rPr>
                <w:rFonts w:hint="eastAsia" w:ascii="宋体" w:hAnsi="宋体" w:eastAsia="宋体" w:cs="宋体"/>
                <w:sz w:val="24"/>
                <w:szCs w:val="24"/>
              </w:rPr>
              <w:t>期</w:t>
            </w:r>
          </w:p>
        </w:tc>
        <w:tc>
          <w:tcPr>
            <w:tcW w:w="5764" w:type="dxa"/>
            <w:gridSpan w:val="4"/>
            <w:vAlign w:val="center"/>
          </w:tcPr>
          <w:p w14:paraId="56B9AF71">
            <w:pPr>
              <w:rPr>
                <w:rFonts w:hint="default" w:ascii="宋体" w:hAnsi="宋体" w:eastAsia="宋体" w:cs="宋体"/>
                <w:sz w:val="24"/>
                <w:szCs w:val="24"/>
                <w:lang w:val="en-US"/>
              </w:rPr>
            </w:pPr>
            <w:r>
              <w:rPr>
                <w:rFonts w:hint="eastAsia" w:ascii="宋体" w:hAnsi="宋体" w:eastAsia="宋体" w:cs="宋体"/>
                <w:sz w:val="24"/>
                <w:szCs w:val="24"/>
                <w:lang w:val="en-US" w:eastAsia="zh-CN"/>
              </w:rPr>
              <w:t>1年（首期2024.12.1-2025.11.30）</w:t>
            </w:r>
          </w:p>
        </w:tc>
      </w:tr>
      <w:tr w14:paraId="28E52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91" w:type="dxa"/>
            <w:vAlign w:val="center"/>
          </w:tcPr>
          <w:p w14:paraId="29B6769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12" w:type="dxa"/>
            <w:vAlign w:val="center"/>
          </w:tcPr>
          <w:p w14:paraId="49569C1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5764" w:type="dxa"/>
            <w:gridSpan w:val="4"/>
            <w:vAlign w:val="center"/>
          </w:tcPr>
          <w:p w14:paraId="7DD3E42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三年。合同期考核合格可续签下一年合同。</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791"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912"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5764" w:type="dxa"/>
            <w:gridSpan w:val="4"/>
            <w:vAlign w:val="center"/>
          </w:tcPr>
          <w:p w14:paraId="06580548">
            <w:pPr>
              <w:rPr>
                <w:rFonts w:hint="default" w:ascii="宋体" w:hAnsi="宋体" w:eastAsia="宋体" w:cs="宋体"/>
                <w:sz w:val="24"/>
                <w:szCs w:val="24"/>
                <w:lang w:val="en-US"/>
              </w:rPr>
            </w:pPr>
            <w:r>
              <w:rPr>
                <w:rFonts w:hint="default" w:ascii="宋体" w:hAnsi="宋体" w:eastAsia="宋体" w:cs="宋体"/>
                <w:sz w:val="24"/>
                <w:szCs w:val="24"/>
                <w:lang w:val="en-US" w:eastAsia="zh-CN"/>
              </w:rPr>
              <w:t>1.以我院提供的《市中心医院东胜部至康巴什部通勤车时间表》提供44座通勤车2台；2.每座4元；3.按季度据实结算。</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1"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912"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5764"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lang w:eastAsia="zh-CN"/>
              </w:rPr>
              <w:t>往返鄂尔多斯市中心医院东胜部—康巴什部，该通勤车必须专车专用，不得乘坐其他乘客。</w:t>
            </w:r>
          </w:p>
        </w:tc>
      </w:tr>
    </w:tbl>
    <w:p w14:paraId="46C7308F">
      <w:pPr>
        <w:jc w:val="left"/>
        <w:rPr>
          <w:rFonts w:hint="eastAsia" w:ascii="宋体" w:hAnsi="宋体"/>
          <w:bCs/>
          <w:kern w:val="44"/>
          <w:sz w:val="24"/>
          <w:szCs w:val="24"/>
          <w:lang w:val="zh-CN"/>
        </w:rPr>
      </w:pPr>
    </w:p>
    <w:p w14:paraId="71396699">
      <w:pPr>
        <w:pStyle w:val="14"/>
        <w:rPr>
          <w:rFonts w:hint="eastAsia" w:ascii="宋体" w:hAnsi="宋体"/>
          <w:bCs/>
          <w:kern w:val="44"/>
          <w:sz w:val="24"/>
          <w:szCs w:val="24"/>
          <w:lang w:val="zh-CN"/>
        </w:rPr>
      </w:pPr>
    </w:p>
    <w:p w14:paraId="2F33E230">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二、项目概况及技术服务要求</w:t>
      </w:r>
    </w:p>
    <w:p w14:paraId="5A3DA58F">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(一)项目基本情况</w:t>
      </w:r>
    </w:p>
    <w:p w14:paraId="29C4BF7F">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sectPr>
          <w:pgSz w:w="11900" w:h="16830"/>
          <w:pgMar w:top="1430" w:right="1244" w:bottom="0" w:left="1254" w:header="0" w:footer="0" w:gutter="0"/>
          <w:cols w:space="720" w:num="1"/>
        </w:sectPr>
      </w:pPr>
      <w:r>
        <w:rPr>
          <w:rFonts w:hint="eastAsia" w:hAnsi="宋体"/>
          <w:bCs/>
          <w:kern w:val="44"/>
          <w:sz w:val="24"/>
          <w:szCs w:val="24"/>
          <w:lang w:val="en-US" w:eastAsia="zh-CN"/>
        </w:rPr>
        <w:t>为给我院职工往返东胜部与康巴什部提供便利，以高效开展有关医务工作，现需租用通勤车服务。</w:t>
      </w:r>
    </w:p>
    <w:tbl>
      <w:tblPr>
        <w:tblStyle w:val="25"/>
        <w:tblpPr w:leftFromText="180" w:rightFromText="180" w:vertAnchor="text" w:horzAnchor="page" w:tblpX="1496" w:tblpY="595"/>
        <w:tblOverlap w:val="never"/>
        <w:tblW w:w="89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788"/>
        <w:gridCol w:w="7125"/>
      </w:tblGrid>
      <w:tr w14:paraId="44BC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40" w:type="dxa"/>
            <w:vAlign w:val="center"/>
          </w:tcPr>
          <w:p w14:paraId="24F6C386">
            <w:pPr>
              <w:pStyle w:val="14"/>
              <w:numPr>
                <w:ilvl w:val="0"/>
                <w:numId w:val="0"/>
              </w:numPr>
              <w:jc w:val="center"/>
              <w:rPr>
                <w:rFonts w:hint="default" w:hAnsi="宋体"/>
                <w:bCs/>
                <w:kern w:val="44"/>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260350</wp:posOffset>
                      </wp:positionH>
                      <wp:positionV relativeFrom="paragraph">
                        <wp:posOffset>-395605</wp:posOffset>
                      </wp:positionV>
                      <wp:extent cx="3404870" cy="365125"/>
                      <wp:effectExtent l="0" t="0" r="0" b="0"/>
                      <wp:wrapNone/>
                      <wp:docPr id="1" name="文本框 1"/>
                      <wp:cNvGraphicFramePr/>
                      <a:graphic xmlns:a="http://schemas.openxmlformats.org/drawingml/2006/main">
                        <a:graphicData uri="http://schemas.microsoft.com/office/word/2010/wordprocessingShape">
                          <wps:wsp>
                            <wps:cNvSpPr txBox="1"/>
                            <wps:spPr>
                              <a:xfrm>
                                <a:off x="1212850" y="902970"/>
                                <a:ext cx="3404870" cy="36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46766">
                                  <w:pPr>
                                    <w:rPr>
                                      <w:rFonts w:hint="default" w:eastAsia="宋体"/>
                                      <w:sz w:val="24"/>
                                      <w:szCs w:val="24"/>
                                      <w:lang w:val="en-US" w:eastAsia="zh-CN"/>
                                    </w:rPr>
                                  </w:pPr>
                                  <w:r>
                                    <w:rPr>
                                      <w:rFonts w:hint="eastAsia" w:eastAsia="宋体"/>
                                      <w:sz w:val="24"/>
                                      <w:szCs w:val="24"/>
                                      <w:lang w:eastAsia="zh-CN"/>
                                    </w:rPr>
                                    <w:t>（</w:t>
                                  </w:r>
                                  <w:r>
                                    <w:rPr>
                                      <w:rFonts w:hint="eastAsia" w:eastAsia="宋体"/>
                                      <w:sz w:val="24"/>
                                      <w:szCs w:val="24"/>
                                      <w:lang w:val="en-US" w:eastAsia="zh-CN"/>
                                    </w:rPr>
                                    <w:t>二</w:t>
                                  </w:r>
                                  <w:r>
                                    <w:rPr>
                                      <w:rFonts w:hint="eastAsia" w:eastAsia="宋体"/>
                                      <w:sz w:val="24"/>
                                      <w:szCs w:val="24"/>
                                      <w:lang w:eastAsia="zh-CN"/>
                                    </w:rPr>
                                    <w:t>）</w:t>
                                  </w:r>
                                  <w:r>
                                    <w:rPr>
                                      <w:rFonts w:hint="eastAsia" w:eastAsia="宋体"/>
                                      <w:sz w:val="24"/>
                                      <w:szCs w:val="24"/>
                                      <w:lang w:val="en-US" w:eastAsia="zh-CN"/>
                                    </w:rPr>
                                    <w:t>技术服务要求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31.15pt;height:28.75pt;width:268.1pt;z-index:251660288;mso-width-relative:page;mso-height-relative:page;" filled="f" stroked="f" coordsize="21600,21600" o:gfxdata="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dU5RfbAAAACQEAAA8AAAAAAAAAAQAg&#10;AAAAIgAAAGRycy9kb3ducmV2LnhtbFBLAQIUABQAAAAIAIdO4kApteRyRAIAAHEEAAAOAAAAAAAA&#10;AAEAIAAAACoBAABkcnMvZTJvRG9jLnhtbFBLBQYAAAAABgAGAFkBAADgBQAAAAA=&#10;">
                      <v:fill on="f" focussize="0,0"/>
                      <v:stroke on="f" weight="0.5pt"/>
                      <v:imagedata o:title=""/>
                      <o:lock v:ext="edit" aspectratio="f"/>
                      <v:textbox>
                        <w:txbxContent>
                          <w:p w14:paraId="07246766">
                            <w:pPr>
                              <w:rPr>
                                <w:rFonts w:hint="default" w:eastAsia="宋体"/>
                                <w:sz w:val="24"/>
                                <w:szCs w:val="24"/>
                                <w:lang w:val="en-US" w:eastAsia="zh-CN"/>
                              </w:rPr>
                            </w:pPr>
                            <w:r>
                              <w:rPr>
                                <w:rFonts w:hint="eastAsia" w:eastAsia="宋体"/>
                                <w:sz w:val="24"/>
                                <w:szCs w:val="24"/>
                                <w:lang w:eastAsia="zh-CN"/>
                              </w:rPr>
                              <w:t>（</w:t>
                            </w:r>
                            <w:r>
                              <w:rPr>
                                <w:rFonts w:hint="eastAsia" w:eastAsia="宋体"/>
                                <w:sz w:val="24"/>
                                <w:szCs w:val="24"/>
                                <w:lang w:val="en-US" w:eastAsia="zh-CN"/>
                              </w:rPr>
                              <w:t>二</w:t>
                            </w:r>
                            <w:r>
                              <w:rPr>
                                <w:rFonts w:hint="eastAsia" w:eastAsia="宋体"/>
                                <w:sz w:val="24"/>
                                <w:szCs w:val="24"/>
                                <w:lang w:eastAsia="zh-CN"/>
                              </w:rPr>
                              <w:t>）</w:t>
                            </w:r>
                            <w:r>
                              <w:rPr>
                                <w:rFonts w:hint="eastAsia" w:eastAsia="宋体"/>
                                <w:sz w:val="24"/>
                                <w:szCs w:val="24"/>
                                <w:lang w:val="en-US" w:eastAsia="zh-CN"/>
                              </w:rPr>
                              <w:t>技术服务要求</w:t>
                            </w:r>
                          </w:p>
                        </w:txbxContent>
                      </v:textbox>
                    </v:shape>
                  </w:pict>
                </mc:Fallback>
              </mc:AlternateContent>
            </w:r>
            <w:r>
              <w:rPr>
                <w:rFonts w:hint="default" w:hAnsi="宋体"/>
                <w:bCs/>
                <w:kern w:val="44"/>
                <w:sz w:val="24"/>
                <w:szCs w:val="24"/>
                <w:lang w:val="en-US" w:eastAsia="zh-CN"/>
              </w:rPr>
              <w:t>参数性质</w:t>
            </w:r>
          </w:p>
        </w:tc>
        <w:tc>
          <w:tcPr>
            <w:tcW w:w="788" w:type="dxa"/>
            <w:vAlign w:val="center"/>
          </w:tcPr>
          <w:p w14:paraId="269A6412">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编号</w:t>
            </w:r>
          </w:p>
        </w:tc>
        <w:tc>
          <w:tcPr>
            <w:tcW w:w="7125" w:type="dxa"/>
            <w:vAlign w:val="center"/>
          </w:tcPr>
          <w:p w14:paraId="4C9615FA">
            <w:pPr>
              <w:pStyle w:val="14"/>
              <w:numPr>
                <w:ilvl w:val="0"/>
                <w:numId w:val="0"/>
              </w:numPr>
              <w:jc w:val="center"/>
              <w:rPr>
                <w:rFonts w:hint="default" w:hAnsi="宋体"/>
                <w:bCs/>
                <w:kern w:val="44"/>
                <w:sz w:val="24"/>
                <w:szCs w:val="24"/>
                <w:lang w:val="en-US" w:eastAsia="zh-CN"/>
              </w:rPr>
            </w:pPr>
            <w:r>
              <w:rPr>
                <w:rFonts w:hint="eastAsia" w:hAnsi="宋体"/>
                <w:bCs/>
                <w:kern w:val="44"/>
                <w:sz w:val="24"/>
                <w:szCs w:val="24"/>
                <w:lang w:val="en-US" w:eastAsia="zh-CN"/>
              </w:rPr>
              <w:t>具体要求</w:t>
            </w:r>
          </w:p>
        </w:tc>
      </w:tr>
      <w:tr w14:paraId="610D1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1040" w:type="dxa"/>
            <w:vAlign w:val="center"/>
          </w:tcPr>
          <w:p w14:paraId="1F60A9BA">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w:t>
            </w:r>
          </w:p>
        </w:tc>
        <w:tc>
          <w:tcPr>
            <w:tcW w:w="788" w:type="dxa"/>
            <w:vAlign w:val="center"/>
          </w:tcPr>
          <w:p w14:paraId="42474237">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1</w:t>
            </w:r>
          </w:p>
        </w:tc>
        <w:tc>
          <w:tcPr>
            <w:tcW w:w="7125" w:type="dxa"/>
          </w:tcPr>
          <w:p w14:paraId="6CB34843">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大型客车2辆，座位数大于等于44座，服务过程中不得替换低于投标文件中响应的车辆型号。该通勤车必须专车专用，不得乘坐其他乘客。如遇雨雪冰冻恶劣天气、市政修路、封路以及交通事故等情况，出租方需积极与相关部门协调，不得延误职工正常医疗工作。投标人需在投标文件中提车辆行驶证、车辆保单复印件证明材料。</w:t>
            </w:r>
          </w:p>
        </w:tc>
      </w:tr>
      <w:tr w14:paraId="6ECE6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40" w:type="dxa"/>
            <w:vAlign w:val="center"/>
          </w:tcPr>
          <w:p w14:paraId="7D21C095">
            <w:pPr>
              <w:pStyle w:val="14"/>
              <w:numPr>
                <w:ilvl w:val="0"/>
                <w:numId w:val="0"/>
              </w:numPr>
              <w:jc w:val="center"/>
              <w:rPr>
                <w:rFonts w:hint="default" w:hAnsi="宋体"/>
                <w:bCs/>
                <w:kern w:val="44"/>
                <w:sz w:val="24"/>
                <w:szCs w:val="24"/>
                <w:lang w:val="en-US" w:eastAsia="zh-CN"/>
              </w:rPr>
            </w:pPr>
          </w:p>
        </w:tc>
        <w:tc>
          <w:tcPr>
            <w:tcW w:w="788" w:type="dxa"/>
            <w:vAlign w:val="center"/>
          </w:tcPr>
          <w:p w14:paraId="33B18BE0">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2</w:t>
            </w:r>
          </w:p>
        </w:tc>
        <w:tc>
          <w:tcPr>
            <w:tcW w:w="7125" w:type="dxa"/>
          </w:tcPr>
          <w:p w14:paraId="56398879">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提供的承运车辆保证车厢内外需整洁卫生、车窗明亮、配备遮光窗帘，且应做到每日清洁；定期对车厢进行消毒，喷洒空气清新剂。配备逃生锤、干粉灭火器、急救箱等安全设备。安全设备应当放置在便于取用的位置，并确保性能良好、有效适用。</w:t>
            </w:r>
          </w:p>
        </w:tc>
      </w:tr>
      <w:tr w14:paraId="5ED21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35B5E3B6">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w:t>
            </w:r>
          </w:p>
        </w:tc>
        <w:tc>
          <w:tcPr>
            <w:tcW w:w="788" w:type="dxa"/>
            <w:vAlign w:val="center"/>
          </w:tcPr>
          <w:p w14:paraId="20B8FE14">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3</w:t>
            </w:r>
          </w:p>
        </w:tc>
        <w:tc>
          <w:tcPr>
            <w:tcW w:w="7125" w:type="dxa"/>
          </w:tcPr>
          <w:p w14:paraId="46AAB9DF">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配备符合准驾车型的司机2人，司机品行端正，经验丰富，身体健康，有良好的服务意识，无酗酒、赌博等影响行车安全的不良嗜好。行车过程中无吸烟行为。投标人需在投标文件中提供配备班车驾驶员的身份证、驾驶执复印件。</w:t>
            </w:r>
          </w:p>
        </w:tc>
      </w:tr>
      <w:tr w14:paraId="6D2C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36A87002">
            <w:pPr>
              <w:pStyle w:val="14"/>
              <w:numPr>
                <w:ilvl w:val="0"/>
                <w:numId w:val="0"/>
              </w:numPr>
              <w:jc w:val="center"/>
              <w:rPr>
                <w:rFonts w:hint="default" w:hAnsi="宋体"/>
                <w:bCs/>
                <w:kern w:val="44"/>
                <w:sz w:val="24"/>
                <w:szCs w:val="24"/>
                <w:lang w:val="en-US" w:eastAsia="zh-CN"/>
              </w:rPr>
            </w:pPr>
          </w:p>
        </w:tc>
        <w:tc>
          <w:tcPr>
            <w:tcW w:w="788" w:type="dxa"/>
            <w:vAlign w:val="center"/>
          </w:tcPr>
          <w:p w14:paraId="41DF7838">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4</w:t>
            </w:r>
          </w:p>
        </w:tc>
        <w:tc>
          <w:tcPr>
            <w:tcW w:w="7125" w:type="dxa"/>
            <w:vAlign w:val="center"/>
          </w:tcPr>
          <w:p w14:paraId="33BE87AF">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驾驶员出车时着统一服装，衣着整齐干净，保持良好精神，遵守招标人规章制度， 礼貌对待客人，保证按时到位，车容整洁，安全平稳行车，服从招标人的合理安排，并在主要行车线路上按招标人所要求上下车地点接送客人(违反交通规则的地点除外)，并承担运送标本和文件职责，不得丢失，如有违反，招标人有权要求更换驾驶员。</w:t>
            </w:r>
          </w:p>
        </w:tc>
      </w:tr>
      <w:tr w14:paraId="7C424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040" w:type="dxa"/>
            <w:vAlign w:val="center"/>
          </w:tcPr>
          <w:p w14:paraId="52189A98">
            <w:pPr>
              <w:pStyle w:val="14"/>
              <w:numPr>
                <w:ilvl w:val="0"/>
                <w:numId w:val="0"/>
              </w:numPr>
              <w:jc w:val="center"/>
              <w:rPr>
                <w:rFonts w:hint="default" w:hAnsi="宋体"/>
                <w:bCs/>
                <w:kern w:val="44"/>
                <w:sz w:val="24"/>
                <w:szCs w:val="24"/>
                <w:lang w:val="en-US" w:eastAsia="zh-CN"/>
              </w:rPr>
            </w:pPr>
          </w:p>
        </w:tc>
        <w:tc>
          <w:tcPr>
            <w:tcW w:w="788" w:type="dxa"/>
            <w:vAlign w:val="center"/>
          </w:tcPr>
          <w:p w14:paraId="7FEFBE16">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5</w:t>
            </w:r>
          </w:p>
        </w:tc>
        <w:tc>
          <w:tcPr>
            <w:tcW w:w="7125" w:type="dxa"/>
          </w:tcPr>
          <w:p w14:paraId="61C44500">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车辆符合安全标准，保险齐全，定期检查维护和保养。</w:t>
            </w:r>
          </w:p>
        </w:tc>
      </w:tr>
      <w:tr w14:paraId="24AD7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08B6533C">
            <w:pPr>
              <w:pStyle w:val="14"/>
              <w:numPr>
                <w:ilvl w:val="0"/>
                <w:numId w:val="0"/>
              </w:numPr>
              <w:jc w:val="center"/>
              <w:rPr>
                <w:rFonts w:hint="default" w:hAnsi="宋体"/>
                <w:bCs/>
                <w:kern w:val="44"/>
                <w:sz w:val="24"/>
                <w:szCs w:val="24"/>
                <w:lang w:val="en-US" w:eastAsia="zh-CN"/>
              </w:rPr>
            </w:pPr>
          </w:p>
        </w:tc>
        <w:tc>
          <w:tcPr>
            <w:tcW w:w="788" w:type="dxa"/>
            <w:vAlign w:val="center"/>
          </w:tcPr>
          <w:p w14:paraId="0C5EE005">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6</w:t>
            </w:r>
          </w:p>
        </w:tc>
        <w:tc>
          <w:tcPr>
            <w:tcW w:w="7125" w:type="dxa"/>
          </w:tcPr>
          <w:p w14:paraId="48B1FE76">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服务车辆完全执行采购人指定运行线路，不得随意变更路线。日运行2趟。服务时间：1.工作日：（1）7：30 2辆44座车（</w:t>
            </w:r>
            <w:r>
              <w:rPr>
                <w:rFonts w:hint="eastAsia" w:hAnsi="宋体"/>
                <w:bCs/>
                <w:kern w:val="44"/>
                <w:sz w:val="24"/>
                <w:szCs w:val="24"/>
                <w:lang w:val="en-US" w:eastAsia="zh-CN"/>
              </w:rPr>
              <w:t>东康两部</w:t>
            </w:r>
            <w:r>
              <w:rPr>
                <w:rFonts w:hint="default" w:hAnsi="宋体"/>
                <w:bCs/>
                <w:kern w:val="44"/>
                <w:sz w:val="24"/>
                <w:szCs w:val="24"/>
                <w:lang w:val="en-US" w:eastAsia="zh-CN"/>
              </w:rPr>
              <w:t>同时发车）（2）17：45  2辆44座车（</w:t>
            </w:r>
            <w:r>
              <w:rPr>
                <w:rFonts w:hint="eastAsia" w:hAnsi="宋体"/>
                <w:bCs/>
                <w:kern w:val="44"/>
                <w:sz w:val="24"/>
                <w:szCs w:val="24"/>
                <w:lang w:val="en-US" w:eastAsia="zh-CN"/>
              </w:rPr>
              <w:t>东康两部</w:t>
            </w:r>
            <w:r>
              <w:rPr>
                <w:rFonts w:hint="default" w:hAnsi="宋体"/>
                <w:bCs/>
                <w:kern w:val="44"/>
                <w:sz w:val="24"/>
                <w:szCs w:val="24"/>
                <w:lang w:val="en-US" w:eastAsia="zh-CN"/>
              </w:rPr>
              <w:t>同时发车</w:t>
            </w:r>
            <w:r>
              <w:rPr>
                <w:rFonts w:hint="eastAsia" w:hAnsi="宋体"/>
                <w:bCs/>
                <w:kern w:val="44"/>
                <w:sz w:val="24"/>
                <w:szCs w:val="24"/>
                <w:lang w:val="en-US" w:eastAsia="zh-CN"/>
              </w:rPr>
              <w:t>）；</w:t>
            </w:r>
            <w:r>
              <w:rPr>
                <w:rFonts w:hint="default" w:hAnsi="宋体"/>
                <w:bCs/>
                <w:kern w:val="44"/>
                <w:sz w:val="24"/>
                <w:szCs w:val="24"/>
                <w:lang w:val="en-US" w:eastAsia="zh-CN"/>
              </w:rPr>
              <w:t xml:space="preserve">         </w:t>
            </w:r>
          </w:p>
          <w:p w14:paraId="26CEA67A">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 xml:space="preserve"> 2.节假日：（1）7:30  1辆36座车（由东胜部至康巴什部） （2）9:20  1辆20座车（由康巴什部至东胜部）（3）16:30  1辆20座车（由东胜部至康巴什部）（4）17:45  1辆36座车（由康巴什部至东胜部）。出租方严格按照《市中心医院东胜部至康巴什部通勤车时间表》有关内容发车，按时将车辆调配到位，不得擅自停运医院租用车辆。</w:t>
            </w:r>
          </w:p>
        </w:tc>
      </w:tr>
      <w:tr w14:paraId="05BAF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43F70ED9">
            <w:pPr>
              <w:pStyle w:val="14"/>
              <w:numPr>
                <w:ilvl w:val="0"/>
                <w:numId w:val="0"/>
              </w:numPr>
              <w:jc w:val="center"/>
              <w:rPr>
                <w:rFonts w:hint="default" w:hAnsi="宋体"/>
                <w:bCs/>
                <w:kern w:val="44"/>
                <w:sz w:val="24"/>
                <w:szCs w:val="24"/>
                <w:lang w:val="en-US" w:eastAsia="zh-CN"/>
              </w:rPr>
            </w:pPr>
          </w:p>
        </w:tc>
        <w:tc>
          <w:tcPr>
            <w:tcW w:w="788" w:type="dxa"/>
            <w:vAlign w:val="center"/>
          </w:tcPr>
          <w:p w14:paraId="29DDA0FB">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7</w:t>
            </w:r>
          </w:p>
        </w:tc>
        <w:tc>
          <w:tcPr>
            <w:tcW w:w="7125" w:type="dxa"/>
          </w:tcPr>
          <w:p w14:paraId="69BAA980">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备用车辆：标准不变，拥有即时调整及更换不同座位和不同载重量车辆的能力，投标人需提供满足服务需求的备用车辆。遇特殊情况，投标人应尽量满足招标人临时改变的时间及增加用车次数的需求。</w:t>
            </w:r>
          </w:p>
        </w:tc>
      </w:tr>
      <w:tr w14:paraId="2348B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0AFC0E64">
            <w:pPr>
              <w:pStyle w:val="14"/>
              <w:numPr>
                <w:ilvl w:val="0"/>
                <w:numId w:val="0"/>
              </w:numPr>
              <w:jc w:val="center"/>
              <w:rPr>
                <w:rFonts w:hint="default" w:hAnsi="宋体"/>
                <w:bCs/>
                <w:kern w:val="44"/>
                <w:sz w:val="24"/>
                <w:szCs w:val="24"/>
                <w:lang w:val="en-US" w:eastAsia="zh-CN"/>
              </w:rPr>
            </w:pPr>
          </w:p>
        </w:tc>
        <w:tc>
          <w:tcPr>
            <w:tcW w:w="788" w:type="dxa"/>
            <w:vAlign w:val="center"/>
          </w:tcPr>
          <w:p w14:paraId="77A1F996">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8</w:t>
            </w:r>
          </w:p>
        </w:tc>
        <w:tc>
          <w:tcPr>
            <w:tcW w:w="7125" w:type="dxa"/>
            <w:vAlign w:val="center"/>
          </w:tcPr>
          <w:p w14:paraId="0B76C418">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制度保障:体现加强安全管理，实施规范服务、优质服务的各项规章制度、保证措施和服务承诺等。建立健全车辆安全管理制度，配备安全管理人员，加强车辆的安全维护，定期对车辆驾驶人进行安全教育，组织车辆驾驶人学习道路交通安全法律法规以及安全防范、应急处置和应急救援知识，保障职工班车运行安全。</w:t>
            </w:r>
          </w:p>
        </w:tc>
      </w:tr>
      <w:tr w14:paraId="2E21F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3A1C2B6A">
            <w:pPr>
              <w:pStyle w:val="14"/>
              <w:numPr>
                <w:ilvl w:val="0"/>
                <w:numId w:val="0"/>
              </w:numPr>
              <w:jc w:val="center"/>
              <w:rPr>
                <w:rFonts w:hint="default" w:hAnsi="宋体"/>
                <w:bCs/>
                <w:kern w:val="44"/>
                <w:sz w:val="24"/>
                <w:szCs w:val="24"/>
                <w:lang w:val="en-US" w:eastAsia="zh-CN"/>
              </w:rPr>
            </w:pPr>
          </w:p>
        </w:tc>
        <w:tc>
          <w:tcPr>
            <w:tcW w:w="788" w:type="dxa"/>
            <w:vAlign w:val="center"/>
          </w:tcPr>
          <w:p w14:paraId="13775E9D">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9</w:t>
            </w:r>
          </w:p>
        </w:tc>
        <w:tc>
          <w:tcPr>
            <w:tcW w:w="7125" w:type="dxa"/>
          </w:tcPr>
          <w:p w14:paraId="20E297CB">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投标人需确保向采购方提供专业化、标准化的车辆租赁服务，采购方有权对投标人的管理服务工作进行检查、考核，如其服务质量未达到约定的要求，采购方将对投标人违约行为，发出书面整改通知，逾期未整改或整改无明显效果，处以服务费10%的违约罚款。对考核不合格的，采购方有权根据合同规定，终止投标人的服务合同。</w:t>
            </w:r>
          </w:p>
        </w:tc>
      </w:tr>
      <w:tr w14:paraId="65E24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040" w:type="dxa"/>
            <w:vAlign w:val="center"/>
          </w:tcPr>
          <w:p w14:paraId="4B040640">
            <w:pPr>
              <w:pStyle w:val="14"/>
              <w:numPr>
                <w:ilvl w:val="0"/>
                <w:numId w:val="0"/>
              </w:numPr>
              <w:jc w:val="center"/>
              <w:rPr>
                <w:rFonts w:hint="default" w:hAnsi="宋体"/>
                <w:bCs/>
                <w:kern w:val="44"/>
                <w:sz w:val="24"/>
                <w:szCs w:val="24"/>
                <w:lang w:val="en-US" w:eastAsia="zh-CN"/>
              </w:rPr>
            </w:pPr>
          </w:p>
        </w:tc>
        <w:tc>
          <w:tcPr>
            <w:tcW w:w="788" w:type="dxa"/>
            <w:vAlign w:val="center"/>
          </w:tcPr>
          <w:p w14:paraId="6ADB91F0">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10</w:t>
            </w:r>
          </w:p>
        </w:tc>
        <w:tc>
          <w:tcPr>
            <w:tcW w:w="7125" w:type="dxa"/>
          </w:tcPr>
          <w:p w14:paraId="175AE868">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合同执行期间，投标人行车载客载货必须遵守交通规则。如违反交通规则，相关罚款及责任由投标人负责；如造成交通事故或乘客损伤或物资损坏，招标人有权向投标人索赔，由中标人承担所有责任。中标人要负责对所租车辆进行维护保养并承担租用期间产生的油燃料、维护保养、司机工资以及意外事故等所产生的一切费用。</w:t>
            </w:r>
          </w:p>
        </w:tc>
      </w:tr>
      <w:tr w14:paraId="6B99E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8953" w:type="dxa"/>
            <w:gridSpan w:val="3"/>
            <w:vAlign w:val="center"/>
          </w:tcPr>
          <w:p w14:paraId="4E8DF9FF">
            <w:pPr>
              <w:pStyle w:val="14"/>
              <w:numPr>
                <w:ilvl w:val="0"/>
                <w:numId w:val="0"/>
              </w:numPr>
              <w:rPr>
                <w:rFonts w:hint="default" w:hAnsi="宋体"/>
                <w:bCs/>
                <w:kern w:val="44"/>
                <w:sz w:val="24"/>
                <w:szCs w:val="24"/>
                <w:lang w:val="en-US" w:eastAsia="zh-CN"/>
              </w:rPr>
            </w:pPr>
            <w:r>
              <w:rPr>
                <w:rFonts w:hint="eastAsia" w:hAnsi="宋体"/>
                <w:bCs/>
                <w:kern w:val="44"/>
                <w:sz w:val="24"/>
                <w:szCs w:val="24"/>
                <w:lang w:val="en-US" w:eastAsia="zh-CN"/>
              </w:rPr>
              <w:t>注：所有参数中标“</w:t>
            </w:r>
            <w:r>
              <w:rPr>
                <w:rFonts w:hint="default" w:hAnsi="宋体"/>
                <w:bCs/>
                <w:kern w:val="44"/>
                <w:sz w:val="24"/>
                <w:szCs w:val="24"/>
                <w:lang w:val="en-US" w:eastAsia="zh-CN"/>
              </w:rPr>
              <w:t>*</w:t>
            </w:r>
            <w:r>
              <w:rPr>
                <w:rFonts w:hint="eastAsia" w:hAnsi="宋体"/>
                <w:bCs/>
                <w:kern w:val="44"/>
                <w:sz w:val="24"/>
                <w:szCs w:val="24"/>
                <w:lang w:val="en-US" w:eastAsia="zh-CN"/>
              </w:rPr>
              <w:t>”项为必须满足条款，否则按废标处理。</w:t>
            </w:r>
          </w:p>
        </w:tc>
      </w:tr>
    </w:tbl>
    <w:p w14:paraId="4C242960">
      <w:pPr>
        <w:pStyle w:val="14"/>
        <w:numPr>
          <w:ilvl w:val="0"/>
          <w:numId w:val="0"/>
        </w:numPr>
        <w:rPr>
          <w:rFonts w:hint="eastAsia" w:hAnsi="宋体"/>
          <w:bCs/>
          <w:kern w:val="44"/>
          <w:sz w:val="24"/>
          <w:szCs w:val="24"/>
          <w:lang w:val="en-US" w:eastAsia="zh-CN"/>
        </w:rPr>
      </w:pPr>
    </w:p>
    <w:p w14:paraId="76221717">
      <w:pPr>
        <w:pStyle w:val="14"/>
        <w:numPr>
          <w:ilvl w:val="0"/>
          <w:numId w:val="0"/>
        </w:numPr>
        <w:rPr>
          <w:rFonts w:hint="default" w:hAnsi="宋体"/>
          <w:bCs/>
          <w:kern w:val="44"/>
          <w:sz w:val="24"/>
          <w:szCs w:val="24"/>
          <w:lang w:val="en-US" w:eastAsia="zh-CN"/>
        </w:rPr>
      </w:pPr>
    </w:p>
    <w:p w14:paraId="01253305">
      <w:pPr>
        <w:pStyle w:val="14"/>
        <w:numPr>
          <w:ilvl w:val="0"/>
          <w:numId w:val="0"/>
        </w:numPr>
        <w:rPr>
          <w:rFonts w:hint="default" w:hAnsi="宋体"/>
          <w:bCs/>
          <w:kern w:val="44"/>
          <w:sz w:val="24"/>
          <w:szCs w:val="24"/>
          <w:lang w:val="en-US" w:eastAsia="zh-CN"/>
        </w:rPr>
      </w:pPr>
    </w:p>
    <w:p w14:paraId="29665ED0">
      <w:pPr>
        <w:pStyle w:val="14"/>
        <w:numPr>
          <w:ilvl w:val="0"/>
          <w:numId w:val="0"/>
        </w:numPr>
        <w:rPr>
          <w:rFonts w:hint="default" w:hAnsi="宋体"/>
          <w:bCs/>
          <w:kern w:val="44"/>
          <w:sz w:val="24"/>
          <w:szCs w:val="24"/>
          <w:lang w:val="en-US" w:eastAsia="zh-CN"/>
        </w:rPr>
      </w:pPr>
    </w:p>
    <w:p w14:paraId="517589A4">
      <w:pPr>
        <w:pStyle w:val="14"/>
        <w:numPr>
          <w:ilvl w:val="0"/>
          <w:numId w:val="0"/>
        </w:numPr>
        <w:rPr>
          <w:rFonts w:hint="default" w:hAnsi="宋体"/>
          <w:bCs/>
          <w:kern w:val="44"/>
          <w:sz w:val="24"/>
          <w:szCs w:val="24"/>
          <w:lang w:val="en-US" w:eastAsia="zh-CN"/>
        </w:rPr>
      </w:pPr>
    </w:p>
    <w:p w14:paraId="5CD2437C">
      <w:pPr>
        <w:pStyle w:val="14"/>
        <w:numPr>
          <w:ilvl w:val="0"/>
          <w:numId w:val="0"/>
        </w:numPr>
        <w:rPr>
          <w:rFonts w:hint="default" w:hAnsi="宋体"/>
          <w:bCs/>
          <w:kern w:val="44"/>
          <w:sz w:val="24"/>
          <w:szCs w:val="24"/>
          <w:lang w:val="en-US" w:eastAsia="zh-CN"/>
        </w:rPr>
      </w:pPr>
    </w:p>
    <w:p w14:paraId="4FA248C5">
      <w:pPr>
        <w:pStyle w:val="14"/>
        <w:numPr>
          <w:ilvl w:val="0"/>
          <w:numId w:val="0"/>
        </w:numPr>
        <w:rPr>
          <w:rFonts w:hint="default" w:hAnsi="宋体"/>
          <w:bCs/>
          <w:kern w:val="44"/>
          <w:sz w:val="24"/>
          <w:szCs w:val="24"/>
          <w:lang w:val="en-US" w:eastAsia="zh-CN"/>
        </w:rPr>
      </w:pPr>
    </w:p>
    <w:p w14:paraId="7CA06220">
      <w:pPr>
        <w:pStyle w:val="14"/>
        <w:numPr>
          <w:ilvl w:val="0"/>
          <w:numId w:val="0"/>
        </w:numPr>
        <w:rPr>
          <w:rFonts w:hint="default" w:hAnsi="宋体"/>
          <w:bCs/>
          <w:kern w:val="44"/>
          <w:sz w:val="24"/>
          <w:szCs w:val="24"/>
          <w:lang w:val="en-US" w:eastAsia="zh-CN"/>
        </w:rPr>
      </w:pPr>
    </w:p>
    <w:p w14:paraId="1551EDD3">
      <w:pPr>
        <w:pStyle w:val="14"/>
        <w:numPr>
          <w:ilvl w:val="0"/>
          <w:numId w:val="0"/>
        </w:numPr>
        <w:rPr>
          <w:rFonts w:hint="default" w:hAnsi="宋体"/>
          <w:bCs/>
          <w:kern w:val="44"/>
          <w:sz w:val="24"/>
          <w:szCs w:val="24"/>
          <w:lang w:val="en-US" w:eastAsia="zh-CN"/>
        </w:rPr>
      </w:pPr>
    </w:p>
    <w:p w14:paraId="6682EB67">
      <w:pPr>
        <w:pStyle w:val="14"/>
        <w:numPr>
          <w:ilvl w:val="0"/>
          <w:numId w:val="0"/>
        </w:numPr>
        <w:rPr>
          <w:rFonts w:hint="default" w:hAnsi="宋体"/>
          <w:bCs/>
          <w:kern w:val="44"/>
          <w:sz w:val="24"/>
          <w:szCs w:val="24"/>
          <w:lang w:val="en-US" w:eastAsia="zh-CN"/>
        </w:rPr>
      </w:pPr>
    </w:p>
    <w:p w14:paraId="44A58707">
      <w:pPr>
        <w:pStyle w:val="14"/>
        <w:numPr>
          <w:ilvl w:val="0"/>
          <w:numId w:val="0"/>
        </w:numPr>
        <w:rPr>
          <w:rFonts w:hint="default" w:hAnsi="宋体"/>
          <w:bCs/>
          <w:kern w:val="44"/>
          <w:sz w:val="24"/>
          <w:szCs w:val="24"/>
          <w:lang w:val="en-US" w:eastAsia="zh-CN"/>
        </w:rPr>
      </w:pPr>
    </w:p>
    <w:p w14:paraId="75706C86">
      <w:pPr>
        <w:pStyle w:val="14"/>
        <w:numPr>
          <w:ilvl w:val="0"/>
          <w:numId w:val="0"/>
        </w:numPr>
        <w:rPr>
          <w:rFonts w:hint="default" w:hAnsi="宋体"/>
          <w:bCs/>
          <w:kern w:val="44"/>
          <w:sz w:val="24"/>
          <w:szCs w:val="24"/>
          <w:lang w:val="en-US" w:eastAsia="zh-CN"/>
        </w:rPr>
      </w:pPr>
    </w:p>
    <w:p w14:paraId="16A10236">
      <w:pPr>
        <w:pStyle w:val="14"/>
        <w:numPr>
          <w:ilvl w:val="0"/>
          <w:numId w:val="0"/>
        </w:numPr>
        <w:rPr>
          <w:rFonts w:hint="default" w:hAnsi="宋体"/>
          <w:bCs/>
          <w:kern w:val="44"/>
          <w:sz w:val="24"/>
          <w:szCs w:val="24"/>
          <w:lang w:val="en-US" w:eastAsia="zh-CN"/>
        </w:rPr>
      </w:pPr>
    </w:p>
    <w:p w14:paraId="59F354D5">
      <w:pPr>
        <w:pStyle w:val="14"/>
        <w:numPr>
          <w:ilvl w:val="0"/>
          <w:numId w:val="0"/>
        </w:numPr>
        <w:rPr>
          <w:rFonts w:hint="default" w:hAnsi="宋体"/>
          <w:bCs/>
          <w:kern w:val="44"/>
          <w:sz w:val="24"/>
          <w:szCs w:val="24"/>
          <w:lang w:val="en-US" w:eastAsia="zh-CN"/>
        </w:rPr>
      </w:pPr>
    </w:p>
    <w:p w14:paraId="519DDA08">
      <w:pPr>
        <w:pStyle w:val="14"/>
        <w:numPr>
          <w:ilvl w:val="0"/>
          <w:numId w:val="0"/>
        </w:numPr>
        <w:rPr>
          <w:rFonts w:hint="default" w:hAnsi="宋体"/>
          <w:bCs/>
          <w:kern w:val="44"/>
          <w:sz w:val="24"/>
          <w:szCs w:val="24"/>
          <w:lang w:val="en-US" w:eastAsia="zh-CN"/>
        </w:rPr>
      </w:pPr>
    </w:p>
    <w:p w14:paraId="1FBE4377">
      <w:pPr>
        <w:pStyle w:val="14"/>
        <w:numPr>
          <w:ilvl w:val="0"/>
          <w:numId w:val="0"/>
        </w:numPr>
        <w:rPr>
          <w:rFonts w:hint="default" w:hAnsi="宋体"/>
          <w:bCs/>
          <w:kern w:val="44"/>
          <w:sz w:val="24"/>
          <w:szCs w:val="24"/>
          <w:lang w:val="en-US" w:eastAsia="zh-CN"/>
        </w:rPr>
      </w:pPr>
    </w:p>
    <w:p w14:paraId="3C6D0FF7">
      <w:pPr>
        <w:pStyle w:val="14"/>
        <w:numPr>
          <w:ilvl w:val="0"/>
          <w:numId w:val="0"/>
        </w:numPr>
        <w:rPr>
          <w:rFonts w:hint="default" w:hAnsi="宋体"/>
          <w:bCs/>
          <w:kern w:val="44"/>
          <w:sz w:val="24"/>
          <w:szCs w:val="24"/>
          <w:lang w:val="en-US" w:eastAsia="zh-CN"/>
        </w:rPr>
      </w:pPr>
    </w:p>
    <w:p w14:paraId="7A56A2F1">
      <w:pPr>
        <w:pStyle w:val="14"/>
        <w:numPr>
          <w:ilvl w:val="0"/>
          <w:numId w:val="0"/>
        </w:numPr>
        <w:rPr>
          <w:rFonts w:hint="default" w:hAnsi="宋体"/>
          <w:bCs/>
          <w:kern w:val="44"/>
          <w:sz w:val="24"/>
          <w:szCs w:val="24"/>
          <w:lang w:val="en-US" w:eastAsia="zh-CN"/>
        </w:rPr>
      </w:pPr>
    </w:p>
    <w:p w14:paraId="3993AD83">
      <w:pPr>
        <w:pStyle w:val="14"/>
        <w:numPr>
          <w:ilvl w:val="0"/>
          <w:numId w:val="0"/>
        </w:numPr>
        <w:rPr>
          <w:rFonts w:hint="default" w:hAnsi="宋体"/>
          <w:bCs/>
          <w:kern w:val="44"/>
          <w:sz w:val="24"/>
          <w:szCs w:val="24"/>
          <w:lang w:val="en-US" w:eastAsia="zh-CN"/>
        </w:rPr>
      </w:pPr>
    </w:p>
    <w:p w14:paraId="3A1DF22F">
      <w:pPr>
        <w:pStyle w:val="14"/>
        <w:numPr>
          <w:ilvl w:val="0"/>
          <w:numId w:val="0"/>
        </w:numPr>
        <w:rPr>
          <w:rFonts w:hint="default" w:hAnsi="宋体"/>
          <w:bCs/>
          <w:kern w:val="44"/>
          <w:sz w:val="24"/>
          <w:szCs w:val="24"/>
          <w:lang w:val="en-US" w:eastAsia="zh-CN"/>
        </w:rPr>
      </w:pPr>
    </w:p>
    <w:p w14:paraId="6B2DCE1B">
      <w:pPr>
        <w:pStyle w:val="14"/>
        <w:numPr>
          <w:ilvl w:val="0"/>
          <w:numId w:val="0"/>
        </w:numPr>
        <w:rPr>
          <w:rFonts w:hint="default" w:hAnsi="宋体"/>
          <w:bCs/>
          <w:kern w:val="44"/>
          <w:sz w:val="24"/>
          <w:szCs w:val="24"/>
          <w:lang w:val="en-US" w:eastAsia="zh-CN"/>
        </w:rPr>
      </w:pPr>
    </w:p>
    <w:p w14:paraId="692D1BCB">
      <w:pPr>
        <w:pStyle w:val="14"/>
        <w:numPr>
          <w:ilvl w:val="0"/>
          <w:numId w:val="0"/>
        </w:numPr>
        <w:rPr>
          <w:rFonts w:hint="default" w:hAnsi="宋体"/>
          <w:bCs/>
          <w:kern w:val="44"/>
          <w:sz w:val="24"/>
          <w:szCs w:val="24"/>
          <w:lang w:val="en-US" w:eastAsia="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5E5339">
      <w:pPr>
        <w:pStyle w:val="14"/>
        <w:rPr>
          <w:rFonts w:hint="default" w:ascii="宋体" w:hAnsi="宋体" w:eastAsia="宋体" w:cs="宋体"/>
          <w:b/>
          <w:sz w:val="28"/>
          <w:szCs w:val="28"/>
          <w:lang w:val="en-US" w:eastAsia="zh-CN"/>
        </w:rPr>
      </w:pPr>
      <w:r>
        <w:rPr>
          <w:rFonts w:hint="eastAsia" w:hAnsi="宋体" w:cs="宋体"/>
          <w:b/>
          <w:sz w:val="28"/>
          <w:szCs w:val="28"/>
          <w:lang w:val="en-US" w:eastAsia="zh-CN"/>
        </w:rPr>
        <w:t xml:space="preserve">表2  </w:t>
      </w:r>
      <w:r>
        <w:rPr>
          <w:rFonts w:hint="eastAsia"/>
          <w:b/>
          <w:bCs/>
          <w:lang w:val="en-US" w:eastAsia="zh-CN"/>
        </w:rPr>
        <w:t>评审细则</w:t>
      </w:r>
    </w:p>
    <w:tbl>
      <w:tblPr>
        <w:tblStyle w:val="11"/>
        <w:tblpPr w:vertAnchor="text" w:tblpXSpec="center" w:tblpY="1"/>
        <w:tblW w:w="8522" w:type="dxa"/>
        <w:tblInd w:w="0" w:type="dxa"/>
        <w:tblLayout w:type="fixed"/>
        <w:tblCellMar>
          <w:top w:w="0" w:type="dxa"/>
          <w:left w:w="0" w:type="dxa"/>
          <w:bottom w:w="0" w:type="dxa"/>
          <w:right w:w="0" w:type="dxa"/>
        </w:tblCellMar>
      </w:tblPr>
      <w:tblGrid>
        <w:gridCol w:w="528"/>
        <w:gridCol w:w="1701"/>
        <w:gridCol w:w="6293"/>
      </w:tblGrid>
      <w:tr w14:paraId="7205CB6F">
        <w:tblPrEx>
          <w:tblCellMar>
            <w:top w:w="0" w:type="dxa"/>
            <w:left w:w="0" w:type="dxa"/>
            <w:bottom w:w="0" w:type="dxa"/>
            <w:right w:w="0" w:type="dxa"/>
          </w:tblCellMar>
        </w:tblPrEx>
        <w:trPr>
          <w:trHeight w:val="401" w:hRule="atLeast"/>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0EC6DA">
            <w:pPr>
              <w:widowControl/>
              <w:jc w:val="left"/>
              <w:rPr>
                <w:rFonts w:ascii="宋体" w:hAnsi="Calibri" w:eastAsia="宋体"/>
              </w:rPr>
            </w:pPr>
            <w:r>
              <w:rPr>
                <w:rFonts w:ascii="宋体" w:hAnsi="宋体" w:eastAsia="宋体"/>
              </w:rPr>
              <w:t>评审因素</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ED0BC1A">
            <w:pPr>
              <w:widowControl/>
              <w:jc w:val="left"/>
              <w:rPr>
                <w:rFonts w:ascii="宋体" w:hAnsi="Calibri" w:eastAsia="宋体"/>
              </w:rPr>
            </w:pPr>
            <w:r>
              <w:rPr>
                <w:rFonts w:ascii="宋体" w:hAnsi="宋体" w:eastAsia="宋体"/>
              </w:rPr>
              <w:t>评分标准</w:t>
            </w:r>
          </w:p>
        </w:tc>
      </w:tr>
      <w:tr w14:paraId="38D705A7">
        <w:tblPrEx>
          <w:tblCellMar>
            <w:top w:w="0" w:type="dxa"/>
            <w:left w:w="0" w:type="dxa"/>
            <w:bottom w:w="0" w:type="dxa"/>
            <w:right w:w="0" w:type="dxa"/>
          </w:tblCellMar>
        </w:tblPrEx>
        <w:trPr>
          <w:trHeight w:val="840" w:hRule="atLeast"/>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5883B2">
            <w:pPr>
              <w:widowControl/>
              <w:jc w:val="left"/>
              <w:rPr>
                <w:rFonts w:ascii="宋体" w:hAnsi="Calibri" w:eastAsia="宋体"/>
              </w:rPr>
            </w:pPr>
            <w:r>
              <w:rPr>
                <w:rFonts w:ascii="宋体" w:hAnsi="宋体" w:eastAsia="宋体"/>
              </w:rPr>
              <w:t>分值构成</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449CC6F">
            <w:pPr>
              <w:widowControl/>
              <w:jc w:val="left"/>
              <w:rPr>
                <w:rFonts w:ascii="宋体" w:hAnsi="Calibri" w:eastAsia="宋体"/>
              </w:rPr>
            </w:pPr>
            <w:r>
              <w:rPr>
                <w:rFonts w:ascii="宋体" w:hAnsi="宋体" w:eastAsia="宋体"/>
              </w:rPr>
              <w:t xml:space="preserve">1、报价得分  </w:t>
            </w:r>
            <w:r>
              <w:rPr>
                <w:rFonts w:hint="eastAsia" w:ascii="宋体" w:hAnsi="宋体" w:eastAsia="宋体"/>
              </w:rPr>
              <w:t>30</w:t>
            </w:r>
            <w:r>
              <w:rPr>
                <w:rFonts w:ascii="宋体" w:hAnsi="宋体" w:eastAsia="宋体"/>
              </w:rPr>
              <w:t>分；</w:t>
            </w:r>
          </w:p>
          <w:p w14:paraId="1E6CD8AC">
            <w:pPr>
              <w:widowControl/>
              <w:jc w:val="left"/>
              <w:rPr>
                <w:rFonts w:ascii="宋体" w:hAnsi="Calibri" w:eastAsia="宋体"/>
              </w:rPr>
            </w:pPr>
            <w:r>
              <w:rPr>
                <w:rFonts w:ascii="宋体" w:hAnsi="宋体" w:eastAsia="宋体"/>
              </w:rPr>
              <w:t xml:space="preserve">2、商务部分  </w:t>
            </w:r>
            <w:r>
              <w:rPr>
                <w:rFonts w:hint="eastAsia" w:ascii="宋体" w:hAnsi="宋体" w:eastAsia="宋体"/>
                <w:lang w:val="en-US" w:eastAsia="zh-CN"/>
              </w:rPr>
              <w:t>15</w:t>
            </w:r>
            <w:r>
              <w:rPr>
                <w:rFonts w:ascii="宋体" w:hAnsi="宋体" w:eastAsia="宋体"/>
              </w:rPr>
              <w:t>分；</w:t>
            </w:r>
          </w:p>
          <w:p w14:paraId="3CD5DD68">
            <w:pPr>
              <w:widowControl/>
              <w:jc w:val="left"/>
              <w:rPr>
                <w:rFonts w:ascii="宋体" w:hAnsi="Calibri" w:eastAsia="宋体"/>
              </w:rPr>
            </w:pPr>
            <w:r>
              <w:rPr>
                <w:rFonts w:ascii="宋体" w:hAnsi="宋体" w:eastAsia="宋体"/>
              </w:rPr>
              <w:t>3、技术部分 </w:t>
            </w:r>
            <w:r>
              <w:rPr>
                <w:rFonts w:hint="eastAsia" w:ascii="宋体" w:hAnsi="宋体" w:eastAsia="宋体"/>
                <w:lang w:val="en-US" w:eastAsia="zh-CN"/>
              </w:rPr>
              <w:t>55</w:t>
            </w:r>
            <w:r>
              <w:rPr>
                <w:rFonts w:ascii="宋体" w:hAnsi="宋体" w:eastAsia="宋体"/>
              </w:rPr>
              <w:t>分。</w:t>
            </w:r>
          </w:p>
        </w:tc>
      </w:tr>
      <w:tr w14:paraId="013DB7C3">
        <w:tblPrEx>
          <w:tblCellMar>
            <w:top w:w="0" w:type="dxa"/>
            <w:left w:w="0" w:type="dxa"/>
            <w:bottom w:w="0" w:type="dxa"/>
            <w:right w:w="0" w:type="dxa"/>
          </w:tblCellMar>
        </w:tblPrEx>
        <w:trPr>
          <w:trHeight w:val="567" w:hRule="atLeast"/>
        </w:trPr>
        <w:tc>
          <w:tcPr>
            <w:tcW w:w="528"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F2A03CB">
            <w:pPr>
              <w:widowControl/>
              <w:jc w:val="left"/>
              <w:rPr>
                <w:rFonts w:ascii="宋体" w:hAnsi="Calibri" w:eastAsia="宋体"/>
              </w:rPr>
            </w:pPr>
            <w:r>
              <w:rPr>
                <w:rFonts w:ascii="宋体" w:hAnsi="宋体" w:eastAsia="宋体"/>
              </w:rPr>
              <w:t>投标报价</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A686EC5">
            <w:pPr>
              <w:widowControl/>
              <w:jc w:val="left"/>
              <w:rPr>
                <w:rFonts w:ascii="宋体" w:hAnsi="Calibri" w:eastAsia="宋体"/>
              </w:rPr>
            </w:pPr>
            <w:r>
              <w:rPr>
                <w:rFonts w:ascii="宋体" w:hAnsi="宋体" w:eastAsia="宋体"/>
              </w:rPr>
              <w:t>评标基准价确定方法</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2C3869">
            <w:pPr>
              <w:widowControl/>
              <w:jc w:val="left"/>
              <w:rPr>
                <w:rFonts w:ascii="宋体" w:hAnsi="Calibri" w:eastAsia="宋体"/>
              </w:rPr>
            </w:pPr>
            <w:r>
              <w:rPr>
                <w:rFonts w:ascii="宋体" w:hAnsi="宋体" w:eastAsia="宋体"/>
              </w:rPr>
              <w:t>满足招标文件要求通过初步评审的且投标报价最低的为评标基准价。符合小型、微型企业等规定进行价格调整的</w:t>
            </w:r>
            <w:r>
              <w:rPr>
                <w:rFonts w:hint="eastAsia" w:ascii="宋体" w:hAnsi="宋体" w:eastAsia="宋体"/>
              </w:rPr>
              <w:t>，</w:t>
            </w:r>
            <w:r>
              <w:rPr>
                <w:rFonts w:ascii="宋体" w:hAnsi="宋体" w:eastAsia="宋体"/>
              </w:rPr>
              <w:t>以调整后的价格计算评标基准价和投标报价。</w:t>
            </w:r>
          </w:p>
        </w:tc>
      </w:tr>
      <w:tr w14:paraId="239BE73C">
        <w:tblPrEx>
          <w:tblCellMar>
            <w:top w:w="0" w:type="dxa"/>
            <w:left w:w="0" w:type="dxa"/>
            <w:bottom w:w="0" w:type="dxa"/>
            <w:right w:w="0" w:type="dxa"/>
          </w:tblCellMar>
        </w:tblPrEx>
        <w:trPr>
          <w:trHeight w:val="567" w:hRule="atLeast"/>
        </w:trPr>
        <w:tc>
          <w:tcPr>
            <w:tcW w:w="52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6C513935">
            <w:pPr>
              <w:widowControl/>
              <w:jc w:val="left"/>
              <w:rPr>
                <w:rFonts w:ascii="宋体" w:hAnsi="Calibri"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D5A3E9">
            <w:pPr>
              <w:widowControl/>
              <w:snapToGrid w:val="0"/>
              <w:jc w:val="center"/>
              <w:rPr>
                <w:rFonts w:ascii="宋体" w:hAnsi="Calibri" w:eastAsia="宋体"/>
              </w:rPr>
            </w:pPr>
            <w:r>
              <w:rPr>
                <w:rFonts w:ascii="宋体" w:hAnsi="宋体" w:eastAsia="宋体"/>
              </w:rPr>
              <w:t>投标报价得分（</w:t>
            </w:r>
            <w:r>
              <w:rPr>
                <w:rFonts w:hint="eastAsia" w:ascii="宋体" w:hAnsi="宋体" w:eastAsia="宋体"/>
              </w:rPr>
              <w:t>30</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68180E0">
            <w:pPr>
              <w:widowControl/>
              <w:snapToGrid w:val="0"/>
              <w:jc w:val="left"/>
              <w:rPr>
                <w:rFonts w:ascii="宋体" w:hAnsi="Calibri" w:eastAsia="宋体"/>
              </w:rPr>
            </w:pPr>
            <w:r>
              <w:rPr>
                <w:rFonts w:ascii="宋体" w:hAnsi="宋体" w:eastAsia="宋体"/>
              </w:rPr>
              <w:t>投标报价得分＝（评标基准价/投标报价）×</w:t>
            </w:r>
            <w:r>
              <w:rPr>
                <w:rFonts w:hint="eastAsia" w:ascii="宋体" w:hAnsi="宋体" w:eastAsia="宋体"/>
              </w:rPr>
              <w:t>30</w:t>
            </w:r>
            <w:r>
              <w:rPr>
                <w:rFonts w:ascii="宋体" w:hAnsi="宋体" w:eastAsia="宋体"/>
              </w:rPr>
              <w:t>。</w:t>
            </w:r>
          </w:p>
        </w:tc>
      </w:tr>
      <w:tr w14:paraId="19FAC306">
        <w:tblPrEx>
          <w:tblCellMar>
            <w:top w:w="0" w:type="dxa"/>
            <w:left w:w="0" w:type="dxa"/>
            <w:bottom w:w="0" w:type="dxa"/>
            <w:right w:w="0" w:type="dxa"/>
          </w:tblCellMar>
        </w:tblPrEx>
        <w:trPr>
          <w:trHeight w:val="567" w:hRule="atLeast"/>
        </w:trPr>
        <w:tc>
          <w:tcPr>
            <w:tcW w:w="528" w:type="dxa"/>
            <w:tcBorders>
              <w:left w:val="single" w:color="000000" w:sz="4" w:space="0"/>
              <w:right w:val="single" w:color="000000" w:sz="4" w:space="0"/>
            </w:tcBorders>
            <w:tcMar>
              <w:top w:w="0" w:type="dxa"/>
              <w:left w:w="108" w:type="dxa"/>
              <w:bottom w:w="0" w:type="dxa"/>
              <w:right w:w="108" w:type="dxa"/>
            </w:tcMar>
            <w:vAlign w:val="center"/>
          </w:tcPr>
          <w:p w14:paraId="0E78EDE3">
            <w:pPr>
              <w:widowControl/>
              <w:snapToGrid w:val="0"/>
              <w:jc w:val="left"/>
              <w:rPr>
                <w:rFonts w:ascii="宋体" w:hAnsi="Calibri" w:eastAsia="宋体"/>
              </w:rPr>
            </w:pPr>
            <w:r>
              <w:rPr>
                <w:rFonts w:ascii="宋体" w:hAnsi="宋体" w:eastAsia="宋体"/>
              </w:rPr>
              <w:t>商务部分</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5851BB5">
            <w:pPr>
              <w:widowControl/>
              <w:jc w:val="center"/>
              <w:rPr>
                <w:rFonts w:hint="eastAsia" w:ascii="宋体" w:hAnsi="宋体" w:eastAsia="宋体"/>
              </w:rPr>
            </w:pPr>
            <w:r>
              <w:rPr>
                <w:rFonts w:ascii="宋体" w:hAnsi="宋体" w:eastAsia="宋体"/>
              </w:rPr>
              <w:t>业绩</w:t>
            </w:r>
          </w:p>
          <w:p w14:paraId="1E495534">
            <w:pPr>
              <w:widowControl/>
              <w:jc w:val="center"/>
              <w:rPr>
                <w:rFonts w:ascii="宋体" w:hAnsi="Calibri" w:eastAsia="宋体"/>
              </w:rPr>
            </w:pPr>
            <w:r>
              <w:rPr>
                <w:rFonts w:ascii="宋体" w:hAnsi="宋体" w:eastAsia="宋体"/>
              </w:rPr>
              <w:t>（</w:t>
            </w:r>
            <w:r>
              <w:rPr>
                <w:rFonts w:hint="eastAsia" w:ascii="宋体" w:hAnsi="宋体" w:eastAsia="宋体"/>
                <w:lang w:val="en-US" w:eastAsia="zh-CN"/>
              </w:rPr>
              <w:t>15</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8224A4D">
            <w:pPr>
              <w:widowControl/>
              <w:jc w:val="left"/>
              <w:rPr>
                <w:rFonts w:hint="eastAsia" w:ascii="宋体" w:hAnsi="宋体" w:eastAsia="宋体"/>
              </w:rPr>
            </w:pPr>
            <w:r>
              <w:rPr>
                <w:rFonts w:ascii="宋体" w:hAnsi="宋体" w:eastAsia="宋体"/>
              </w:rPr>
              <w:t>投标人提供20</w:t>
            </w:r>
            <w:r>
              <w:rPr>
                <w:rFonts w:hint="eastAsia" w:ascii="宋体" w:hAnsi="宋体" w:eastAsia="宋体"/>
              </w:rPr>
              <w:t>22</w:t>
            </w:r>
            <w:r>
              <w:rPr>
                <w:rFonts w:ascii="宋体" w:hAnsi="宋体" w:eastAsia="宋体"/>
              </w:rPr>
              <w:t>年</w:t>
            </w:r>
            <w:r>
              <w:rPr>
                <w:rFonts w:hint="eastAsia" w:ascii="宋体" w:hAnsi="宋体" w:eastAsia="宋体"/>
              </w:rPr>
              <w:t>1月</w:t>
            </w:r>
            <w:r>
              <w:rPr>
                <w:rFonts w:ascii="宋体" w:hAnsi="宋体" w:eastAsia="宋体"/>
              </w:rPr>
              <w:t>至今</w:t>
            </w:r>
            <w:r>
              <w:rPr>
                <w:rFonts w:hint="eastAsia" w:ascii="宋体" w:hAnsi="宋体" w:eastAsia="宋体"/>
              </w:rPr>
              <w:t>类似项目业绩（承揽大型客车租赁服务）</w:t>
            </w:r>
            <w:r>
              <w:rPr>
                <w:rFonts w:ascii="宋体" w:hAnsi="宋体" w:eastAsia="宋体"/>
              </w:rPr>
              <w:t>，</w:t>
            </w:r>
            <w:r>
              <w:rPr>
                <w:rFonts w:hint="eastAsia" w:ascii="宋体" w:hAnsi="宋体" w:eastAsia="宋体"/>
              </w:rPr>
              <w:t>要求时间以合同签订时间为准，</w:t>
            </w:r>
            <w:r>
              <w:rPr>
                <w:rFonts w:ascii="宋体" w:hAnsi="宋体" w:eastAsia="宋体"/>
              </w:rPr>
              <w:t>投标文件中附有其业绩证明材料，业绩以投标人的销售或服务合同为依据，每提供一个</w:t>
            </w:r>
            <w:r>
              <w:rPr>
                <w:rFonts w:hint="eastAsia" w:ascii="宋体" w:hAnsi="宋体" w:eastAsia="宋体"/>
                <w:lang w:val="en-US" w:eastAsia="zh-CN"/>
              </w:rPr>
              <w:t>得3</w:t>
            </w:r>
            <w:r>
              <w:rPr>
                <w:rFonts w:ascii="宋体" w:hAnsi="宋体" w:eastAsia="宋体"/>
              </w:rPr>
              <w:t>分，满分</w:t>
            </w:r>
            <w:r>
              <w:rPr>
                <w:rFonts w:hint="eastAsia" w:ascii="宋体" w:hAnsi="宋体" w:eastAsia="宋体"/>
                <w:lang w:val="en-US" w:eastAsia="zh-CN"/>
              </w:rPr>
              <w:t>15</w:t>
            </w:r>
            <w:r>
              <w:rPr>
                <w:rFonts w:ascii="宋体" w:hAnsi="宋体" w:eastAsia="宋体"/>
              </w:rPr>
              <w:t>分。</w:t>
            </w:r>
            <w:r>
              <w:rPr>
                <w:rFonts w:hint="eastAsia" w:ascii="宋体" w:hAnsi="宋体" w:eastAsia="宋体"/>
              </w:rPr>
              <w:t>注：大型客车租赁指核载人数20人以上的载客客车租赁服务。</w:t>
            </w:r>
          </w:p>
          <w:p w14:paraId="0FAC07AC">
            <w:pPr>
              <w:widowControl/>
              <w:jc w:val="left"/>
              <w:rPr>
                <w:rFonts w:ascii="Calibri" w:hAnsi="Calibri" w:eastAsia="宋体"/>
              </w:rPr>
            </w:pPr>
            <w:r>
              <w:rPr>
                <w:rFonts w:ascii="宋体" w:hAnsi="宋体" w:eastAsia="宋体"/>
              </w:rPr>
              <w:t>注：业绩（销售或服务合同）中甲乙双方签章、合同签订时间、合同金额和名称必须清晰，否则不予评分。</w:t>
            </w:r>
          </w:p>
        </w:tc>
      </w:tr>
      <w:tr w14:paraId="34B0B13E">
        <w:tblPrEx>
          <w:tblCellMar>
            <w:top w:w="0" w:type="dxa"/>
            <w:left w:w="0" w:type="dxa"/>
            <w:bottom w:w="0" w:type="dxa"/>
            <w:right w:w="0" w:type="dxa"/>
          </w:tblCellMar>
        </w:tblPrEx>
        <w:trPr>
          <w:trHeight w:val="980" w:hRule="atLeast"/>
        </w:trPr>
        <w:tc>
          <w:tcPr>
            <w:tcW w:w="528" w:type="dxa"/>
            <w:vMerge w:val="restart"/>
            <w:tcBorders>
              <w:left w:val="single" w:color="000000" w:sz="4" w:space="0"/>
              <w:right w:val="single" w:color="000000" w:sz="4" w:space="0"/>
            </w:tcBorders>
            <w:tcMar>
              <w:top w:w="0" w:type="dxa"/>
              <w:left w:w="108" w:type="dxa"/>
              <w:bottom w:w="0" w:type="dxa"/>
              <w:right w:w="108" w:type="dxa"/>
            </w:tcMar>
            <w:vAlign w:val="center"/>
          </w:tcPr>
          <w:p w14:paraId="6343743B">
            <w:pPr>
              <w:widowControl/>
              <w:jc w:val="left"/>
              <w:rPr>
                <w:rFonts w:hint="eastAsia" w:ascii="宋体" w:hAnsi="宋体" w:eastAsia="宋体"/>
              </w:rPr>
            </w:pPr>
            <w:r>
              <w:rPr>
                <w:rFonts w:ascii="宋体" w:hAnsi="宋体" w:eastAsia="宋体"/>
              </w:rPr>
              <w:t>技术部分</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CC78D">
            <w:pPr>
              <w:widowControl/>
              <w:jc w:val="center"/>
              <w:rPr>
                <w:rFonts w:hint="eastAsia" w:ascii="宋体" w:hAnsi="宋体" w:eastAsia="宋体"/>
              </w:rPr>
            </w:pPr>
            <w:r>
              <w:rPr>
                <w:rFonts w:ascii="宋体" w:hAnsi="宋体" w:eastAsia="宋体"/>
              </w:rPr>
              <w:t>技术参数</w:t>
            </w:r>
          </w:p>
          <w:p w14:paraId="5A93E817">
            <w:pPr>
              <w:widowControl/>
              <w:jc w:val="center"/>
              <w:rPr>
                <w:rFonts w:hint="eastAsia" w:ascii="宋体" w:hAnsi="宋体" w:eastAsia="宋体"/>
              </w:rPr>
            </w:pPr>
            <w:r>
              <w:rPr>
                <w:rFonts w:ascii="宋体" w:hAnsi="宋体" w:eastAsia="宋体"/>
              </w:rPr>
              <w:t>（</w:t>
            </w:r>
            <w:r>
              <w:rPr>
                <w:rFonts w:hint="eastAsia" w:ascii="宋体" w:hAnsi="宋体" w:eastAsia="宋体"/>
                <w:lang w:val="en-US" w:eastAsia="zh-CN"/>
              </w:rPr>
              <w:t>16</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F9DB3CF">
            <w:pPr>
              <w:widowControl/>
              <w:jc w:val="left"/>
              <w:rPr>
                <w:rFonts w:hint="eastAsia" w:ascii="宋体" w:hAnsi="宋体" w:eastAsia="宋体"/>
              </w:rPr>
            </w:pPr>
            <w:r>
              <w:rPr>
                <w:rFonts w:hint="eastAsia" w:ascii="宋体" w:hAnsi="宋体" w:eastAsia="宋体"/>
              </w:rPr>
              <w:t>所有一般技术参数指标（非“*</w:t>
            </w:r>
            <w:r>
              <w:rPr>
                <w:rFonts w:hint="eastAsia" w:ascii="宋体" w:hAnsi="宋体" w:eastAsia="宋体"/>
                <w:lang w:val="en-US" w:eastAsia="zh-CN"/>
              </w:rPr>
              <w:t>”</w:t>
            </w:r>
            <w:r>
              <w:rPr>
                <w:rFonts w:hint="eastAsia" w:ascii="宋体" w:hAnsi="宋体" w:eastAsia="宋体"/>
              </w:rPr>
              <w:t>项）</w:t>
            </w:r>
            <w:r>
              <w:rPr>
                <w:rFonts w:hint="eastAsia" w:ascii="宋体" w:hAnsi="宋体" w:eastAsia="宋体"/>
                <w:lang w:val="en-US" w:eastAsia="zh-CN"/>
              </w:rPr>
              <w:t>完全响应</w:t>
            </w:r>
            <w:r>
              <w:rPr>
                <w:rFonts w:hint="eastAsia" w:ascii="宋体" w:hAnsi="宋体" w:eastAsia="宋体"/>
              </w:rPr>
              <w:t>招标文件要求的得</w:t>
            </w:r>
            <w:r>
              <w:rPr>
                <w:rFonts w:hint="eastAsia" w:ascii="宋体" w:hAnsi="宋体" w:eastAsia="宋体"/>
                <w:lang w:val="en-US" w:eastAsia="zh-CN"/>
              </w:rPr>
              <w:t>16</w:t>
            </w:r>
            <w:r>
              <w:rPr>
                <w:rFonts w:hint="eastAsia" w:ascii="宋体" w:hAnsi="宋体" w:eastAsia="宋体"/>
              </w:rPr>
              <w:t>分，每有一项不满足或负偏离扣</w:t>
            </w:r>
            <w:r>
              <w:rPr>
                <w:rFonts w:hint="eastAsia" w:ascii="宋体" w:hAnsi="宋体" w:eastAsia="宋体"/>
                <w:lang w:val="en-US" w:eastAsia="zh-CN"/>
              </w:rPr>
              <w:t>的2</w:t>
            </w:r>
            <w:r>
              <w:rPr>
                <w:rFonts w:hint="eastAsia" w:ascii="宋体" w:hAnsi="宋体" w:eastAsia="宋体"/>
              </w:rPr>
              <w:t>分</w:t>
            </w:r>
            <w:r>
              <w:rPr>
                <w:rFonts w:hint="eastAsia" w:ascii="宋体" w:hAnsi="宋体" w:eastAsia="宋体"/>
                <w:lang w:eastAsia="zh-CN"/>
              </w:rPr>
              <w:t>，</w:t>
            </w:r>
            <w:r>
              <w:rPr>
                <w:rFonts w:hint="eastAsia" w:ascii="宋体" w:hAnsi="宋体" w:eastAsia="宋体"/>
              </w:rPr>
              <w:t>分值扣完为止。</w:t>
            </w:r>
          </w:p>
        </w:tc>
      </w:tr>
      <w:tr w14:paraId="33EF40A9">
        <w:tblPrEx>
          <w:tblCellMar>
            <w:top w:w="0" w:type="dxa"/>
            <w:left w:w="0" w:type="dxa"/>
            <w:bottom w:w="0" w:type="dxa"/>
            <w:right w:w="0" w:type="dxa"/>
          </w:tblCellMar>
        </w:tblPrEx>
        <w:trPr>
          <w:trHeight w:val="90"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5B9E8C20">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478A3">
            <w:pPr>
              <w:widowControl/>
              <w:jc w:val="center"/>
              <w:rPr>
                <w:rFonts w:hint="eastAsia" w:ascii="宋体" w:hAnsi="宋体" w:eastAsia="宋体"/>
              </w:rPr>
            </w:pPr>
            <w:r>
              <w:rPr>
                <w:rFonts w:hint="eastAsia" w:ascii="宋体" w:hAnsi="宋体" w:eastAsia="宋体"/>
              </w:rPr>
              <w:t>车辆管理方案（</w:t>
            </w:r>
            <w:r>
              <w:rPr>
                <w:rFonts w:hint="eastAsia" w:ascii="宋体" w:hAnsi="宋体" w:eastAsia="宋体"/>
                <w:lang w:val="en-US" w:eastAsia="zh-CN"/>
              </w:rPr>
              <w:t>9</w:t>
            </w:r>
            <w:r>
              <w:rPr>
                <w:rFonts w:hint="eastAsia"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7C69B37">
            <w:pPr>
              <w:widowControl/>
              <w:jc w:val="left"/>
              <w:rPr>
                <w:rFonts w:hint="eastAsia" w:ascii="宋体" w:hAnsi="宋体" w:eastAsia="宋体"/>
              </w:rPr>
            </w:pPr>
            <w:r>
              <w:rPr>
                <w:rFonts w:hint="eastAsia" w:ascii="宋体" w:hAnsi="宋体" w:eastAsia="宋体"/>
              </w:rPr>
              <w:t>租赁服务提供过程中的配置的车型、车辆维修、车辆保养方案，服务方案整体结构完整，合理、科学得</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9</w:t>
            </w:r>
            <w:r>
              <w:rPr>
                <w:rFonts w:hint="eastAsia" w:ascii="宋体" w:hAnsi="宋体" w:eastAsia="宋体"/>
              </w:rPr>
              <w:t>分；可实施性较强、较为贴合用户需求、成熟性有待提升得4-</w:t>
            </w:r>
            <w:r>
              <w:rPr>
                <w:rFonts w:hint="eastAsia" w:ascii="宋体" w:hAnsi="宋体" w:eastAsia="宋体"/>
                <w:lang w:val="en-US" w:eastAsia="zh-CN"/>
              </w:rPr>
              <w:t>6</w:t>
            </w:r>
            <w:r>
              <w:rPr>
                <w:rFonts w:hint="eastAsia" w:ascii="宋体" w:hAnsi="宋体" w:eastAsia="宋体"/>
              </w:rPr>
              <w:t>分；可实施性采购人需求有差距、有待提升得1-3分；未提供相关描述不得分。</w:t>
            </w:r>
          </w:p>
        </w:tc>
      </w:tr>
      <w:tr w14:paraId="49FF3DF8">
        <w:tblPrEx>
          <w:tblCellMar>
            <w:top w:w="0" w:type="dxa"/>
            <w:left w:w="0" w:type="dxa"/>
            <w:bottom w:w="0" w:type="dxa"/>
            <w:right w:w="0" w:type="dxa"/>
          </w:tblCellMar>
        </w:tblPrEx>
        <w:trPr>
          <w:trHeight w:val="1166"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0C367D29">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DE569">
            <w:pPr>
              <w:widowControl/>
              <w:jc w:val="center"/>
              <w:rPr>
                <w:rFonts w:ascii="宋体" w:hAnsi="宋体" w:eastAsia="宋体"/>
              </w:rPr>
            </w:pPr>
            <w:r>
              <w:rPr>
                <w:rFonts w:hint="eastAsia" w:ascii="宋体" w:hAnsi="宋体" w:eastAsia="宋体"/>
              </w:rPr>
              <w:t>安全管理</w:t>
            </w:r>
            <w:r>
              <w:rPr>
                <w:rFonts w:ascii="宋体" w:hAnsi="宋体" w:eastAsia="宋体"/>
              </w:rPr>
              <w:t>（</w:t>
            </w:r>
            <w:r>
              <w:rPr>
                <w:rFonts w:hint="eastAsia" w:ascii="宋体" w:hAnsi="宋体" w:eastAsia="宋体"/>
              </w:rPr>
              <w:t>10</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60F149F">
            <w:pPr>
              <w:spacing w:line="360" w:lineRule="auto"/>
              <w:rPr>
                <w:rFonts w:hint="eastAsia" w:ascii="宋体" w:hAnsi="宋体" w:eastAsia="宋体"/>
              </w:rPr>
            </w:pPr>
            <w:r>
              <w:rPr>
                <w:rFonts w:hint="eastAsia" w:ascii="宋体" w:hAnsi="宋体" w:eastAsia="宋体"/>
              </w:rPr>
              <w:t>针对本项目提供的安全管理制度和措施（如车辆和车上人员乘客人身财产安全的保障措施、有效保障车上人员乘客人身财产安全的风险管控措施及高效率的赔偿方案、运行监控措施及制度、安全管理人员配置符合《安全法》规定，企业客运驾驶员管理，车辆管理，动态监控，运输组织，安全生产操作规程、安全生产管理制度等）进行打分：可实施性强、贴近用户需求、科学先进成熟合理、安全严密、具有前瞻性得7-10分；可实施性较强、较为贴合用户需求、成熟性有待提升得4-6分；可实施性安全严密性与采购人需求有差距、有待提升得1-3分；未提供相关描述不得分。</w:t>
            </w:r>
          </w:p>
        </w:tc>
      </w:tr>
      <w:tr w14:paraId="3842F99C">
        <w:tblPrEx>
          <w:tblCellMar>
            <w:top w:w="0" w:type="dxa"/>
            <w:left w:w="0" w:type="dxa"/>
            <w:bottom w:w="0" w:type="dxa"/>
            <w:right w:w="0" w:type="dxa"/>
          </w:tblCellMar>
        </w:tblPrEx>
        <w:trPr>
          <w:trHeight w:val="90"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7E9EBE1B">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64216B">
            <w:pPr>
              <w:widowControl/>
              <w:jc w:val="center"/>
              <w:rPr>
                <w:rFonts w:hint="eastAsia" w:ascii="宋体" w:hAnsi="宋体" w:eastAsia="宋体"/>
              </w:rPr>
            </w:pPr>
            <w:r>
              <w:rPr>
                <w:rFonts w:hint="eastAsia" w:ascii="宋体" w:hAnsi="宋体" w:eastAsia="宋体"/>
              </w:rPr>
              <w:t>应急预案（5分）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F47EE64">
            <w:pPr>
              <w:spacing w:line="360" w:lineRule="auto"/>
              <w:rPr>
                <w:rFonts w:hint="eastAsia" w:ascii="宋体" w:hAnsi="宋体" w:eastAsia="宋体"/>
              </w:rPr>
            </w:pPr>
            <w:r>
              <w:rPr>
                <w:rFonts w:hint="eastAsia" w:ascii="宋体" w:hAnsi="宋体" w:eastAsia="宋体"/>
              </w:rPr>
              <w:t>针对本项目提供的应急预案（如应急保障车辆清单、应急救援服务、应急处置方案及保障解决措施等）进行打分：内容全面、严谨、可行，叙述清楚且合理，符合现场实际情况的得4-5分；基本详尽、可行性有待提升得2-3分；简略不够具体、较难实施得1分；未提供相关信息或不能反映评审内容不得分。</w:t>
            </w:r>
          </w:p>
        </w:tc>
      </w:tr>
      <w:tr w14:paraId="61C93882">
        <w:tblPrEx>
          <w:tblCellMar>
            <w:top w:w="0" w:type="dxa"/>
            <w:left w:w="0" w:type="dxa"/>
            <w:bottom w:w="0" w:type="dxa"/>
            <w:right w:w="0" w:type="dxa"/>
          </w:tblCellMar>
        </w:tblPrEx>
        <w:trPr>
          <w:trHeight w:val="90" w:hRule="atLeast"/>
        </w:trPr>
        <w:tc>
          <w:tcPr>
            <w:tcW w:w="528" w:type="dxa"/>
            <w:tcBorders>
              <w:left w:val="single" w:color="000000" w:sz="4" w:space="0"/>
              <w:right w:val="single" w:color="000000" w:sz="4" w:space="0"/>
            </w:tcBorders>
            <w:tcMar>
              <w:top w:w="0" w:type="dxa"/>
              <w:left w:w="108" w:type="dxa"/>
              <w:bottom w:w="0" w:type="dxa"/>
              <w:right w:w="108" w:type="dxa"/>
            </w:tcMar>
            <w:vAlign w:val="center"/>
          </w:tcPr>
          <w:p w14:paraId="50C5DAA0">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DAD38F">
            <w:pPr>
              <w:widowControl/>
              <w:jc w:val="center"/>
              <w:rPr>
                <w:rFonts w:hint="eastAsia" w:ascii="宋体" w:hAnsi="宋体" w:eastAsia="宋体"/>
              </w:rPr>
            </w:pPr>
            <w:r>
              <w:rPr>
                <w:rFonts w:hint="eastAsia" w:ascii="宋体" w:hAnsi="宋体" w:eastAsia="宋体"/>
              </w:rPr>
              <w:t>服务团队配置方案及管理制度（15分）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1649067">
            <w:pPr>
              <w:spacing w:line="360" w:lineRule="auto"/>
              <w:ind w:firstLine="420" w:firstLineChars="200"/>
              <w:rPr>
                <w:rFonts w:hint="eastAsia" w:ascii="宋体" w:hAnsi="宋体" w:eastAsia="宋体"/>
              </w:rPr>
            </w:pPr>
            <w:r>
              <w:rPr>
                <w:rFonts w:hint="eastAsia" w:ascii="宋体" w:hAnsi="宋体" w:eastAsia="宋体"/>
              </w:rPr>
              <w:t>1.针对本项目提供的派入运营管理人员的配置方案及管理制度（如针对本项目派入运营管理人员的配置情况、聘用程序规范、从业资质要求，内部培训记录、管理能力和协调处理应急事件能力的考核等管理制度）进行打分：内容全面、严谨、可行，叙述清楚且合理，符合现场实际情况的得4-5分；基本详尽、可行性有待提升得2-3分；简略不够具体、较难实施得1分；未提供相关信息或不能反映评审内容不得分。</w:t>
            </w:r>
          </w:p>
          <w:p w14:paraId="2F7B87A9">
            <w:pPr>
              <w:spacing w:line="360" w:lineRule="auto"/>
              <w:ind w:firstLine="420" w:firstLineChars="200"/>
              <w:rPr>
                <w:rFonts w:hint="eastAsia" w:ascii="宋体" w:hAnsi="宋体" w:eastAsia="宋体"/>
              </w:rPr>
            </w:pPr>
            <w:r>
              <w:rPr>
                <w:rFonts w:hint="eastAsia" w:ascii="宋体" w:hAnsi="宋体" w:eastAsia="宋体"/>
              </w:rPr>
              <w:t>2.针对本项目提供的派入驾驶员的配置方案及管理制度（如针对本项目派入的驾驶员姓名、身份证号、年龄、学历、驾龄等信息、聘用程序规范、从业资质要求，岗前培训、安全教育培训有长效机制，内部培训记录、从业行为考核奖罚分明，安全告诫（行车提醒）方案、行车日志方案完备，防止疲劳驾驶、超速行驶管理措施有操作性等情况完整规范等）进行打分：内容全面、严谨、可行，叙述清楚且合理，符合现场实际情况的得8-10分；基本详尽、可行性有待提升得4-7分；简略不够具体、较难实施得1-3分；未提供相关信息或不能反映评审内容不得分。</w:t>
            </w:r>
          </w:p>
        </w:tc>
      </w:tr>
    </w:tbl>
    <w:p w14:paraId="728965D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0D7ED7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3FF3EB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F1EDC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CBAD60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1B1030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29FD6A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EEA3DF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23BCBD24">
      <w:pPr>
        <w:pStyle w:val="14"/>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14:paraId="07314979">
      <w:pPr>
        <w:pStyle w:val="14"/>
        <w:rPr>
          <w:rFonts w:hint="default" w:ascii="宋体" w:hAnsi="宋体" w:eastAsia="宋体" w:cs="宋体"/>
          <w:b w:val="0"/>
          <w:color w:val="000000"/>
          <w:sz w:val="24"/>
          <w:szCs w:val="24"/>
          <w:lang w:val="en-US" w:eastAsia="zh-CN"/>
        </w:rPr>
      </w:pPr>
      <w:r>
        <w:rPr>
          <w:rFonts w:hint="eastAsia" w:hAnsi="宋体" w:cs="宋体"/>
          <w:b w:val="0"/>
          <w:color w:val="000000"/>
          <w:sz w:val="24"/>
          <w:szCs w:val="24"/>
          <w:lang w:val="en-US" w:eastAsia="zh-CN"/>
        </w:rPr>
        <w:t>十三、评审细则各项要求</w:t>
      </w:r>
      <w:r>
        <w:rPr>
          <w:rFonts w:ascii="宋体" w:hAnsi="宋体" w:eastAsia="宋体" w:cs="宋体"/>
          <w:b w:val="0"/>
          <w:color w:val="000000"/>
          <w:sz w:val="24"/>
          <w:szCs w:val="24"/>
        </w:rPr>
        <w:t xml:space="preserve">........................................... </w:t>
      </w:r>
      <w:r>
        <w:rPr>
          <w:rFonts w:hint="eastAsia" w:ascii="宋体" w:hAnsi="宋体" w:eastAsia="宋体" w:cs="宋体"/>
          <w:b w:val="0"/>
          <w:color w:val="000000"/>
          <w:sz w:val="24"/>
          <w:szCs w:val="24"/>
          <w:lang w:val="en-US" w:eastAsia="zh-CN"/>
        </w:rPr>
        <w:t>..</w:t>
      </w:r>
    </w:p>
    <w:p w14:paraId="062AD4B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39B159F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97279F6">
      <w:pPr>
        <w:pStyle w:val="14"/>
        <w:rPr>
          <w:rFonts w:hint="eastAsia" w:ascii="宋体" w:hAnsi="宋体" w:eastAsia="宋体" w:cs="宋体"/>
          <w:b/>
          <w:i w:val="0"/>
          <w:caps/>
          <w:color w:val="auto"/>
          <w:spacing w:val="0"/>
          <w:sz w:val="36"/>
          <w:szCs w:val="36"/>
          <w:lang w:val="en-US" w:eastAsia="zh-CN"/>
        </w:rPr>
      </w:pPr>
    </w:p>
    <w:p w14:paraId="265C135A">
      <w:pPr>
        <w:pStyle w:val="14"/>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2F4A2D2">
      <w:pPr>
        <w:pageBreakBefore w:val="0"/>
        <w:numPr>
          <w:ilvl w:val="0"/>
          <w:numId w:val="3"/>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B22AADD">
      <w:pPr>
        <w:pStyle w:val="14"/>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567998E9">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十三、评审细则各项要求</w:t>
      </w:r>
    </w:p>
    <w:p w14:paraId="1A321F14">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十四、其他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D4F2"/>
    <w:multiLevelType w:val="singleLevel"/>
    <w:tmpl w:val="15CCD4F2"/>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87062B"/>
    <w:rsid w:val="06B07F83"/>
    <w:rsid w:val="07D41268"/>
    <w:rsid w:val="0C656D19"/>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24F7DF7"/>
    <w:rsid w:val="23507ADC"/>
    <w:rsid w:val="24A7212A"/>
    <w:rsid w:val="25757733"/>
    <w:rsid w:val="26470B4A"/>
    <w:rsid w:val="266437D3"/>
    <w:rsid w:val="267A5F90"/>
    <w:rsid w:val="26915EA6"/>
    <w:rsid w:val="276714E7"/>
    <w:rsid w:val="27952750"/>
    <w:rsid w:val="281659F6"/>
    <w:rsid w:val="293A1937"/>
    <w:rsid w:val="2B28723B"/>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979776E"/>
    <w:rsid w:val="3D231C81"/>
    <w:rsid w:val="3E650D1D"/>
    <w:rsid w:val="3E9002A8"/>
    <w:rsid w:val="3F552A03"/>
    <w:rsid w:val="3FC72DAE"/>
    <w:rsid w:val="4095546C"/>
    <w:rsid w:val="43B9111D"/>
    <w:rsid w:val="44AA028A"/>
    <w:rsid w:val="4603606C"/>
    <w:rsid w:val="47C04769"/>
    <w:rsid w:val="486160DA"/>
    <w:rsid w:val="489F057B"/>
    <w:rsid w:val="4AED3729"/>
    <w:rsid w:val="4BFD3C3F"/>
    <w:rsid w:val="4E473895"/>
    <w:rsid w:val="50110E80"/>
    <w:rsid w:val="511070DA"/>
    <w:rsid w:val="53560822"/>
    <w:rsid w:val="557D67C8"/>
    <w:rsid w:val="571E5CB6"/>
    <w:rsid w:val="59137211"/>
    <w:rsid w:val="597822D2"/>
    <w:rsid w:val="5C344BB6"/>
    <w:rsid w:val="5DFF20EB"/>
    <w:rsid w:val="5E1C5429"/>
    <w:rsid w:val="5ED418C8"/>
    <w:rsid w:val="5EF71E76"/>
    <w:rsid w:val="616C33F6"/>
    <w:rsid w:val="62DE1443"/>
    <w:rsid w:val="62E24E32"/>
    <w:rsid w:val="64E47B74"/>
    <w:rsid w:val="6585763E"/>
    <w:rsid w:val="661108EC"/>
    <w:rsid w:val="669049D8"/>
    <w:rsid w:val="67D14995"/>
    <w:rsid w:val="6B9B2EB6"/>
    <w:rsid w:val="6C0D60E9"/>
    <w:rsid w:val="6D4F63E7"/>
    <w:rsid w:val="6EF0008F"/>
    <w:rsid w:val="6F3911E0"/>
    <w:rsid w:val="6F5104C0"/>
    <w:rsid w:val="719B7B32"/>
    <w:rsid w:val="71DA20A9"/>
    <w:rsid w:val="733F204A"/>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 w:type="paragraph" w:customStyle="1" w:styleId="24">
    <w:name w:val="Table Text"/>
    <w:basedOn w:val="1"/>
    <w:semiHidden/>
    <w:qFormat/>
    <w:uiPriority w:val="0"/>
    <w:rPr>
      <w:rFonts w:ascii="宋体" w:hAnsi="宋体" w:eastAsia="宋体" w:cs="宋体"/>
      <w:sz w:val="31"/>
      <w:szCs w:val="31"/>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1468</Words>
  <Characters>1535</Characters>
  <Lines>0</Lines>
  <Paragraphs>0</Paragraphs>
  <TotalTime>7</TotalTime>
  <ScaleCrop>false</ScaleCrop>
  <LinksUpToDate>false</LinksUpToDate>
  <CharactersWithSpaces>1644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2024-12-06T01:01:05Z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05E9203EDA074B58BAA6631F2C38EFB4_13</vt:lpwstr>
  </property>
  <property fmtid="{D5CDD505-2E9C-101B-9397-08002B2CF9AE}" pid="4" name="commondata">
    <vt:lpwstr>eyJoZGlkIjoiM2I5YmQyM2VlMzIyNzg3MTM0MjMzMjczYWU0N2U3MTcifQ==</vt:lpwstr>
  </property>
</Properties>
</file>