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0E8D6248">
      <w:pPr>
        <w:numPr>
          <w:ilvl w:val="0"/>
          <w:numId w:val="0"/>
        </w:numPr>
        <w:ind w:left="0" w:right="0" w:firstLine="0"/>
        <w:jc w:val="center"/>
        <w:rPr>
          <w:rFonts w:hint="eastAsia" w:ascii="黑体" w:hAnsi="黑体" w:eastAsia="黑体" w:cs="黑体"/>
          <w:b/>
          <w:sz w:val="40"/>
          <w:szCs w:val="40"/>
          <w:lang w:val="en-US" w:eastAsia="zh-CN"/>
        </w:rPr>
      </w:pPr>
      <w:bookmarkStart w:id="1" w:name="_GoBack"/>
      <w:bookmarkEnd w:id="1"/>
      <w:r>
        <w:rPr>
          <w:rFonts w:hint="eastAsia" w:ascii="黑体" w:hAnsi="黑体" w:eastAsia="黑体" w:cs="黑体"/>
          <w:b/>
          <w:sz w:val="40"/>
          <w:szCs w:val="40"/>
          <w:lang w:val="en-US" w:eastAsia="zh-CN"/>
        </w:rPr>
        <w:t>数据开发与指标管理软件项目</w:t>
      </w:r>
    </w:p>
    <w:p w14:paraId="7CB46423">
      <w:pPr>
        <w:numPr>
          <w:ilvl w:val="0"/>
          <w:numId w:val="0"/>
        </w:numPr>
        <w:ind w:left="0" w:right="0" w:firstLine="0"/>
        <w:jc w:val="center"/>
        <w:rPr>
          <w:rFonts w:hint="eastAsia" w:ascii="黑体" w:hAnsi="黑体" w:eastAsia="黑体" w:cs="黑体"/>
          <w:b/>
          <w:sz w:val="40"/>
          <w:szCs w:val="40"/>
          <w:lang w:val="en-US" w:eastAsia="zh-CN"/>
        </w:rPr>
      </w:pPr>
    </w:p>
    <w:p w14:paraId="13FA719A">
      <w:pPr>
        <w:numPr>
          <w:ilvl w:val="0"/>
          <w:numId w:val="0"/>
        </w:numPr>
        <w:ind w:left="0" w:right="0" w:firstLine="0"/>
        <w:jc w:val="center"/>
        <w:rPr>
          <w:rFonts w:hint="eastAsia" w:ascii="黑体" w:hAnsi="黑体" w:eastAsia="黑体" w:cs="黑体"/>
          <w:b/>
          <w:sz w:val="40"/>
          <w:szCs w:val="40"/>
          <w:lang w:val="en-US" w:eastAsia="zh-CN"/>
        </w:rPr>
      </w:pPr>
      <w:r>
        <w:rPr>
          <w:rFonts w:hint="eastAsia" w:ascii="黑体" w:hAnsi="黑体" w:eastAsia="黑体" w:cs="黑体"/>
          <w:b/>
          <w:sz w:val="40"/>
          <w:szCs w:val="40"/>
          <w:lang w:val="en-US" w:eastAsia="zh-CN"/>
        </w:rPr>
        <w:t>2024年12月25日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608"/>
        <w:gridCol w:w="2052"/>
      </w:tblGrid>
      <w:tr w14:paraId="2F172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D25F53F">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BDE87BE">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DA2FB0C">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09CC075C">
            <w:pPr>
              <w:rPr>
                <w:rFonts w:hint="eastAsia" w:ascii="宋体" w:hAnsi="宋体" w:eastAsia="宋体" w:cs="宋体"/>
                <w:sz w:val="24"/>
                <w:szCs w:val="24"/>
              </w:rPr>
            </w:pPr>
            <w:r>
              <w:rPr>
                <w:rFonts w:hint="eastAsia" w:ascii="宋体" w:hAnsi="宋体" w:eastAsia="宋体" w:cs="宋体"/>
                <w:sz w:val="24"/>
                <w:szCs w:val="24"/>
              </w:rPr>
              <w:t>数量</w:t>
            </w:r>
          </w:p>
        </w:tc>
        <w:tc>
          <w:tcPr>
            <w:tcW w:w="1608" w:type="dxa"/>
            <w:vAlign w:val="center"/>
          </w:tcPr>
          <w:p w14:paraId="3C895BC7">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2052" w:type="dxa"/>
            <w:vAlign w:val="center"/>
          </w:tcPr>
          <w:p w14:paraId="701AB1B3">
            <w:pPr>
              <w:ind w:firstLine="240" w:firstLineChars="100"/>
              <w:rPr>
                <w:rFonts w:hint="eastAsia" w:ascii="宋体" w:hAnsi="宋体" w:eastAsia="宋体" w:cs="宋体"/>
                <w:sz w:val="24"/>
                <w:szCs w:val="24"/>
              </w:rPr>
            </w:pPr>
            <w:r>
              <w:rPr>
                <w:rFonts w:hint="eastAsia" w:ascii="宋体" w:hAnsi="宋体" w:eastAsia="宋体" w:cs="宋体"/>
                <w:sz w:val="24"/>
                <w:szCs w:val="24"/>
              </w:rPr>
              <w:t>预算总价</w:t>
            </w:r>
          </w:p>
        </w:tc>
      </w:tr>
      <w:tr w14:paraId="4BDA3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09554E7E">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6D8DF359">
            <w:pPr>
              <w:keepNext w:val="0"/>
              <w:keepLines w:val="0"/>
              <w:widowControl/>
              <w:suppressLineNumbers w:val="0"/>
              <w:jc w:val="both"/>
              <w:textAlignment w:val="center"/>
              <w:rPr>
                <w:rFonts w:hint="default" w:ascii="宋体" w:hAnsi="宋体" w:eastAsia="宋体" w:cs="宋体"/>
                <w:lang w:val="en-US" w:eastAsia="zh-CN"/>
              </w:rPr>
            </w:pPr>
            <w:r>
              <w:rPr>
                <w:rFonts w:hint="eastAsia" w:ascii="宋体" w:hAnsi="宋体" w:eastAsia="宋体" w:cs="宋体"/>
                <w:lang w:val="en-US" w:eastAsia="zh-CN"/>
              </w:rPr>
              <w:t>数据开发与指标管理软件项目</w:t>
            </w:r>
          </w:p>
        </w:tc>
        <w:tc>
          <w:tcPr>
            <w:tcW w:w="903" w:type="dxa"/>
            <w:vAlign w:val="center"/>
          </w:tcPr>
          <w:p w14:paraId="082F963D">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671BA9CC">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608" w:type="dxa"/>
            <w:vAlign w:val="center"/>
          </w:tcPr>
          <w:p w14:paraId="0DBAB546">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790000</w:t>
            </w:r>
          </w:p>
        </w:tc>
        <w:tc>
          <w:tcPr>
            <w:tcW w:w="2052" w:type="dxa"/>
            <w:vAlign w:val="center"/>
          </w:tcPr>
          <w:p w14:paraId="3CEB7A31">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790000</w:t>
            </w:r>
          </w:p>
        </w:tc>
      </w:tr>
      <w:tr w14:paraId="7177D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5AFCFBF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6321820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389" w:type="dxa"/>
            <w:gridSpan w:val="4"/>
            <w:vAlign w:val="center"/>
          </w:tcPr>
          <w:p w14:paraId="5599EE0E">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4EF02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18C0B3D7">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3708E14B">
            <w:pPr>
              <w:rPr>
                <w:rFonts w:hint="eastAsia" w:ascii="宋体" w:hAnsi="宋体" w:eastAsia="宋体" w:cs="宋体"/>
                <w:sz w:val="24"/>
                <w:szCs w:val="24"/>
              </w:rPr>
            </w:pPr>
            <w:r>
              <w:rPr>
                <w:rFonts w:hint="eastAsia" w:ascii="宋体" w:hAnsi="宋体" w:eastAsia="宋体" w:cs="宋体"/>
                <w:sz w:val="24"/>
                <w:szCs w:val="24"/>
              </w:rPr>
              <w:t>付款方式</w:t>
            </w:r>
          </w:p>
        </w:tc>
        <w:tc>
          <w:tcPr>
            <w:tcW w:w="5389" w:type="dxa"/>
            <w:gridSpan w:val="4"/>
            <w:vAlign w:val="center"/>
          </w:tcPr>
          <w:p w14:paraId="22D191C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验收合格后一次性付清</w:t>
            </w:r>
          </w:p>
        </w:tc>
      </w:tr>
      <w:tr w14:paraId="20312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5990855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11CB4DB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4"/>
            <w:vAlign w:val="center"/>
          </w:tcPr>
          <w:p w14:paraId="1779F72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合同签订后30日内。</w:t>
            </w:r>
          </w:p>
        </w:tc>
      </w:tr>
      <w:tr w14:paraId="186A4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796734D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67219B1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5389" w:type="dxa"/>
            <w:gridSpan w:val="4"/>
            <w:vAlign w:val="center"/>
          </w:tcPr>
          <w:p w14:paraId="6A4E925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1年（验收合格之日算起）</w:t>
            </w:r>
          </w:p>
        </w:tc>
      </w:tr>
    </w:tbl>
    <w:p w14:paraId="0261C857">
      <w:pPr>
        <w:jc w:val="left"/>
        <w:rPr>
          <w:rFonts w:hint="eastAsia" w:ascii="宋体" w:hAnsi="宋体"/>
          <w:bCs/>
          <w:kern w:val="44"/>
          <w:sz w:val="24"/>
          <w:szCs w:val="24"/>
          <w:lang w:val="zh-CN"/>
        </w:rPr>
      </w:pPr>
    </w:p>
    <w:p w14:paraId="71396699">
      <w:pPr>
        <w:pStyle w:val="14"/>
        <w:rPr>
          <w:rFonts w:hint="eastAsia" w:ascii="宋体" w:hAnsi="宋体"/>
          <w:bCs/>
          <w:kern w:val="44"/>
          <w:sz w:val="24"/>
          <w:szCs w:val="24"/>
          <w:lang w:val="zh-CN"/>
        </w:rPr>
      </w:pPr>
    </w:p>
    <w:p w14:paraId="2F33E230">
      <w:pPr>
        <w:pStyle w:val="14"/>
        <w:numPr>
          <w:ilvl w:val="0"/>
          <w:numId w:val="1"/>
        </w:numPr>
        <w:rPr>
          <w:rFonts w:hint="eastAsia" w:hAnsi="宋体"/>
          <w:bCs/>
          <w:kern w:val="44"/>
          <w:sz w:val="24"/>
          <w:szCs w:val="24"/>
          <w:lang w:val="en-US" w:eastAsia="zh-CN"/>
        </w:rPr>
      </w:pPr>
      <w:r>
        <w:rPr>
          <w:rFonts w:hint="eastAsia" w:hAnsi="宋体"/>
          <w:bCs/>
          <w:kern w:val="44"/>
          <w:sz w:val="24"/>
          <w:szCs w:val="24"/>
          <w:lang w:val="en-US" w:eastAsia="zh-CN"/>
        </w:rPr>
        <w:t>技术服务要求</w:t>
      </w:r>
    </w:p>
    <w:tbl>
      <w:tblPr>
        <w:tblStyle w:val="11"/>
        <w:tblpPr w:leftFromText="180" w:rightFromText="180" w:vertAnchor="text" w:horzAnchor="page" w:tblpX="1498" w:tblpY="925"/>
        <w:tblOverlap w:val="never"/>
        <w:tblW w:w="9700" w:type="dxa"/>
        <w:tblInd w:w="0" w:type="dxa"/>
        <w:tblLayout w:type="autofit"/>
        <w:tblCellMar>
          <w:top w:w="0" w:type="dxa"/>
          <w:left w:w="108" w:type="dxa"/>
          <w:bottom w:w="0" w:type="dxa"/>
          <w:right w:w="108" w:type="dxa"/>
        </w:tblCellMar>
      </w:tblPr>
      <w:tblGrid>
        <w:gridCol w:w="959"/>
        <w:gridCol w:w="1115"/>
        <w:gridCol w:w="7626"/>
      </w:tblGrid>
      <w:tr w14:paraId="79472A59">
        <w:tblPrEx>
          <w:tblCellMar>
            <w:top w:w="0" w:type="dxa"/>
            <w:left w:w="108" w:type="dxa"/>
            <w:bottom w:w="0" w:type="dxa"/>
            <w:right w:w="108" w:type="dxa"/>
          </w:tblCellMar>
        </w:tblPrEx>
        <w:trPr>
          <w:trHeight w:val="680" w:hRule="atLeast"/>
        </w:trPr>
        <w:tc>
          <w:tcPr>
            <w:tcW w:w="959"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D836C70">
            <w:pPr>
              <w:widowControl/>
              <w:jc w:val="center"/>
              <w:rPr>
                <w:rFonts w:ascii="宋体" w:hAnsi="宋体" w:eastAsia="宋体" w:cs="宋体"/>
                <w:kern w:val="0"/>
                <w:szCs w:val="21"/>
                <w:lang w:bidi="lo-LA"/>
              </w:rPr>
            </w:pPr>
            <w:r>
              <w:rPr>
                <w:rFonts w:hint="eastAsia" w:ascii="宋体" w:hAnsi="宋体" w:eastAsia="宋体" w:cs="宋体"/>
                <w:kern w:val="0"/>
                <w:szCs w:val="21"/>
                <w:lang w:bidi="lo-LA"/>
              </w:rPr>
              <w:t>参数性质</w:t>
            </w:r>
          </w:p>
        </w:tc>
        <w:tc>
          <w:tcPr>
            <w:tcW w:w="111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3587AEF">
            <w:pPr>
              <w:widowControl/>
              <w:jc w:val="center"/>
              <w:rPr>
                <w:rFonts w:ascii="宋体" w:hAnsi="宋体" w:eastAsia="宋体" w:cs="宋体"/>
                <w:kern w:val="0"/>
                <w:szCs w:val="21"/>
                <w:lang w:bidi="lo-LA"/>
              </w:rPr>
            </w:pPr>
            <w:r>
              <w:rPr>
                <w:rFonts w:hint="eastAsia" w:ascii="宋体" w:hAnsi="宋体" w:eastAsia="宋体" w:cs="宋体"/>
                <w:kern w:val="0"/>
                <w:szCs w:val="21"/>
                <w:lang w:bidi="lo-LA"/>
              </w:rPr>
              <w:t>编号</w:t>
            </w:r>
          </w:p>
        </w:tc>
        <w:tc>
          <w:tcPr>
            <w:tcW w:w="762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756AFFC">
            <w:pPr>
              <w:widowControl/>
              <w:jc w:val="center"/>
              <w:rPr>
                <w:rFonts w:ascii="宋体" w:hAnsi="宋体" w:eastAsia="宋体" w:cs="宋体"/>
                <w:kern w:val="0"/>
                <w:szCs w:val="21"/>
                <w:lang w:bidi="lo-LA"/>
              </w:rPr>
            </w:pPr>
            <w:r>
              <w:rPr>
                <w:rFonts w:hint="eastAsia" w:ascii="宋体" w:hAnsi="宋体" w:eastAsia="宋体" w:cs="宋体"/>
                <w:kern w:val="0"/>
                <w:szCs w:val="21"/>
                <w:lang w:bidi="lo-LA"/>
              </w:rPr>
              <w:t>技术参数和要求</w:t>
            </w:r>
          </w:p>
        </w:tc>
      </w:tr>
      <w:tr w14:paraId="5944543B">
        <w:tblPrEx>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136132">
            <w:pPr>
              <w:widowControl/>
              <w:jc w:val="center"/>
              <w:rPr>
                <w:rFonts w:ascii="宋体" w:hAnsi="宋体" w:eastAsia="宋体" w:cs="宋体"/>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9CEE">
            <w:pPr>
              <w:pStyle w:val="15"/>
              <w:widowControl/>
              <w:numPr>
                <w:ilvl w:val="0"/>
                <w:numId w:val="0"/>
              </w:numPr>
              <w:jc w:val="center"/>
              <w:rPr>
                <w:rFonts w:ascii="宋体" w:hAnsi="宋体" w:cs="宋体"/>
                <w:b/>
                <w:bCs/>
                <w:kern w:val="0"/>
                <w:sz w:val="21"/>
                <w:lang w:bidi="lo-LA"/>
              </w:rPr>
            </w:pPr>
            <w:r>
              <w:rPr>
                <w:rFonts w:hint="eastAsia" w:ascii="宋体" w:hAnsi="宋体" w:cs="宋体"/>
                <w:b/>
                <w:bCs/>
                <w:kern w:val="0"/>
                <w:sz w:val="21"/>
                <w:lang w:bidi="lo-LA"/>
              </w:rPr>
              <w:t>1</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B0CF24">
            <w:pPr>
              <w:widowControl/>
              <w:jc w:val="left"/>
              <w:rPr>
                <w:rFonts w:ascii="宋体" w:hAnsi="宋体" w:eastAsia="宋体" w:cs="宋体"/>
                <w:b/>
                <w:bCs/>
                <w:kern w:val="0"/>
                <w:szCs w:val="21"/>
                <w:lang w:bidi="lo-LA"/>
              </w:rPr>
            </w:pPr>
            <w:r>
              <w:rPr>
                <w:rFonts w:hint="eastAsia" w:ascii="宋体" w:hAnsi="宋体" w:eastAsia="宋体" w:cs="宋体"/>
                <w:b/>
                <w:bCs/>
                <w:kern w:val="0"/>
                <w:szCs w:val="21"/>
                <w:lang w:bidi="lo-LA"/>
              </w:rPr>
              <w:t>一、Semantic 语义系统暨指标平台（编号</w:t>
            </w:r>
            <w:r>
              <w:rPr>
                <w:rFonts w:hint="eastAsia" w:eastAsia="宋体" w:cs="宋体"/>
                <w:b/>
                <w:bCs/>
                <w:kern w:val="0"/>
                <w:szCs w:val="21"/>
                <w:lang w:bidi="lo-LA"/>
              </w:rPr>
              <w:t>2至20</w:t>
            </w:r>
            <w:r>
              <w:rPr>
                <w:rFonts w:hint="eastAsia" w:ascii="宋体" w:hAnsi="宋体" w:eastAsia="宋体" w:cs="宋体"/>
                <w:b/>
                <w:bCs/>
                <w:kern w:val="0"/>
                <w:szCs w:val="21"/>
                <w:lang w:bidi="lo-LA"/>
              </w:rPr>
              <w:t>）</w:t>
            </w:r>
          </w:p>
        </w:tc>
      </w:tr>
      <w:tr w14:paraId="6458D7AD">
        <w:tblPrEx>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5A9EE5">
            <w:pPr>
              <w:widowControl/>
              <w:jc w:val="center"/>
              <w:rPr>
                <w:rFonts w:ascii="宋体" w:hAnsi="宋体" w:eastAsia="宋体" w:cs="宋体"/>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187A">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2</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AE9F13">
            <w:pPr>
              <w:pStyle w:val="8"/>
              <w:spacing w:line="360" w:lineRule="auto"/>
              <w:rPr>
                <w:rFonts w:eastAsia="宋体"/>
                <w:sz w:val="21"/>
                <w:szCs w:val="21"/>
                <w:lang w:bidi="lo-LA"/>
              </w:rPr>
            </w:pPr>
            <w:r>
              <w:rPr>
                <w:rFonts w:hint="eastAsia" w:eastAsia="宋体"/>
                <w:sz w:val="21"/>
                <w:szCs w:val="21"/>
                <w:lang w:bidi="lo-LA"/>
              </w:rPr>
              <w:t>支持直接在平台进行逻辑建模（星型模型或雪花模型），不需要单独存储数据，不需要进行关联打宽操作，构建逻辑模型而非物理模型</w:t>
            </w:r>
          </w:p>
        </w:tc>
      </w:tr>
      <w:tr w14:paraId="46176547">
        <w:tblPrEx>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03BFFE">
            <w:pPr>
              <w:widowControl/>
              <w:jc w:val="center"/>
              <w:rPr>
                <w:rFonts w:ascii="宋体" w:hAnsi="宋体" w:eastAsia="宋体" w:cs="宋体"/>
                <w:szCs w:val="21"/>
                <w:lang w:bidi="lo-LA"/>
              </w:rPr>
            </w:pPr>
            <w:r>
              <w:rPr>
                <w:rFonts w:hint="eastAsia" w:ascii="宋体" w:hAnsi="宋体" w:eastAsia="宋体" w:cs="宋体"/>
                <w:kern w:val="0"/>
                <w:szCs w:val="21"/>
                <w:lang w:bidi="lo-L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BD3E">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3</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B29D97">
            <w:pPr>
              <w:pStyle w:val="8"/>
              <w:spacing w:line="360" w:lineRule="auto"/>
              <w:rPr>
                <w:rFonts w:eastAsia="宋体"/>
                <w:sz w:val="21"/>
                <w:szCs w:val="21"/>
                <w:lang w:bidi="lo-LA"/>
              </w:rPr>
            </w:pPr>
            <w:r>
              <w:rPr>
                <w:rFonts w:hint="eastAsia" w:eastAsia="宋体"/>
                <w:sz w:val="21"/>
                <w:szCs w:val="21"/>
                <w:lang w:bidi="lo-LA"/>
              </w:rPr>
              <w:t>支持在数据集中通过自定义函数新建字段，支持包括聚合函数、文本函数、窗口函数、数学和三角函数、逻辑函数、日期函数、Json函数、分析函数、类型转换函数</w:t>
            </w:r>
          </w:p>
        </w:tc>
      </w:tr>
      <w:tr w14:paraId="0CC8C96D">
        <w:tblPrEx>
          <w:tblCellMar>
            <w:top w:w="0" w:type="dxa"/>
            <w:left w:w="108" w:type="dxa"/>
            <w:bottom w:w="0" w:type="dxa"/>
            <w:right w:w="108" w:type="dxa"/>
          </w:tblCellMar>
        </w:tblPrEx>
        <w:trPr>
          <w:trHeight w:val="131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3593F0">
            <w:pPr>
              <w:widowControl/>
              <w:jc w:val="center"/>
              <w:rPr>
                <w:rFonts w:ascii="宋体" w:hAnsi="宋体" w:eastAsia="宋体" w:cs="宋体"/>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2202">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4</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6B647C">
            <w:pPr>
              <w:widowControl/>
              <w:jc w:val="left"/>
              <w:rPr>
                <w:rFonts w:ascii="宋体" w:hAnsi="宋体" w:eastAsia="宋体" w:cs="宋体"/>
                <w:kern w:val="0"/>
                <w:szCs w:val="21"/>
                <w:lang w:bidi="lo-LA"/>
              </w:rPr>
            </w:pPr>
            <w:r>
              <w:rPr>
                <w:rFonts w:hint="eastAsia" w:ascii="宋体" w:hAnsi="宋体" w:eastAsia="宋体" w:cs="宋体"/>
                <w:kern w:val="0"/>
                <w:szCs w:val="21"/>
                <w:lang w:bidi="lo-LA"/>
              </w:rPr>
              <w:t>支持定义基础指标、派生指标和复合指标，定义常见计算逻辑，如求和、均值、最大值、最小值、计数、去重计数、占比、同环比、排名；支持且或逻辑的筛选定义；支持定义时点类指标，如库存量、员工数等</w:t>
            </w:r>
          </w:p>
        </w:tc>
      </w:tr>
      <w:tr w14:paraId="6B70229B">
        <w:tblPrEx>
          <w:tblCellMar>
            <w:top w:w="0" w:type="dxa"/>
            <w:left w:w="108" w:type="dxa"/>
            <w:bottom w:w="0" w:type="dxa"/>
            <w:right w:w="108" w:type="dxa"/>
          </w:tblCellMar>
        </w:tblPrEx>
        <w:trPr>
          <w:trHeight w:val="136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22284F">
            <w:pPr>
              <w:widowControl/>
              <w:jc w:val="center"/>
              <w:rPr>
                <w:rFonts w:ascii="宋体" w:hAnsi="宋体" w:eastAsia="宋体" w:cs="宋体"/>
                <w:szCs w:val="21"/>
                <w:lang w:bidi="lo-LA"/>
              </w:rPr>
            </w:pPr>
            <w:r>
              <w:rPr>
                <w:rFonts w:hint="eastAsia" w:ascii="宋体" w:hAnsi="宋体" w:eastAsia="宋体" w:cs="宋体"/>
                <w:kern w:val="0"/>
                <w:szCs w:val="21"/>
                <w:lang w:bidi="lo-L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C33D">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5</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A885A2">
            <w:pPr>
              <w:widowControl/>
              <w:jc w:val="left"/>
              <w:rPr>
                <w:rFonts w:ascii="宋体" w:hAnsi="宋体" w:eastAsia="宋体" w:cs="宋体"/>
                <w:kern w:val="0"/>
                <w:szCs w:val="21"/>
                <w:lang w:bidi="lo-LA"/>
              </w:rPr>
            </w:pPr>
            <w:r>
              <w:rPr>
                <w:rFonts w:hint="eastAsia" w:ascii="宋体" w:hAnsi="宋体" w:eastAsia="宋体" w:cs="宋体"/>
                <w:kern w:val="0"/>
                <w:szCs w:val="21"/>
                <w:lang w:bidi="lo-LA"/>
              </w:rPr>
              <w:t>支持使用表达式定义指标，例如两个日期相减得出时间差、支持跨数据源、跨数据集定义指标。表达式包括聚合函数、文本函数、窗口函数、数学和三角函数、逻辑函数、日期函数、Json函数、分析函数、类型转换函数</w:t>
            </w:r>
          </w:p>
        </w:tc>
      </w:tr>
      <w:tr w14:paraId="7766809F">
        <w:tblPrEx>
          <w:tblCellMar>
            <w:top w:w="0" w:type="dxa"/>
            <w:left w:w="108" w:type="dxa"/>
            <w:bottom w:w="0" w:type="dxa"/>
            <w:right w:w="108" w:type="dxa"/>
          </w:tblCellMar>
        </w:tblPrEx>
        <w:trPr>
          <w:trHeight w:val="136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E38F54">
            <w:pPr>
              <w:widowControl/>
              <w:jc w:val="center"/>
              <w:rPr>
                <w:rFonts w:ascii="宋体" w:hAnsi="宋体" w:eastAsia="宋体" w:cs="宋体"/>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E3E5">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6</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5FDB31">
            <w:pPr>
              <w:widowControl/>
              <w:jc w:val="left"/>
              <w:rPr>
                <w:rFonts w:ascii="宋体" w:hAnsi="宋体" w:eastAsia="宋体" w:cs="宋体"/>
                <w:kern w:val="0"/>
                <w:szCs w:val="21"/>
                <w:lang w:bidi="lo-LA"/>
              </w:rPr>
            </w:pPr>
            <w:r>
              <w:rPr>
                <w:rFonts w:hint="eastAsia" w:ascii="宋体" w:hAnsi="宋体" w:eastAsia="宋体" w:cs="宋体"/>
                <w:kern w:val="0"/>
                <w:szCs w:val="21"/>
                <w:lang w:bidi="lo-LA"/>
              </w:rPr>
              <w:t>支持自定义时间周期，例如近N天、本年至上月、月初月末等；支持自定义工作日，比如当月第一个工作日、上月最后一个工作日等；支持自定义财年</w:t>
            </w:r>
          </w:p>
        </w:tc>
      </w:tr>
      <w:tr w14:paraId="34CB298D">
        <w:tblPrEx>
          <w:tblCellMar>
            <w:top w:w="0" w:type="dxa"/>
            <w:left w:w="108" w:type="dxa"/>
            <w:bottom w:w="0" w:type="dxa"/>
            <w:right w:w="108" w:type="dxa"/>
          </w:tblCellMar>
        </w:tblPrEx>
        <w:trPr>
          <w:trHeight w:val="806"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0E2D78">
            <w:pPr>
              <w:widowControl/>
              <w:jc w:val="center"/>
              <w:rPr>
                <w:rFonts w:ascii="宋体" w:hAnsi="宋体" w:eastAsia="宋体" w:cs="宋体"/>
                <w:szCs w:val="21"/>
                <w:lang w:bidi="lo-LA"/>
              </w:rPr>
            </w:pPr>
            <w:r>
              <w:rPr>
                <w:rFonts w:hint="eastAsia" w:ascii="宋体" w:hAnsi="宋体" w:eastAsia="宋体" w:cs="宋体"/>
                <w:kern w:val="0"/>
                <w:szCs w:val="21"/>
                <w:lang w:bidi="lo-L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F62C">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7</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33F773">
            <w:pPr>
              <w:widowControl/>
              <w:jc w:val="left"/>
              <w:rPr>
                <w:rFonts w:ascii="宋体" w:hAnsi="宋体" w:eastAsia="宋体" w:cs="宋体"/>
                <w:kern w:val="0"/>
                <w:szCs w:val="21"/>
                <w:lang w:bidi="lo-LA"/>
              </w:rPr>
            </w:pPr>
            <w:r>
              <w:rPr>
                <w:rFonts w:hint="eastAsia" w:ascii="宋体" w:hAnsi="宋体" w:eastAsia="宋体" w:cs="宋体"/>
                <w:kern w:val="0"/>
                <w:szCs w:val="21"/>
                <w:lang w:bidi="lo-LA"/>
              </w:rPr>
              <w:t>支持派生指标的业务限定可以选择别的指标做筛选条件，如[用户ID] 满足 [近1个月订单金额] &gt;1万的用户数</w:t>
            </w:r>
          </w:p>
        </w:tc>
      </w:tr>
      <w:tr w14:paraId="1EBC7F2A">
        <w:tblPrEx>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38AB6C">
            <w:pPr>
              <w:widowControl/>
              <w:jc w:val="center"/>
              <w:rPr>
                <w:rFonts w:ascii="宋体" w:hAnsi="宋体" w:eastAsia="宋体" w:cs="宋体"/>
                <w:szCs w:val="21"/>
                <w:lang w:bidi="lo-LA"/>
              </w:rPr>
            </w:pPr>
            <w:r>
              <w:rPr>
                <w:rFonts w:hint="eastAsia" w:ascii="宋体" w:hAnsi="宋体" w:eastAsia="宋体" w:cs="宋体"/>
                <w:kern w:val="0"/>
                <w:szCs w:val="21"/>
                <w:lang w:bidi="lo-L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57F5">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8</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74B97A">
            <w:pPr>
              <w:widowControl/>
              <w:jc w:val="left"/>
              <w:rPr>
                <w:rFonts w:ascii="宋体" w:hAnsi="宋体" w:eastAsia="宋体" w:cs="宋体"/>
                <w:kern w:val="0"/>
                <w:szCs w:val="21"/>
                <w:lang w:bidi="lo-LA"/>
              </w:rPr>
            </w:pPr>
            <w:r>
              <w:rPr>
                <w:rFonts w:hint="eastAsia" w:ascii="宋体" w:hAnsi="宋体" w:eastAsia="宋体" w:cs="宋体"/>
                <w:kern w:val="0"/>
                <w:szCs w:val="21"/>
                <w:lang w:bidi="lo-LA"/>
              </w:rPr>
              <w:t>复合指标可分析维度支持并集：比如分子按应用分析，分母是全量数据，支持按不同应用看占比</w:t>
            </w:r>
          </w:p>
        </w:tc>
      </w:tr>
      <w:tr w14:paraId="0BF430A4">
        <w:tblPrEx>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1E9F86">
            <w:pPr>
              <w:widowControl/>
              <w:jc w:val="center"/>
              <w:rPr>
                <w:rFonts w:ascii="宋体" w:hAnsi="宋体" w:eastAsia="宋体" w:cs="宋体"/>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36CD">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9</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A84C81">
            <w:pPr>
              <w:widowControl/>
              <w:jc w:val="left"/>
              <w:rPr>
                <w:rFonts w:ascii="宋体" w:hAnsi="宋体" w:eastAsia="宋体" w:cs="宋体"/>
                <w:kern w:val="0"/>
                <w:szCs w:val="21"/>
                <w:lang w:bidi="lo-LA"/>
              </w:rPr>
            </w:pPr>
            <w:r>
              <w:rPr>
                <w:rFonts w:hint="eastAsia" w:ascii="宋体" w:hAnsi="宋体" w:eastAsia="宋体" w:cs="宋体"/>
                <w:kern w:val="0"/>
                <w:szCs w:val="21"/>
                <w:lang w:bidi="lo-LA"/>
              </w:rPr>
              <w:t>支持指标的运维管理，创建过程中能够实现同名不同义、同义不同名校验；支持自定义指标属性；支持指标上下线管理；支持指标版本管理</w:t>
            </w:r>
          </w:p>
        </w:tc>
      </w:tr>
      <w:tr w14:paraId="150C0874">
        <w:tblPrEx>
          <w:tblCellMar>
            <w:top w:w="0" w:type="dxa"/>
            <w:left w:w="108" w:type="dxa"/>
            <w:bottom w:w="0" w:type="dxa"/>
            <w:right w:w="108" w:type="dxa"/>
          </w:tblCellMar>
        </w:tblPrEx>
        <w:trPr>
          <w:trHeight w:val="136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2B5DA0">
            <w:pPr>
              <w:widowControl/>
              <w:jc w:val="center"/>
              <w:rPr>
                <w:rFonts w:ascii="宋体" w:hAnsi="宋体" w:eastAsia="宋体" w:cs="宋体"/>
                <w:szCs w:val="21"/>
                <w:lang w:bidi="lo-LA"/>
              </w:rPr>
            </w:pPr>
            <w:r>
              <w:rPr>
                <w:rFonts w:hint="eastAsia" w:ascii="宋体" w:hAnsi="宋体" w:eastAsia="宋体" w:cs="宋体"/>
                <w:kern w:val="0"/>
                <w:szCs w:val="21"/>
                <w:lang w:bidi="lo-L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D700">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10</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490F9B">
            <w:pPr>
              <w:widowControl/>
              <w:jc w:val="left"/>
              <w:rPr>
                <w:rFonts w:ascii="宋体" w:hAnsi="宋体" w:eastAsia="宋体" w:cs="宋体"/>
                <w:kern w:val="0"/>
                <w:szCs w:val="21"/>
                <w:lang w:bidi="lo-LA"/>
              </w:rPr>
            </w:pPr>
            <w:r>
              <w:rPr>
                <w:rFonts w:hint="eastAsia" w:ascii="宋体" w:hAnsi="宋体" w:eastAsia="宋体" w:cs="宋体"/>
                <w:kern w:val="0"/>
                <w:szCs w:val="21"/>
                <w:lang w:bidi="lo-LA"/>
              </w:rPr>
              <w:t>支持用户通过界面化指定加速内容，支持明细字段加速、指标维度组合加速和跨多张表的指标结果加速3种加速方案，无需数据工程师在数仓开发大量宽表与汇总表</w:t>
            </w:r>
          </w:p>
        </w:tc>
      </w:tr>
      <w:tr w14:paraId="1D0D6DE7">
        <w:tblPrEx>
          <w:tblCellMar>
            <w:top w:w="0" w:type="dxa"/>
            <w:left w:w="108" w:type="dxa"/>
            <w:bottom w:w="0" w:type="dxa"/>
            <w:right w:w="108" w:type="dxa"/>
          </w:tblCellMar>
        </w:tblPrEx>
        <w:trPr>
          <w:trHeight w:val="2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E6E8BE">
            <w:pPr>
              <w:widowControl/>
              <w:jc w:val="center"/>
              <w:rPr>
                <w:rFonts w:ascii="宋体" w:hAnsi="宋体" w:eastAsia="宋体" w:cs="宋体"/>
                <w:szCs w:val="21"/>
                <w:lang w:bidi="lo-LA"/>
              </w:rPr>
            </w:pPr>
            <w:r>
              <w:rPr>
                <w:rFonts w:hint="eastAsia" w:ascii="宋体" w:hAnsi="宋体" w:eastAsia="宋体" w:cs="宋体"/>
                <w:kern w:val="0"/>
                <w:szCs w:val="21"/>
                <w:lang w:bidi="lo-L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1CDA">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11</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44549B">
            <w:pPr>
              <w:widowControl/>
              <w:jc w:val="left"/>
              <w:rPr>
                <w:rFonts w:ascii="宋体" w:hAnsi="宋体" w:eastAsia="宋体" w:cs="宋体"/>
                <w:kern w:val="0"/>
                <w:szCs w:val="21"/>
                <w:lang w:bidi="lo-LA"/>
              </w:rPr>
            </w:pPr>
            <w:r>
              <w:rPr>
                <w:rFonts w:hint="eastAsia" w:ascii="宋体" w:hAnsi="宋体" w:eastAsia="宋体" w:cs="宋体"/>
                <w:kern w:val="0"/>
                <w:szCs w:val="21"/>
                <w:lang w:bidi="lo-LA"/>
              </w:rPr>
              <w:t>支持界面化创建与管理物化数据回刷机制，包括：①数据进行全量更新和增量物化更新；②支持指定周期的数据回补刷新，支持穿透回刷或全链路数据回刷两种回刷模式；③支持根据数据血缘关系进行自动修复性回刷；④支持手动更新、周期性定时更新和消息触发更新三种方式</w:t>
            </w:r>
          </w:p>
        </w:tc>
      </w:tr>
      <w:tr w14:paraId="7C58875A">
        <w:tblPrEx>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35B4BE">
            <w:pPr>
              <w:widowControl/>
              <w:jc w:val="center"/>
              <w:rPr>
                <w:rFonts w:ascii="宋体" w:hAnsi="宋体" w:eastAsia="宋体" w:cs="宋体"/>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1816">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12</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01B04A">
            <w:pPr>
              <w:widowControl/>
              <w:jc w:val="left"/>
              <w:rPr>
                <w:rFonts w:ascii="宋体" w:hAnsi="宋体" w:eastAsia="宋体" w:cs="宋体"/>
                <w:kern w:val="0"/>
                <w:szCs w:val="21"/>
                <w:lang w:bidi="lo-LA"/>
              </w:rPr>
            </w:pPr>
            <w:r>
              <w:rPr>
                <w:rFonts w:hint="eastAsia" w:ascii="宋体" w:hAnsi="宋体" w:eastAsia="宋体" w:cs="宋体"/>
                <w:kern w:val="0"/>
                <w:szCs w:val="21"/>
                <w:lang w:bidi="lo-LA"/>
              </w:rPr>
              <w:t>支持任务DAG监控与运维，支持界面查看物化任务的运行状态及执行详情；支持任务重跑、暂停、置为成功等运维操作</w:t>
            </w:r>
          </w:p>
        </w:tc>
      </w:tr>
      <w:tr w14:paraId="0B1A56D8">
        <w:tblPrEx>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4EB8F2">
            <w:pPr>
              <w:widowControl/>
              <w:jc w:val="center"/>
              <w:rPr>
                <w:rFonts w:ascii="宋体" w:hAnsi="宋体" w:eastAsia="宋体" w:cs="宋体"/>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F7BC">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13</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D605C4">
            <w:pPr>
              <w:widowControl/>
              <w:jc w:val="left"/>
              <w:rPr>
                <w:rFonts w:ascii="宋体" w:hAnsi="宋体" w:eastAsia="宋体" w:cs="宋体"/>
                <w:kern w:val="0"/>
                <w:szCs w:val="21"/>
                <w:lang w:bidi="lo-LA"/>
              </w:rPr>
            </w:pPr>
            <w:r>
              <w:rPr>
                <w:rFonts w:hint="eastAsia" w:ascii="宋体" w:hAnsi="宋体" w:eastAsia="宋体" w:cs="宋体"/>
                <w:kern w:val="0"/>
                <w:szCs w:val="21"/>
                <w:lang w:bidi="lo-LA"/>
              </w:rPr>
              <w:t>支持按照指标逻辑关系、维度归因，支持多个维度交叉归因，支持同一个图上既可按逻辑关系归因，也可以按维度拆解，支持计算每一级的因子贡献率以及整体的贡献率。</w:t>
            </w:r>
          </w:p>
        </w:tc>
      </w:tr>
      <w:tr w14:paraId="72784CFB">
        <w:tblPrEx>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F9694D">
            <w:pPr>
              <w:widowControl/>
              <w:jc w:val="center"/>
              <w:rPr>
                <w:rFonts w:ascii="宋体" w:hAnsi="宋体" w:eastAsia="宋体" w:cs="宋体"/>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73C1">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14</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EAA994">
            <w:pPr>
              <w:widowControl/>
              <w:jc w:val="left"/>
              <w:rPr>
                <w:rFonts w:ascii="宋体" w:hAnsi="宋体" w:eastAsia="宋体" w:cs="宋体"/>
                <w:kern w:val="0"/>
                <w:szCs w:val="21"/>
                <w:lang w:bidi="lo-LA"/>
              </w:rPr>
            </w:pPr>
            <w:r>
              <w:rPr>
                <w:rFonts w:hint="eastAsia" w:ascii="宋体" w:hAnsi="宋体" w:eastAsia="宋体" w:cs="宋体"/>
                <w:kern w:val="0"/>
                <w:szCs w:val="21"/>
                <w:lang w:bidi="lo-LA"/>
              </w:rPr>
              <w:t>支持按业务场景通过指标树组织指标和指标之间的关联关系，结构化、层次化地呈现指标之间的业务关联关系</w:t>
            </w:r>
          </w:p>
        </w:tc>
      </w:tr>
      <w:tr w14:paraId="3FC276C8">
        <w:tblPrEx>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8C0E01">
            <w:pPr>
              <w:widowControl/>
              <w:jc w:val="center"/>
              <w:rPr>
                <w:rFonts w:ascii="宋体" w:hAnsi="宋体" w:eastAsia="宋体" w:cs="宋体"/>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3BCA">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15</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023767">
            <w:pPr>
              <w:widowControl/>
              <w:jc w:val="left"/>
              <w:rPr>
                <w:rFonts w:ascii="宋体" w:hAnsi="宋体" w:eastAsia="宋体" w:cs="宋体"/>
                <w:kern w:val="0"/>
                <w:szCs w:val="21"/>
                <w:lang w:bidi="lo-LA"/>
              </w:rPr>
            </w:pPr>
            <w:r>
              <w:rPr>
                <w:rFonts w:hint="eastAsia" w:ascii="宋体" w:hAnsi="宋体" w:eastAsia="宋体" w:cs="宋体"/>
                <w:kern w:val="0"/>
                <w:szCs w:val="21"/>
                <w:lang w:bidi="lo-LA"/>
              </w:rPr>
              <w:t>监控指标情况，对异常情况进行报警，支持邮件报警</w:t>
            </w:r>
          </w:p>
        </w:tc>
      </w:tr>
      <w:tr w14:paraId="62CA5193">
        <w:tblPrEx>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8B65EB">
            <w:pPr>
              <w:widowControl/>
              <w:jc w:val="center"/>
              <w:rPr>
                <w:rFonts w:ascii="宋体" w:hAnsi="宋体" w:eastAsia="宋体" w:cs="宋体"/>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DBB0">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16</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CC9420">
            <w:pPr>
              <w:widowControl/>
              <w:jc w:val="left"/>
              <w:rPr>
                <w:rFonts w:ascii="宋体" w:hAnsi="宋体" w:eastAsia="宋体" w:cs="宋体"/>
                <w:kern w:val="0"/>
                <w:szCs w:val="21"/>
                <w:lang w:bidi="lo-LA"/>
              </w:rPr>
            </w:pPr>
            <w:r>
              <w:rPr>
                <w:rFonts w:hint="eastAsia" w:ascii="宋体" w:hAnsi="宋体" w:eastAsia="宋体" w:cs="宋体"/>
                <w:color w:val="000000"/>
                <w:kern w:val="0"/>
                <w:szCs w:val="21"/>
                <w:lang w:bidi="ar"/>
              </w:rPr>
              <w:t>支持用户拖拽指标和维度进行指标探索分析或者发布为固定看板，支持通过丰富的可视化图形展示，让用户可以直观地了解指标的变化趋势和状态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1、支持同一个指标多个不同维度表的维度组合分析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2、支持同一个维度多个不同事实表的指标组合分析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3、支持多个维度表的维度与多个事实表的指标组合分析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4、支持用户通过同环比、不同统计周期、不同业务限定等方式快速进行指标衍生</w:t>
            </w:r>
          </w:p>
        </w:tc>
      </w:tr>
      <w:tr w14:paraId="6E52C182">
        <w:tblPrEx>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28ACD7">
            <w:pPr>
              <w:widowControl/>
              <w:jc w:val="center"/>
              <w:rPr>
                <w:rFonts w:ascii="宋体" w:hAnsi="宋体" w:eastAsia="宋体" w:cs="宋体"/>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FA53">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17</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BFEE8A">
            <w:pPr>
              <w:widowControl/>
              <w:jc w:val="left"/>
              <w:rPr>
                <w:rFonts w:ascii="宋体" w:hAnsi="宋体" w:eastAsia="宋体" w:cs="宋体"/>
                <w:kern w:val="0"/>
                <w:szCs w:val="21"/>
                <w:lang w:bidi="lo-LA"/>
              </w:rPr>
            </w:pPr>
            <w:r>
              <w:rPr>
                <w:rFonts w:hint="eastAsia" w:ascii="宋体" w:hAnsi="宋体" w:eastAsia="宋体" w:cs="宋体"/>
                <w:kern w:val="0"/>
                <w:szCs w:val="21"/>
                <w:lang w:bidi="lo-LA"/>
              </w:rPr>
              <w:t>支持数据集按类目授权；支持按类目进行批量指标授权；支持对指标进行行级和列级权限控制；支持对指标设置可见权限</w:t>
            </w:r>
          </w:p>
        </w:tc>
      </w:tr>
      <w:tr w14:paraId="774E5129">
        <w:tblPrEx>
          <w:tblCellMar>
            <w:top w:w="0" w:type="dxa"/>
            <w:left w:w="108" w:type="dxa"/>
            <w:bottom w:w="0" w:type="dxa"/>
            <w:right w:w="108" w:type="dxa"/>
          </w:tblCellMar>
        </w:tblPrEx>
        <w:trPr>
          <w:trHeight w:val="9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E29FE3">
            <w:pPr>
              <w:widowControl/>
              <w:jc w:val="center"/>
              <w:rPr>
                <w:rFonts w:ascii="宋体" w:hAnsi="宋体" w:eastAsia="宋体" w:cs="宋体"/>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3A17">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18</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B3A6C3">
            <w:pPr>
              <w:widowControl/>
              <w:jc w:val="left"/>
              <w:rPr>
                <w:rFonts w:ascii="宋体" w:hAnsi="宋体" w:eastAsia="宋体" w:cs="宋体"/>
                <w:kern w:val="0"/>
                <w:szCs w:val="21"/>
                <w:lang w:bidi="lo-LA"/>
              </w:rPr>
            </w:pPr>
            <w:r>
              <w:rPr>
                <w:rFonts w:hint="eastAsia" w:ascii="宋体" w:hAnsi="宋体" w:eastAsia="宋体" w:cs="宋体"/>
                <w:kern w:val="0"/>
                <w:szCs w:val="21"/>
                <w:lang w:bidi="lo-LA"/>
              </w:rPr>
              <w:t>支持通过API接口查询指标的数据内容，支持一个API接口中传递多个指标、多个维度；支持通过接口进行指标衍生计算，包括同环比、占比、排名、统计周期等</w:t>
            </w:r>
          </w:p>
        </w:tc>
      </w:tr>
      <w:tr w14:paraId="59A42163">
        <w:tblPrEx>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6054E1">
            <w:pPr>
              <w:widowControl/>
              <w:jc w:val="center"/>
              <w:rPr>
                <w:rFonts w:ascii="宋体" w:hAnsi="宋体" w:eastAsia="宋体" w:cs="宋体"/>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1701">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19</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C52042">
            <w:pPr>
              <w:widowControl/>
              <w:jc w:val="left"/>
              <w:rPr>
                <w:rFonts w:ascii="宋体" w:hAnsi="宋体" w:eastAsia="宋体" w:cs="宋体"/>
                <w:kern w:val="0"/>
                <w:szCs w:val="21"/>
                <w:lang w:bidi="lo-LA"/>
              </w:rPr>
            </w:pPr>
            <w:r>
              <w:rPr>
                <w:rFonts w:hint="eastAsia" w:ascii="宋体" w:hAnsi="宋体" w:eastAsia="宋体" w:cs="宋体"/>
                <w:kern w:val="0"/>
                <w:szCs w:val="21"/>
                <w:lang w:bidi="lo-LA"/>
              </w:rPr>
              <w:t>支持通过 API 接口查询和管理指标与维度的元数据信息，包括创建、修改、删除等操作；支持通过接口获取指标列表、指标可用维度、单个指标详情、批量指标详情、指标发布状态；支持通过接口获取查询维度列表、查询维度详情、维度值预览</w:t>
            </w:r>
          </w:p>
        </w:tc>
      </w:tr>
      <w:tr w14:paraId="53A3B88C">
        <w:tblPrEx>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BE4952">
            <w:pPr>
              <w:widowControl/>
              <w:jc w:val="center"/>
              <w:rPr>
                <w:rFonts w:ascii="宋体" w:hAnsi="宋体" w:eastAsia="宋体" w:cs="宋体"/>
                <w:szCs w:val="21"/>
                <w:lang w:bidi="lo-LA"/>
              </w:rPr>
            </w:pPr>
            <w:r>
              <w:rPr>
                <w:rFonts w:hint="eastAsia" w:ascii="宋体" w:hAnsi="宋体" w:eastAsia="宋体" w:cs="宋体"/>
                <w:kern w:val="0"/>
                <w:szCs w:val="21"/>
                <w:lang w:bidi="lo-L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5B9B">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20</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AB454B">
            <w:pPr>
              <w:widowControl/>
              <w:jc w:val="left"/>
              <w:rPr>
                <w:rFonts w:ascii="宋体" w:hAnsi="宋体" w:eastAsia="宋体" w:cs="宋体"/>
                <w:kern w:val="0"/>
                <w:szCs w:val="21"/>
                <w:lang w:bidi="lo-LA"/>
              </w:rPr>
            </w:pPr>
            <w:r>
              <w:rPr>
                <w:rFonts w:hint="eastAsia" w:ascii="宋体" w:hAnsi="宋体" w:eastAsia="宋体" w:cs="宋体"/>
                <w:kern w:val="0"/>
                <w:szCs w:val="21"/>
                <w:lang w:bidi="lo-LA"/>
              </w:rPr>
              <w:t>支持通过API获取指标逻辑关系归因、维度归因的查询结果</w:t>
            </w:r>
          </w:p>
        </w:tc>
      </w:tr>
      <w:tr w14:paraId="60AAE0B3">
        <w:tblPrEx>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6C9E9F">
            <w:pPr>
              <w:widowControl/>
              <w:jc w:val="center"/>
              <w:rPr>
                <w:rFonts w:ascii="宋体" w:hAnsi="宋体" w:eastAsia="宋体" w:cs="宋体"/>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BE62">
            <w:pPr>
              <w:pStyle w:val="15"/>
              <w:widowControl/>
              <w:numPr>
                <w:ilvl w:val="0"/>
                <w:numId w:val="0"/>
              </w:numPr>
              <w:jc w:val="center"/>
              <w:rPr>
                <w:rFonts w:ascii="宋体" w:hAnsi="宋体" w:cs="宋体"/>
                <w:b/>
                <w:bCs/>
                <w:kern w:val="0"/>
                <w:sz w:val="21"/>
                <w:lang w:bidi="lo-LA"/>
              </w:rPr>
            </w:pPr>
            <w:r>
              <w:rPr>
                <w:rFonts w:hint="eastAsia" w:ascii="宋体" w:hAnsi="宋体" w:cs="宋体"/>
                <w:b/>
                <w:bCs/>
                <w:kern w:val="0"/>
                <w:sz w:val="21"/>
                <w:lang w:bidi="lo-LA"/>
              </w:rPr>
              <w:t>21</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CA330B">
            <w:pPr>
              <w:widowControl/>
              <w:jc w:val="left"/>
              <w:rPr>
                <w:rFonts w:ascii="宋体" w:hAnsi="宋体" w:eastAsia="宋体" w:cs="宋体"/>
                <w:b/>
                <w:bCs/>
                <w:kern w:val="0"/>
                <w:szCs w:val="21"/>
                <w:lang w:bidi="lo-LA"/>
              </w:rPr>
            </w:pPr>
            <w:r>
              <w:rPr>
                <w:rFonts w:hint="eastAsia" w:ascii="宋体" w:hAnsi="宋体" w:eastAsia="宋体" w:cs="宋体"/>
                <w:b/>
                <w:bCs/>
                <w:kern w:val="0"/>
                <w:szCs w:val="21"/>
                <w:lang w:bidi="lo-LA"/>
              </w:rPr>
              <w:t>二、智能湖仓引擎暨逻辑数仓（编号22至32）</w:t>
            </w:r>
          </w:p>
        </w:tc>
      </w:tr>
      <w:tr w14:paraId="79B39423">
        <w:tblPrEx>
          <w:tblCellMar>
            <w:top w:w="0" w:type="dxa"/>
            <w:left w:w="108" w:type="dxa"/>
            <w:bottom w:w="0" w:type="dxa"/>
            <w:right w:w="108" w:type="dxa"/>
          </w:tblCellMar>
        </w:tblPrEx>
        <w:trPr>
          <w:trHeight w:val="9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1EA58B">
            <w:pPr>
              <w:widowControl/>
              <w:jc w:val="center"/>
              <w:rPr>
                <w:rFonts w:ascii="宋体" w:hAnsi="宋体" w:eastAsia="宋体" w:cs="宋体"/>
                <w:b/>
                <w:bCs/>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628F">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22</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9A5738">
            <w:pPr>
              <w:widowControl/>
              <w:jc w:val="left"/>
              <w:rPr>
                <w:rFonts w:ascii="宋体" w:hAnsi="宋体" w:eastAsia="宋体" w:cs="宋体"/>
                <w:b/>
                <w:bCs/>
                <w:kern w:val="0"/>
                <w:szCs w:val="21"/>
                <w:lang w:bidi="lo-LA"/>
              </w:rPr>
            </w:pPr>
            <w:r>
              <w:rPr>
                <w:rFonts w:hint="eastAsia" w:ascii="宋体" w:hAnsi="宋体" w:eastAsia="宋体" w:cs="宋体"/>
                <w:kern w:val="0"/>
                <w:szCs w:val="21"/>
                <w:lang w:bidi="lo-LA"/>
              </w:rPr>
              <w:t>各子企业由指定管理员进行用户管理，用户与用户组各自的使用场景互相隔离，按照数据资产的归属进行权限控制，针对各自的数据设置数据共享规则，包括脱敏及变形处理。</w:t>
            </w:r>
          </w:p>
        </w:tc>
      </w:tr>
      <w:tr w14:paraId="77D2F077">
        <w:tblPrEx>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365425">
            <w:pPr>
              <w:widowControl/>
              <w:jc w:val="center"/>
              <w:rPr>
                <w:rFonts w:ascii="宋体" w:hAnsi="宋体" w:eastAsia="宋体" w:cs="宋体"/>
                <w:b/>
                <w:bCs/>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6BAB">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23</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1CF1E5">
            <w:pPr>
              <w:widowControl/>
              <w:jc w:val="left"/>
              <w:rPr>
                <w:rFonts w:ascii="宋体" w:hAnsi="宋体" w:eastAsia="宋体" w:cs="宋体"/>
                <w:kern w:val="0"/>
                <w:szCs w:val="21"/>
                <w:lang w:bidi="lo-LA"/>
              </w:rPr>
            </w:pPr>
            <w:r>
              <w:rPr>
                <w:rFonts w:hint="eastAsia" w:ascii="宋体" w:hAnsi="宋体" w:eastAsia="宋体" w:cs="宋体"/>
                <w:kern w:val="0"/>
                <w:szCs w:val="21"/>
                <w:lang w:bidi="lo-LA"/>
              </w:rPr>
              <w:t>支持数据资产的搜索，按表、字段、备注等；支持查看基础、样例数据、血缘（字段级）、产出等信息</w:t>
            </w:r>
          </w:p>
        </w:tc>
      </w:tr>
      <w:tr w14:paraId="4CB741DA">
        <w:tblPrEx>
          <w:tblCellMar>
            <w:top w:w="0" w:type="dxa"/>
            <w:left w:w="108" w:type="dxa"/>
            <w:bottom w:w="0" w:type="dxa"/>
            <w:right w:w="108" w:type="dxa"/>
          </w:tblCellMar>
        </w:tblPrEx>
        <w:trPr>
          <w:trHeight w:val="605"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06A89E">
            <w:pPr>
              <w:widowControl/>
              <w:jc w:val="center"/>
              <w:rPr>
                <w:rFonts w:ascii="宋体" w:hAnsi="宋体" w:eastAsia="宋体" w:cs="宋体"/>
                <w:b/>
                <w:bCs/>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9440">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24</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984901">
            <w:pPr>
              <w:widowControl/>
              <w:jc w:val="left"/>
              <w:rPr>
                <w:rFonts w:ascii="宋体" w:hAnsi="宋体" w:eastAsia="宋体" w:cs="宋体"/>
                <w:kern w:val="0"/>
                <w:szCs w:val="21"/>
                <w:lang w:bidi="lo-LA"/>
              </w:rPr>
            </w:pPr>
            <w:r>
              <w:rPr>
                <w:rFonts w:hint="eastAsia" w:ascii="宋体" w:hAnsi="宋体" w:eastAsia="宋体" w:cs="宋体"/>
                <w:kern w:val="0"/>
                <w:szCs w:val="21"/>
                <w:lang w:bidi="lo-LA"/>
              </w:rPr>
              <w:t>支持业务相近的一组API进行管理，支持SQL、向导式的API开发</w:t>
            </w:r>
          </w:p>
        </w:tc>
      </w:tr>
      <w:tr w14:paraId="2C477292">
        <w:tblPrEx>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351BA2">
            <w:pPr>
              <w:widowControl/>
              <w:jc w:val="center"/>
              <w:rPr>
                <w:rFonts w:ascii="宋体" w:hAnsi="宋体" w:eastAsia="宋体" w:cs="宋体"/>
                <w:b/>
                <w:bCs/>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E6D1">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25</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D2F2C9">
            <w:pPr>
              <w:widowControl/>
              <w:jc w:val="left"/>
              <w:rPr>
                <w:rFonts w:ascii="宋体" w:hAnsi="宋体" w:eastAsia="宋体" w:cs="宋体"/>
                <w:kern w:val="0"/>
                <w:szCs w:val="21"/>
                <w:lang w:bidi="lo-LA"/>
              </w:rPr>
            </w:pPr>
            <w:r>
              <w:rPr>
                <w:rFonts w:hint="eastAsia" w:ascii="宋体" w:hAnsi="宋体" w:eastAsia="宋体" w:cs="宋体"/>
                <w:kern w:val="0"/>
                <w:szCs w:val="21"/>
                <w:lang w:bidi="lo-LA"/>
              </w:rPr>
              <w:t>支持对数据目录，表、列及行进行权限管理；支持支持静态、动态脱敏算法；支持数据安全加密等能力；支持对数据访问日志审计，提供用数审计功能，能够方便管理和查询用户访问数据的记录。</w:t>
            </w:r>
          </w:p>
        </w:tc>
      </w:tr>
      <w:tr w14:paraId="6789E88F">
        <w:tblPrEx>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3919C8">
            <w:pPr>
              <w:widowControl/>
              <w:jc w:val="center"/>
              <w:rPr>
                <w:rFonts w:ascii="宋体" w:hAnsi="宋体" w:eastAsia="宋体" w:cs="宋体"/>
                <w:szCs w:val="21"/>
                <w:lang w:bidi="lo-LA"/>
              </w:rPr>
            </w:pPr>
            <w:r>
              <w:rPr>
                <w:rFonts w:hint="eastAsia" w:ascii="宋体" w:hAnsi="宋体" w:eastAsia="宋体" w:cs="宋体"/>
                <w:kern w:val="0"/>
                <w:szCs w:val="21"/>
                <w:lang w:bidi="lo-L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C43C">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26</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BA18CD">
            <w:pPr>
              <w:pStyle w:val="15"/>
              <w:widowControl/>
              <w:numPr>
                <w:ilvl w:val="0"/>
                <w:numId w:val="0"/>
              </w:numPr>
              <w:rPr>
                <w:rFonts w:ascii="宋体" w:hAnsi="宋体" w:cs="宋体"/>
                <w:kern w:val="0"/>
                <w:sz w:val="21"/>
                <w:lang w:bidi="lo-LA"/>
              </w:rPr>
            </w:pPr>
            <w:r>
              <w:rPr>
                <w:rFonts w:hint="eastAsia" w:ascii="宋体" w:hAnsi="宋体" w:cs="宋体"/>
                <w:kern w:val="0"/>
                <w:sz w:val="21"/>
                <w:lang w:bidi="lo-LA"/>
              </w:rPr>
              <w:t>具备通过逻辑化方式集成已有数据仓库或者数据源的能力，无需重复物理拷贝数据。支持跨投资企业的多种数据源融合分析应用，包括但不限于Hadoop、Doris、StarRocks、市场主流RDBMS、市场主流的商业软件包等，支持开通后数据通过统一 SQL快速访问，具备实时或者近实时的数据集成能力。</w:t>
            </w:r>
          </w:p>
        </w:tc>
      </w:tr>
      <w:tr w14:paraId="332F82E3">
        <w:tblPrEx>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65E641">
            <w:pPr>
              <w:widowControl/>
              <w:jc w:val="center"/>
              <w:rPr>
                <w:rFonts w:ascii="宋体" w:hAnsi="宋体" w:eastAsia="宋体" w:cs="宋体"/>
                <w:szCs w:val="21"/>
                <w:lang w:bidi="lo-LA"/>
              </w:rPr>
            </w:pPr>
            <w:r>
              <w:rPr>
                <w:rFonts w:hint="eastAsia" w:ascii="宋体" w:hAnsi="宋体" w:eastAsia="宋体" w:cs="宋体"/>
                <w:kern w:val="0"/>
                <w:szCs w:val="21"/>
                <w:lang w:bidi="lo-L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AFDD">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27</w:t>
            </w:r>
          </w:p>
        </w:tc>
        <w:tc>
          <w:tcPr>
            <w:tcW w:w="7626" w:type="dxa"/>
            <w:tcBorders>
              <w:top w:val="single" w:color="000000" w:sz="4" w:space="0"/>
              <w:left w:val="single" w:color="000000" w:sz="4" w:space="0"/>
              <w:bottom w:val="single" w:color="000000" w:sz="4" w:space="0"/>
              <w:right w:val="single" w:color="000000" w:sz="8" w:space="0"/>
            </w:tcBorders>
            <w:shd w:val="clear" w:color="auto" w:fill="FFFFFF"/>
          </w:tcPr>
          <w:p w14:paraId="1096A8E0">
            <w:pPr>
              <w:pStyle w:val="15"/>
              <w:widowControl/>
              <w:numPr>
                <w:ilvl w:val="0"/>
                <w:numId w:val="0"/>
              </w:numPr>
              <w:rPr>
                <w:rFonts w:ascii="宋体" w:hAnsi="宋体" w:cs="宋体"/>
                <w:kern w:val="0"/>
                <w:sz w:val="21"/>
                <w:lang w:bidi="lo-LA"/>
              </w:rPr>
            </w:pPr>
            <w:r>
              <w:rPr>
                <w:rFonts w:hint="eastAsia" w:ascii="宋体" w:hAnsi="宋体" w:cs="宋体"/>
                <w:kern w:val="0"/>
                <w:sz w:val="21"/>
                <w:lang w:bidi="lo-LA"/>
              </w:rPr>
              <w:t>可系统自动生成物理 ETL 作业，自动生成数据加工脚本和任务依赖关系。支持加速作业的运维能力，具备补数，重跑等运维操作，以及复杂加速作业的调度依赖。</w:t>
            </w:r>
          </w:p>
        </w:tc>
      </w:tr>
      <w:tr w14:paraId="2FEB08DC">
        <w:tblPrEx>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7F5099">
            <w:pPr>
              <w:widowControl/>
              <w:jc w:val="center"/>
              <w:rPr>
                <w:rFonts w:ascii="宋体" w:hAnsi="宋体" w:eastAsia="宋体" w:cs="宋体"/>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8557">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28</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EB9397">
            <w:pPr>
              <w:pStyle w:val="15"/>
              <w:widowControl/>
              <w:numPr>
                <w:ilvl w:val="0"/>
                <w:numId w:val="0"/>
              </w:numPr>
              <w:rPr>
                <w:rFonts w:ascii="宋体" w:hAnsi="宋体" w:cs="宋体"/>
                <w:kern w:val="0"/>
                <w:sz w:val="21"/>
                <w:lang w:bidi="lo-LA"/>
              </w:rPr>
            </w:pPr>
            <w:r>
              <w:rPr>
                <w:rFonts w:hint="eastAsia" w:ascii="宋体" w:hAnsi="宋体" w:cs="宋体"/>
                <w:kern w:val="0"/>
                <w:sz w:val="21"/>
                <w:lang w:bidi="lo-LA"/>
              </w:rPr>
              <w:t>可以通过逻辑的方式进行数据的集成和数据整合，减少数据整合的复杂性，提高整合效率，降低存算和管理成本。支持复杂SQL的虚拟化数据整合，支持JSON等协议数据自解析能力。</w:t>
            </w:r>
          </w:p>
        </w:tc>
      </w:tr>
      <w:tr w14:paraId="19CE5017">
        <w:tblPrEx>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B5EEF9">
            <w:pPr>
              <w:widowControl/>
              <w:jc w:val="center"/>
              <w:rPr>
                <w:rFonts w:ascii="宋体" w:hAnsi="宋体" w:eastAsia="宋体" w:cs="宋体"/>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A508">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29</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7C83F9">
            <w:pPr>
              <w:pStyle w:val="15"/>
              <w:widowControl/>
              <w:numPr>
                <w:ilvl w:val="0"/>
                <w:numId w:val="0"/>
              </w:numPr>
              <w:rPr>
                <w:rFonts w:ascii="宋体" w:hAnsi="宋体" w:cs="宋体"/>
                <w:kern w:val="0"/>
                <w:sz w:val="21"/>
                <w:lang w:bidi="lo-LA"/>
              </w:rPr>
            </w:pPr>
            <w:r>
              <w:rPr>
                <w:rFonts w:hint="eastAsia" w:ascii="宋体" w:hAnsi="宋体" w:cs="宋体"/>
                <w:kern w:val="0"/>
                <w:sz w:val="21"/>
                <w:lang w:bidi="lo-LA"/>
              </w:rPr>
              <w:t>隐藏底层数据的复杂性，提供抽象的数据视图。</w:t>
            </w:r>
          </w:p>
        </w:tc>
      </w:tr>
      <w:tr w14:paraId="09A856A4">
        <w:tblPrEx>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41C53D">
            <w:pPr>
              <w:widowControl/>
              <w:jc w:val="center"/>
              <w:rPr>
                <w:rFonts w:ascii="宋体" w:hAnsi="宋体" w:eastAsia="宋体" w:cs="宋体"/>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FF77">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30</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A813F1">
            <w:pPr>
              <w:pStyle w:val="15"/>
              <w:widowControl/>
              <w:numPr>
                <w:ilvl w:val="0"/>
                <w:numId w:val="0"/>
              </w:numPr>
              <w:rPr>
                <w:rFonts w:ascii="宋体" w:hAnsi="宋体" w:cs="宋体"/>
                <w:kern w:val="0"/>
                <w:sz w:val="21"/>
                <w:lang w:bidi="lo-LA"/>
              </w:rPr>
            </w:pPr>
            <w:r>
              <w:rPr>
                <w:rFonts w:hint="eastAsia" w:ascii="宋体" w:hAnsi="宋体" w:cs="宋体"/>
                <w:kern w:val="0"/>
                <w:sz w:val="21"/>
                <w:lang w:bidi="lo-LA"/>
              </w:rPr>
              <w:t>允许不同组织或部门之间的数据在保持独立性的同时实现共享和协同工作。</w:t>
            </w:r>
          </w:p>
        </w:tc>
      </w:tr>
      <w:tr w14:paraId="0F00BF66">
        <w:tblPrEx>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80B4B4">
            <w:pPr>
              <w:widowControl/>
              <w:jc w:val="center"/>
              <w:rPr>
                <w:rFonts w:ascii="宋体" w:hAnsi="宋体" w:eastAsia="宋体" w:cs="宋体"/>
                <w:szCs w:val="21"/>
                <w:lang w:bidi="lo-LA"/>
              </w:rPr>
            </w:pPr>
            <w:r>
              <w:rPr>
                <w:rFonts w:hint="eastAsia" w:ascii="宋体" w:hAnsi="宋体" w:eastAsia="宋体" w:cs="宋体"/>
                <w:kern w:val="0"/>
                <w:szCs w:val="21"/>
                <w:lang w:bidi="lo-L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C2AF">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31</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25B160">
            <w:pPr>
              <w:pStyle w:val="15"/>
              <w:widowControl/>
              <w:numPr>
                <w:ilvl w:val="0"/>
                <w:numId w:val="0"/>
              </w:numPr>
              <w:rPr>
                <w:rFonts w:ascii="宋体" w:hAnsi="宋体" w:cs="宋体"/>
                <w:kern w:val="0"/>
                <w:sz w:val="21"/>
                <w:lang w:bidi="lo-LA"/>
              </w:rPr>
            </w:pPr>
            <w:r>
              <w:rPr>
                <w:rFonts w:hint="eastAsia" w:ascii="宋体" w:hAnsi="宋体" w:cs="宋体"/>
                <w:kern w:val="0"/>
                <w:sz w:val="21"/>
                <w:lang w:bidi="lo-LA"/>
              </w:rPr>
              <w:t>通过智能回收策略，对加速的计算和存储自动进行合并、回收等优化处理，降低存储和计算成本，以及长期人工维护和治理的投入成本。</w:t>
            </w:r>
          </w:p>
        </w:tc>
      </w:tr>
      <w:tr w14:paraId="0EBC242C">
        <w:tblPrEx>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12BF1A">
            <w:pPr>
              <w:widowControl/>
              <w:jc w:val="center"/>
              <w:rPr>
                <w:rFonts w:ascii="宋体" w:hAnsi="宋体" w:eastAsia="宋体" w:cs="宋体"/>
                <w:szCs w:val="21"/>
                <w:lang w:bidi="lo-L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6F5C">
            <w:pPr>
              <w:pStyle w:val="15"/>
              <w:widowControl/>
              <w:numPr>
                <w:ilvl w:val="0"/>
                <w:numId w:val="0"/>
              </w:numPr>
              <w:jc w:val="center"/>
              <w:rPr>
                <w:rFonts w:ascii="宋体" w:hAnsi="宋体" w:cs="宋体"/>
                <w:kern w:val="0"/>
                <w:sz w:val="21"/>
                <w:lang w:bidi="lo-LA"/>
              </w:rPr>
            </w:pPr>
            <w:r>
              <w:rPr>
                <w:rFonts w:hint="eastAsia" w:ascii="宋体" w:hAnsi="宋体" w:cs="宋体"/>
                <w:kern w:val="0"/>
                <w:sz w:val="21"/>
                <w:lang w:bidi="lo-LA"/>
              </w:rPr>
              <w:t>32</w:t>
            </w:r>
          </w:p>
        </w:tc>
        <w:tc>
          <w:tcPr>
            <w:tcW w:w="762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5DCB52">
            <w:pPr>
              <w:widowControl/>
              <w:jc w:val="left"/>
              <w:rPr>
                <w:rFonts w:ascii="宋体" w:hAnsi="宋体" w:eastAsia="宋体" w:cs="宋体"/>
                <w:kern w:val="0"/>
                <w:szCs w:val="21"/>
                <w:lang w:bidi="lo-LA"/>
              </w:rPr>
            </w:pPr>
            <w:r>
              <w:rPr>
                <w:rFonts w:hint="eastAsia" w:ascii="宋体" w:hAnsi="宋体" w:eastAsia="宋体" w:cs="宋体"/>
                <w:kern w:val="0"/>
                <w:szCs w:val="21"/>
                <w:lang w:bidi="lo-LA"/>
              </w:rPr>
              <w:t>处理大量数据时能够保持高效和稳定，满足高并发访问需求。支持大数据量（千万级/亿级）的分析应用，具备性能优化特性，接近直接数据访问的基准，在同等条件下，对常见对象存储的查询要显著优于联邦查询Presto的性能。</w:t>
            </w:r>
          </w:p>
        </w:tc>
      </w:tr>
    </w:tbl>
    <w:p w14:paraId="523B2513">
      <w:pPr>
        <w:pStyle w:val="14"/>
        <w:numPr>
          <w:ilvl w:val="0"/>
          <w:numId w:val="0"/>
        </w:numPr>
        <w:rPr>
          <w:rFonts w:hint="default" w:hAnsi="宋体"/>
          <w:bCs/>
          <w:kern w:val="44"/>
          <w:sz w:val="24"/>
          <w:szCs w:val="24"/>
          <w:lang w:val="en-US" w:eastAsia="zh-CN"/>
        </w:rPr>
      </w:pPr>
    </w:p>
    <w:p w14:paraId="6739CAEF">
      <w:pPr>
        <w:pStyle w:val="14"/>
        <w:numPr>
          <w:ilvl w:val="0"/>
          <w:numId w:val="0"/>
        </w:numPr>
        <w:rPr>
          <w:rFonts w:hint="default" w:hAnsi="宋体"/>
          <w:bCs/>
          <w:kern w:val="44"/>
          <w:sz w:val="24"/>
          <w:szCs w:val="24"/>
          <w:lang w:val="en-US" w:eastAsia="zh-CN"/>
        </w:rPr>
      </w:pPr>
    </w:p>
    <w:p w14:paraId="29665ED0">
      <w:pPr>
        <w:pStyle w:val="14"/>
        <w:numPr>
          <w:ilvl w:val="0"/>
          <w:numId w:val="0"/>
        </w:numPr>
        <w:rPr>
          <w:rFonts w:hint="default" w:hAnsi="宋体"/>
          <w:bCs/>
          <w:kern w:val="44"/>
          <w:sz w:val="24"/>
          <w:szCs w:val="24"/>
          <w:lang w:val="en-US" w:eastAsia="zh-CN"/>
        </w:rPr>
      </w:pPr>
    </w:p>
    <w:p w14:paraId="517589A4">
      <w:pPr>
        <w:pStyle w:val="14"/>
        <w:numPr>
          <w:ilvl w:val="0"/>
          <w:numId w:val="0"/>
        </w:numPr>
        <w:rPr>
          <w:rFonts w:hint="default" w:hAnsi="宋体"/>
          <w:bCs/>
          <w:kern w:val="44"/>
          <w:sz w:val="24"/>
          <w:szCs w:val="24"/>
          <w:lang w:val="en-US" w:eastAsia="zh-CN"/>
        </w:rPr>
      </w:pPr>
    </w:p>
    <w:p w14:paraId="5CD2437C">
      <w:pPr>
        <w:pStyle w:val="14"/>
        <w:numPr>
          <w:ilvl w:val="0"/>
          <w:numId w:val="0"/>
        </w:numPr>
        <w:rPr>
          <w:rFonts w:hint="default" w:hAnsi="宋体"/>
          <w:bCs/>
          <w:kern w:val="44"/>
          <w:sz w:val="24"/>
          <w:szCs w:val="24"/>
          <w:lang w:val="en-US" w:eastAsia="zh-CN"/>
        </w:rPr>
      </w:pPr>
    </w:p>
    <w:p w14:paraId="4FA248C5">
      <w:pPr>
        <w:pStyle w:val="14"/>
        <w:numPr>
          <w:ilvl w:val="0"/>
          <w:numId w:val="0"/>
        </w:numPr>
        <w:rPr>
          <w:rFonts w:hint="default" w:hAnsi="宋体"/>
          <w:bCs/>
          <w:kern w:val="44"/>
          <w:sz w:val="24"/>
          <w:szCs w:val="24"/>
          <w:lang w:val="en-US" w:eastAsia="zh-CN"/>
        </w:rPr>
      </w:pPr>
    </w:p>
    <w:p w14:paraId="7CA06220">
      <w:pPr>
        <w:pStyle w:val="14"/>
        <w:numPr>
          <w:ilvl w:val="0"/>
          <w:numId w:val="0"/>
        </w:numPr>
        <w:rPr>
          <w:rFonts w:hint="default" w:hAnsi="宋体"/>
          <w:bCs/>
          <w:kern w:val="44"/>
          <w:sz w:val="24"/>
          <w:szCs w:val="24"/>
          <w:lang w:val="en-US" w:eastAsia="zh-CN"/>
        </w:rPr>
      </w:pPr>
    </w:p>
    <w:p w14:paraId="1551EDD3">
      <w:pPr>
        <w:pStyle w:val="14"/>
        <w:numPr>
          <w:ilvl w:val="0"/>
          <w:numId w:val="0"/>
        </w:numPr>
        <w:rPr>
          <w:rFonts w:hint="default" w:hAnsi="宋体"/>
          <w:bCs/>
          <w:kern w:val="44"/>
          <w:sz w:val="24"/>
          <w:szCs w:val="24"/>
          <w:lang w:val="en-US" w:eastAsia="zh-CN"/>
        </w:rPr>
      </w:pPr>
    </w:p>
    <w:p w14:paraId="6682EB67">
      <w:pPr>
        <w:pStyle w:val="14"/>
        <w:numPr>
          <w:ilvl w:val="0"/>
          <w:numId w:val="0"/>
        </w:numPr>
        <w:rPr>
          <w:rFonts w:hint="default" w:hAnsi="宋体"/>
          <w:bCs/>
          <w:kern w:val="44"/>
          <w:sz w:val="24"/>
          <w:szCs w:val="24"/>
          <w:lang w:val="en-US" w:eastAsia="zh-CN"/>
        </w:rPr>
      </w:pPr>
    </w:p>
    <w:p w14:paraId="44A58707">
      <w:pPr>
        <w:pStyle w:val="14"/>
        <w:numPr>
          <w:ilvl w:val="0"/>
          <w:numId w:val="0"/>
        </w:numPr>
        <w:rPr>
          <w:rFonts w:hint="default" w:hAnsi="宋体"/>
          <w:bCs/>
          <w:kern w:val="44"/>
          <w:sz w:val="24"/>
          <w:szCs w:val="24"/>
          <w:lang w:val="en-US" w:eastAsia="zh-CN"/>
        </w:rPr>
      </w:pPr>
    </w:p>
    <w:p w14:paraId="71B0CB90">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三、表格1  资格审查表</w:t>
      </w:r>
      <w:r>
        <w:rPr>
          <w:rFonts w:hint="eastAsia" w:asciiTheme="minorEastAsia" w:hAnsiTheme="minorEastAsia"/>
          <w:b/>
          <w:sz w:val="24"/>
          <w:szCs w:val="24"/>
        </w:rPr>
        <w:t xml:space="preserve"> </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110771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08B884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E5E5339">
      <w:pPr>
        <w:pStyle w:val="14"/>
        <w:rPr>
          <w:rFonts w:hint="default" w:ascii="宋体" w:hAnsi="宋体" w:eastAsia="宋体" w:cs="宋体"/>
          <w:b/>
          <w:sz w:val="28"/>
          <w:szCs w:val="28"/>
          <w:lang w:val="en-US" w:eastAsia="zh-CN"/>
        </w:rPr>
      </w:pPr>
      <w:r>
        <w:rPr>
          <w:rFonts w:hint="eastAsia" w:hAnsi="宋体" w:cs="宋体"/>
          <w:b/>
          <w:sz w:val="28"/>
          <w:szCs w:val="28"/>
          <w:lang w:val="en-US" w:eastAsia="zh-CN"/>
        </w:rPr>
        <w:t xml:space="preserve">表2  </w:t>
      </w:r>
      <w:r>
        <w:rPr>
          <w:rFonts w:hint="eastAsia"/>
          <w:b/>
          <w:bCs/>
          <w:lang w:val="en-US" w:eastAsia="zh-CN"/>
        </w:rPr>
        <w:t>评审细则</w:t>
      </w:r>
    </w:p>
    <w:tbl>
      <w:tblPr>
        <w:tblStyle w:val="11"/>
        <w:tblpPr w:vertAnchor="text" w:tblpXSpec="center" w:tblpY="1"/>
        <w:tblW w:w="5123" w:type="pct"/>
        <w:tblInd w:w="0" w:type="dxa"/>
        <w:tblLayout w:type="autofit"/>
        <w:tblCellMar>
          <w:top w:w="0" w:type="dxa"/>
          <w:left w:w="0" w:type="dxa"/>
          <w:bottom w:w="0" w:type="dxa"/>
          <w:right w:w="0" w:type="dxa"/>
        </w:tblCellMar>
      </w:tblPr>
      <w:tblGrid>
        <w:gridCol w:w="1015"/>
        <w:gridCol w:w="1603"/>
        <w:gridCol w:w="3056"/>
        <w:gridCol w:w="3058"/>
      </w:tblGrid>
      <w:tr w14:paraId="35CEF9A6">
        <w:tblPrEx>
          <w:tblCellMar>
            <w:top w:w="0" w:type="dxa"/>
            <w:left w:w="0" w:type="dxa"/>
            <w:bottom w:w="0" w:type="dxa"/>
            <w:right w:w="0" w:type="dxa"/>
          </w:tblCellMar>
        </w:tblPrEx>
        <w:trPr>
          <w:trHeight w:val="401" w:hRule="atLeast"/>
        </w:trPr>
        <w:tc>
          <w:tcPr>
            <w:tcW w:w="1499"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B3DC6A">
            <w:pPr>
              <w:widowControl/>
              <w:jc w:val="center"/>
              <w:rPr>
                <w:rFonts w:ascii="宋体" w:hAnsi="Calibri" w:eastAsia="宋体"/>
                <w:b/>
                <w:bCs/>
              </w:rPr>
            </w:pPr>
            <w:r>
              <w:rPr>
                <w:rFonts w:ascii="宋体" w:hAnsi="宋体" w:eastAsia="宋体"/>
                <w:b/>
                <w:bCs/>
              </w:rPr>
              <w:t>评审因素</w:t>
            </w:r>
          </w:p>
        </w:tc>
        <w:tc>
          <w:tcPr>
            <w:tcW w:w="3501" w:type="pct"/>
            <w:gridSpan w:val="2"/>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563E611">
            <w:pPr>
              <w:widowControl/>
              <w:jc w:val="center"/>
              <w:rPr>
                <w:rFonts w:ascii="宋体" w:hAnsi="Calibri" w:eastAsia="宋体"/>
                <w:b/>
                <w:bCs/>
              </w:rPr>
            </w:pPr>
            <w:r>
              <w:rPr>
                <w:rFonts w:ascii="宋体" w:hAnsi="宋体" w:eastAsia="宋体"/>
                <w:b/>
                <w:bCs/>
              </w:rPr>
              <w:t>评分标准</w:t>
            </w:r>
          </w:p>
        </w:tc>
      </w:tr>
      <w:tr w14:paraId="0AF07A13">
        <w:tblPrEx>
          <w:tblCellMar>
            <w:top w:w="0" w:type="dxa"/>
            <w:left w:w="0" w:type="dxa"/>
            <w:bottom w:w="0" w:type="dxa"/>
            <w:right w:w="0" w:type="dxa"/>
          </w:tblCellMar>
        </w:tblPrEx>
        <w:trPr>
          <w:trHeight w:val="840" w:hRule="atLeast"/>
        </w:trPr>
        <w:tc>
          <w:tcPr>
            <w:tcW w:w="1499"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A706E9">
            <w:pPr>
              <w:widowControl/>
              <w:jc w:val="center"/>
              <w:rPr>
                <w:rFonts w:ascii="宋体" w:hAnsi="Calibri" w:eastAsia="宋体"/>
              </w:rPr>
            </w:pPr>
            <w:r>
              <w:rPr>
                <w:rFonts w:ascii="宋体" w:hAnsi="宋体" w:eastAsia="宋体"/>
                <w:b/>
                <w:bCs/>
              </w:rPr>
              <w:t>分值构成</w:t>
            </w:r>
          </w:p>
        </w:tc>
        <w:tc>
          <w:tcPr>
            <w:tcW w:w="3501" w:type="pct"/>
            <w:gridSpan w:val="2"/>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6C50870">
            <w:pPr>
              <w:widowControl/>
              <w:jc w:val="left"/>
              <w:rPr>
                <w:rFonts w:ascii="宋体" w:hAnsi="宋体" w:eastAsia="宋体"/>
              </w:rPr>
            </w:pPr>
            <w:r>
              <w:rPr>
                <w:rFonts w:hint="eastAsia" w:ascii="宋体" w:hAnsi="宋体" w:eastAsia="宋体"/>
              </w:rPr>
              <w:t>1．投标报价：30分</w:t>
            </w:r>
          </w:p>
          <w:p w14:paraId="7F0D89A5">
            <w:pPr>
              <w:widowControl/>
              <w:jc w:val="left"/>
              <w:rPr>
                <w:rFonts w:ascii="宋体" w:hAnsi="宋体" w:eastAsia="宋体"/>
              </w:rPr>
            </w:pPr>
            <w:r>
              <w:rPr>
                <w:rFonts w:hint="eastAsia" w:ascii="宋体" w:hAnsi="宋体" w:eastAsia="宋体"/>
              </w:rPr>
              <w:t xml:space="preserve">2、技术部分：60分 </w:t>
            </w:r>
          </w:p>
          <w:p w14:paraId="04581905">
            <w:pPr>
              <w:widowControl/>
              <w:jc w:val="left"/>
              <w:rPr>
                <w:rFonts w:ascii="宋体" w:hAnsi="Calibri" w:eastAsia="宋体"/>
              </w:rPr>
            </w:pPr>
            <w:r>
              <w:rPr>
                <w:rFonts w:hint="eastAsia" w:ascii="宋体" w:hAnsi="宋体" w:eastAsia="宋体"/>
              </w:rPr>
              <w:t>3、商务部分：10分</w:t>
            </w:r>
          </w:p>
        </w:tc>
      </w:tr>
      <w:tr w14:paraId="3E0868E6">
        <w:tblPrEx>
          <w:tblCellMar>
            <w:top w:w="0" w:type="dxa"/>
            <w:left w:w="0" w:type="dxa"/>
            <w:bottom w:w="0" w:type="dxa"/>
            <w:right w:w="0" w:type="dxa"/>
          </w:tblCellMar>
        </w:tblPrEx>
        <w:trPr>
          <w:trHeight w:val="567" w:hRule="atLeast"/>
        </w:trPr>
        <w:tc>
          <w:tcPr>
            <w:tcW w:w="581" w:type="pct"/>
            <w:tcBorders>
              <w:left w:val="single" w:color="000000" w:sz="4" w:space="0"/>
              <w:bottom w:val="single" w:color="auto" w:sz="4" w:space="0"/>
              <w:right w:val="single" w:color="000000" w:sz="4" w:space="0"/>
            </w:tcBorders>
            <w:tcMar>
              <w:top w:w="0" w:type="dxa"/>
              <w:left w:w="108" w:type="dxa"/>
              <w:bottom w:w="0" w:type="dxa"/>
              <w:right w:w="108" w:type="dxa"/>
            </w:tcMar>
            <w:vAlign w:val="center"/>
          </w:tcPr>
          <w:p w14:paraId="213B10B2">
            <w:pPr>
              <w:widowControl/>
              <w:jc w:val="left"/>
              <w:rPr>
                <w:rFonts w:ascii="宋体" w:hAnsi="宋体" w:eastAsia="宋体"/>
                <w:b/>
                <w:bCs/>
              </w:rPr>
            </w:pPr>
          </w:p>
          <w:p w14:paraId="2A1E9C40">
            <w:pPr>
              <w:widowControl/>
              <w:jc w:val="left"/>
              <w:rPr>
                <w:rFonts w:ascii="宋体" w:hAnsi="宋体" w:eastAsia="宋体"/>
                <w:b/>
                <w:bCs/>
              </w:rPr>
            </w:pPr>
            <w:r>
              <w:rPr>
                <w:rFonts w:ascii="宋体" w:hAnsi="宋体" w:eastAsia="宋体"/>
                <w:b/>
                <w:bCs/>
              </w:rPr>
              <w:t>投标报价</w:t>
            </w:r>
          </w:p>
          <w:p w14:paraId="34FDDEA4">
            <w:pPr>
              <w:pStyle w:val="14"/>
            </w:pPr>
            <w:r>
              <w:rPr>
                <w:rFonts w:hint="eastAsia" w:hAnsi="宋体"/>
                <w:b/>
                <w:bCs/>
                <w:sz w:val="21"/>
              </w:rPr>
              <w:t>(30分)</w:t>
            </w:r>
          </w:p>
        </w:tc>
        <w:tc>
          <w:tcPr>
            <w:tcW w:w="918"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F271593">
            <w:pPr>
              <w:widowControl/>
              <w:jc w:val="left"/>
              <w:rPr>
                <w:rFonts w:ascii="宋体" w:hAnsi="宋体" w:eastAsia="宋体"/>
                <w:b/>
                <w:bCs/>
              </w:rPr>
            </w:pPr>
            <w:r>
              <w:rPr>
                <w:rFonts w:hint="eastAsia" w:ascii="宋体" w:hAnsi="宋体" w:eastAsia="宋体"/>
                <w:b/>
                <w:bCs/>
              </w:rPr>
              <w:t>评标基准价确定方法</w:t>
            </w:r>
          </w:p>
        </w:tc>
        <w:tc>
          <w:tcPr>
            <w:tcW w:w="3501" w:type="pct"/>
            <w:gridSpan w:val="2"/>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EDE1F55">
            <w:pPr>
              <w:widowControl/>
              <w:jc w:val="left"/>
              <w:rPr>
                <w:rFonts w:ascii="宋体" w:hAnsi="宋体" w:eastAsia="宋体"/>
              </w:rPr>
            </w:pPr>
            <w:r>
              <w:rPr>
                <w:rFonts w:hint="eastAsia" w:ascii="宋体" w:hAnsi="宋体" w:eastAsia="宋体"/>
              </w:rPr>
              <w:t>投标人报价分=（最低有效投标报价/有效投标报价）×30</w:t>
            </w:r>
          </w:p>
          <w:p w14:paraId="57462A8D">
            <w:pPr>
              <w:widowControl/>
              <w:jc w:val="left"/>
              <w:rPr>
                <w:rFonts w:ascii="宋体" w:hAnsi="宋体" w:eastAsia="宋体"/>
              </w:rPr>
            </w:pPr>
          </w:p>
        </w:tc>
      </w:tr>
      <w:tr w14:paraId="56EE564F">
        <w:tblPrEx>
          <w:tblCellMar>
            <w:top w:w="0" w:type="dxa"/>
            <w:left w:w="0" w:type="dxa"/>
            <w:bottom w:w="0" w:type="dxa"/>
            <w:right w:w="0" w:type="dxa"/>
          </w:tblCellMar>
        </w:tblPrEx>
        <w:trPr>
          <w:trHeight w:val="1972" w:hRule="atLeast"/>
        </w:trPr>
        <w:tc>
          <w:tcPr>
            <w:tcW w:w="581" w:type="pct"/>
            <w:vMerge w:val="restart"/>
            <w:tcBorders>
              <w:left w:val="single" w:color="000000" w:sz="4" w:space="0"/>
              <w:right w:val="single" w:color="000000" w:sz="4" w:space="0"/>
            </w:tcBorders>
            <w:tcMar>
              <w:top w:w="0" w:type="dxa"/>
              <w:left w:w="108" w:type="dxa"/>
              <w:bottom w:w="0" w:type="dxa"/>
              <w:right w:w="108" w:type="dxa"/>
            </w:tcMar>
            <w:vAlign w:val="center"/>
          </w:tcPr>
          <w:p w14:paraId="4588B0E7">
            <w:pPr>
              <w:pStyle w:val="14"/>
              <w:rPr>
                <w:rFonts w:hAnsi="宋体"/>
                <w:b/>
                <w:bCs/>
                <w:sz w:val="21"/>
              </w:rPr>
            </w:pPr>
            <w:r>
              <w:rPr>
                <w:rFonts w:hint="eastAsia" w:hAnsi="宋体"/>
                <w:b/>
                <w:bCs/>
                <w:sz w:val="21"/>
              </w:rPr>
              <w:t>技术分（60分）</w:t>
            </w:r>
          </w:p>
        </w:tc>
        <w:tc>
          <w:tcPr>
            <w:tcW w:w="918"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C08EB2B">
            <w:pPr>
              <w:widowControl/>
              <w:snapToGrid w:val="0"/>
              <w:jc w:val="center"/>
              <w:rPr>
                <w:rFonts w:ascii="宋体" w:hAnsi="宋体" w:eastAsia="宋体"/>
                <w:b/>
                <w:bCs/>
              </w:rPr>
            </w:pPr>
            <w:r>
              <w:rPr>
                <w:rFonts w:hint="eastAsia" w:ascii="宋体" w:hAnsi="宋体" w:eastAsia="宋体"/>
                <w:b/>
                <w:bCs/>
              </w:rPr>
              <w:t>“技术及服务要求（</w:t>
            </w:r>
            <w:r>
              <w:rPr>
                <w:rFonts w:ascii="宋体" w:hAnsi="宋体" w:eastAsia="宋体"/>
                <w:b/>
                <w:bCs/>
              </w:rPr>
              <w:t>5</w:t>
            </w:r>
            <w:r>
              <w:rPr>
                <w:rFonts w:hint="eastAsia" w:ascii="宋体" w:hAnsi="宋体" w:eastAsia="宋体"/>
                <w:b/>
                <w:bCs/>
              </w:rPr>
              <w:t>0分）</w:t>
            </w:r>
          </w:p>
        </w:tc>
        <w:tc>
          <w:tcPr>
            <w:tcW w:w="3501" w:type="pct"/>
            <w:gridSpan w:val="2"/>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C7D0951">
            <w:pPr>
              <w:widowControl/>
              <w:jc w:val="left"/>
              <w:rPr>
                <w:rFonts w:ascii="宋体" w:hAnsi="宋体" w:eastAsia="宋体"/>
              </w:rPr>
            </w:pPr>
            <w:r>
              <w:rPr>
                <w:rFonts w:hint="eastAsia" w:ascii="宋体" w:hAnsi="宋体" w:eastAsia="宋体"/>
              </w:rPr>
              <w:t>（1）所有技术参数完全响应：得50分</w:t>
            </w:r>
          </w:p>
          <w:p w14:paraId="708537FE">
            <w:pPr>
              <w:widowControl/>
              <w:jc w:val="left"/>
              <w:rPr>
                <w:rFonts w:ascii="宋体" w:hAnsi="宋体" w:eastAsia="宋体"/>
              </w:rPr>
            </w:pPr>
            <w:r>
              <w:rPr>
                <w:rFonts w:hint="eastAsia" w:ascii="宋体" w:hAnsi="宋体" w:eastAsia="宋体"/>
              </w:rPr>
              <w:t>（2）</w:t>
            </w:r>
            <w:r>
              <w:rPr>
                <w:rFonts w:ascii="宋体" w:hAnsi="宋体" w:eastAsia="宋体"/>
              </w:rPr>
              <w:t>所有</w:t>
            </w:r>
            <w:r>
              <w:rPr>
                <w:rFonts w:hint="eastAsia" w:ascii="宋体" w:hAnsi="宋体" w:eastAsia="宋体"/>
              </w:rPr>
              <w:t>重要</w:t>
            </w:r>
            <w:r>
              <w:rPr>
                <w:rFonts w:ascii="宋体" w:hAnsi="宋体" w:eastAsia="宋体"/>
              </w:rPr>
              <w:t>技术参数指标（</w:t>
            </w:r>
            <w:r>
              <w:rPr>
                <w:rFonts w:hint="eastAsia" w:ascii="宋体" w:hAnsi="宋体" w:eastAsia="宋体"/>
              </w:rPr>
              <w:t>标</w:t>
            </w:r>
            <w:r>
              <w:rPr>
                <w:rFonts w:ascii="宋体" w:hAnsi="宋体" w:eastAsia="宋体"/>
              </w:rPr>
              <w:t>“</w:t>
            </w:r>
            <w:r>
              <w:rPr>
                <w:rFonts w:hint="eastAsia" w:ascii="宋体" w:hAnsi="宋体" w:eastAsia="宋体"/>
              </w:rPr>
              <w:t>▲</w:t>
            </w:r>
            <w:r>
              <w:rPr>
                <w:rFonts w:ascii="宋体" w:hAnsi="宋体" w:eastAsia="宋体"/>
              </w:rPr>
              <w:t>”项）完全</w:t>
            </w:r>
            <w:r>
              <w:rPr>
                <w:rFonts w:hint="eastAsia" w:ascii="宋体" w:hAnsi="宋体" w:eastAsia="宋体"/>
              </w:rPr>
              <w:t>响应</w:t>
            </w:r>
            <w:r>
              <w:rPr>
                <w:rFonts w:ascii="宋体" w:hAnsi="宋体" w:eastAsia="宋体"/>
              </w:rPr>
              <w:t>招标文件要求</w:t>
            </w:r>
            <w:r>
              <w:rPr>
                <w:rFonts w:hint="eastAsia" w:ascii="宋体" w:hAnsi="宋体" w:eastAsia="宋体"/>
              </w:rPr>
              <w:t>得</w:t>
            </w:r>
            <w:r>
              <w:rPr>
                <w:rFonts w:ascii="宋体" w:hAnsi="宋体" w:eastAsia="宋体"/>
              </w:rPr>
              <w:t>3</w:t>
            </w:r>
            <w:r>
              <w:rPr>
                <w:rFonts w:hint="eastAsia" w:ascii="宋体" w:hAnsi="宋体" w:eastAsia="宋体"/>
              </w:rPr>
              <w:t>0分，每有一项不满足或负偏离的扣</w:t>
            </w:r>
            <w:r>
              <w:rPr>
                <w:rFonts w:ascii="宋体" w:hAnsi="宋体" w:eastAsia="宋体"/>
              </w:rPr>
              <w:t>3</w:t>
            </w:r>
            <w:r>
              <w:rPr>
                <w:rFonts w:hint="eastAsia" w:ascii="宋体" w:hAnsi="宋体" w:eastAsia="宋体"/>
              </w:rPr>
              <w:t>分，分值扣完为止。</w:t>
            </w:r>
          </w:p>
          <w:p w14:paraId="681329A6">
            <w:pPr>
              <w:widowControl/>
              <w:jc w:val="left"/>
              <w:rPr>
                <w:rFonts w:ascii="宋体" w:hAnsi="宋体" w:eastAsia="宋体"/>
              </w:rPr>
            </w:pPr>
            <w:r>
              <w:rPr>
                <w:rFonts w:hint="eastAsia" w:ascii="宋体" w:hAnsi="宋体" w:eastAsia="宋体"/>
              </w:rPr>
              <w:t>（3）</w:t>
            </w:r>
            <w:r>
              <w:rPr>
                <w:rFonts w:ascii="宋体" w:hAnsi="宋体" w:eastAsia="宋体"/>
              </w:rPr>
              <w:t>一般技术参数（未标“</w:t>
            </w:r>
            <w:r>
              <w:rPr>
                <w:rFonts w:hint="eastAsia" w:ascii="宋体" w:hAnsi="宋体" w:eastAsia="宋体"/>
              </w:rPr>
              <w:t>▲”</w:t>
            </w:r>
            <w:r>
              <w:rPr>
                <w:rFonts w:ascii="宋体" w:hAnsi="宋体" w:eastAsia="宋体"/>
              </w:rPr>
              <w:t>项）</w:t>
            </w:r>
            <w:r>
              <w:rPr>
                <w:rFonts w:hint="eastAsia" w:ascii="宋体" w:hAnsi="宋体" w:eastAsia="宋体"/>
              </w:rPr>
              <w:t>，完全响应</w:t>
            </w:r>
            <w:r>
              <w:rPr>
                <w:rFonts w:ascii="宋体" w:hAnsi="宋体" w:eastAsia="宋体"/>
              </w:rPr>
              <w:t>招标文件要求</w:t>
            </w:r>
            <w:r>
              <w:rPr>
                <w:rFonts w:hint="eastAsia" w:ascii="宋体" w:hAnsi="宋体" w:eastAsia="宋体"/>
              </w:rPr>
              <w:t>得20分，</w:t>
            </w:r>
            <w:r>
              <w:rPr>
                <w:rFonts w:ascii="宋体" w:hAnsi="宋体" w:eastAsia="宋体"/>
              </w:rPr>
              <w:t>每有一项不满足或负偏离扣</w:t>
            </w:r>
            <w:r>
              <w:rPr>
                <w:rFonts w:hint="eastAsia" w:ascii="宋体" w:hAnsi="宋体" w:eastAsia="宋体"/>
              </w:rPr>
              <w:t>的1</w:t>
            </w:r>
            <w:r>
              <w:rPr>
                <w:rFonts w:ascii="宋体" w:hAnsi="宋体" w:eastAsia="宋体"/>
              </w:rPr>
              <w:t>分</w:t>
            </w:r>
            <w:r>
              <w:rPr>
                <w:rFonts w:hint="eastAsia" w:ascii="宋体" w:hAnsi="宋体" w:eastAsia="宋体"/>
              </w:rPr>
              <w:t>，</w:t>
            </w:r>
            <w:r>
              <w:rPr>
                <w:rFonts w:ascii="宋体" w:hAnsi="宋体" w:eastAsia="宋体"/>
              </w:rPr>
              <w:t>分值扣完为止。</w:t>
            </w:r>
          </w:p>
        </w:tc>
      </w:tr>
      <w:tr w14:paraId="46139008">
        <w:tblPrEx>
          <w:tblCellMar>
            <w:top w:w="0" w:type="dxa"/>
            <w:left w:w="0" w:type="dxa"/>
            <w:bottom w:w="0" w:type="dxa"/>
            <w:right w:w="0" w:type="dxa"/>
          </w:tblCellMar>
        </w:tblPrEx>
        <w:trPr>
          <w:trHeight w:val="90" w:hRule="atLeast"/>
        </w:trPr>
        <w:tc>
          <w:tcPr>
            <w:tcW w:w="581" w:type="pct"/>
            <w:vMerge w:val="continue"/>
            <w:tcBorders>
              <w:left w:val="single" w:color="000000" w:sz="4" w:space="0"/>
              <w:right w:val="single" w:color="000000" w:sz="4" w:space="0"/>
            </w:tcBorders>
            <w:tcMar>
              <w:top w:w="0" w:type="dxa"/>
              <w:left w:w="108" w:type="dxa"/>
              <w:bottom w:w="0" w:type="dxa"/>
              <w:right w:w="108" w:type="dxa"/>
            </w:tcMar>
            <w:vAlign w:val="center"/>
          </w:tcPr>
          <w:p w14:paraId="79D9024F">
            <w:pPr>
              <w:widowControl/>
              <w:jc w:val="left"/>
              <w:rPr>
                <w:rFonts w:ascii="宋体" w:hAnsi="Calibri" w:eastAsia="宋体"/>
              </w:rPr>
            </w:pPr>
          </w:p>
        </w:tc>
        <w:tc>
          <w:tcPr>
            <w:tcW w:w="918"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42033CC2">
            <w:pPr>
              <w:widowControl/>
              <w:snapToGrid w:val="0"/>
              <w:rPr>
                <w:rFonts w:ascii="宋体" w:hAnsi="宋体" w:eastAsia="宋体"/>
                <w:b/>
                <w:bCs/>
              </w:rPr>
            </w:pPr>
          </w:p>
          <w:p w14:paraId="5D7EE3C8">
            <w:pPr>
              <w:widowControl/>
              <w:snapToGrid w:val="0"/>
              <w:jc w:val="center"/>
              <w:rPr>
                <w:rFonts w:ascii="宋体" w:hAnsi="宋体" w:eastAsia="宋体"/>
                <w:b/>
                <w:bCs/>
              </w:rPr>
            </w:pPr>
          </w:p>
          <w:p w14:paraId="7E33A489">
            <w:pPr>
              <w:widowControl/>
              <w:snapToGrid w:val="0"/>
              <w:jc w:val="center"/>
              <w:rPr>
                <w:rFonts w:ascii="宋体" w:hAnsi="宋体" w:eastAsia="宋体"/>
                <w:b/>
                <w:bCs/>
              </w:rPr>
            </w:pPr>
            <w:r>
              <w:rPr>
                <w:rFonts w:hint="eastAsia" w:ascii="宋体" w:hAnsi="宋体" w:eastAsia="宋体"/>
                <w:b/>
                <w:bCs/>
              </w:rPr>
              <w:t>投标方案评价</w:t>
            </w:r>
          </w:p>
          <w:p w14:paraId="56FD7196">
            <w:pPr>
              <w:widowControl/>
              <w:snapToGrid w:val="0"/>
              <w:jc w:val="center"/>
              <w:rPr>
                <w:rFonts w:ascii="宋体" w:hAnsi="宋体" w:eastAsia="宋体"/>
                <w:b/>
                <w:bCs/>
              </w:rPr>
            </w:pPr>
            <w:r>
              <w:rPr>
                <w:rFonts w:hint="eastAsia" w:ascii="宋体" w:hAnsi="宋体" w:eastAsia="宋体"/>
                <w:b/>
                <w:bCs/>
              </w:rPr>
              <w:t>（6分）</w:t>
            </w:r>
          </w:p>
          <w:p w14:paraId="33F744F0">
            <w:pPr>
              <w:widowControl/>
              <w:snapToGrid w:val="0"/>
              <w:rPr>
                <w:rFonts w:ascii="宋体" w:hAnsi="宋体" w:eastAsia="宋体"/>
                <w:b/>
                <w:bCs/>
              </w:rPr>
            </w:pPr>
          </w:p>
          <w:p w14:paraId="238D5FA1">
            <w:pPr>
              <w:widowControl/>
              <w:snapToGrid w:val="0"/>
              <w:jc w:val="center"/>
              <w:rPr>
                <w:rFonts w:ascii="宋体" w:hAnsi="宋体" w:eastAsia="宋体"/>
                <w:b/>
                <w:bCs/>
              </w:rPr>
            </w:pPr>
          </w:p>
        </w:tc>
        <w:tc>
          <w:tcPr>
            <w:tcW w:w="1750"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5D1E401">
            <w:pPr>
              <w:widowControl/>
              <w:jc w:val="left"/>
              <w:rPr>
                <w:rFonts w:ascii="宋体" w:hAnsi="宋体" w:eastAsia="宋体"/>
              </w:rPr>
            </w:pPr>
            <w:r>
              <w:rPr>
                <w:rFonts w:hint="eastAsia" w:ascii="宋体" w:hAnsi="宋体" w:eastAsia="宋体"/>
              </w:rPr>
              <w:t>情况一：根据投标方案的总体设计、建设方案、软件实施方案等进行评价，详细阐述实施完成之后整个系统的体系架构、功能模块、实施思路及计划等。</w:t>
            </w:r>
          </w:p>
        </w:tc>
        <w:tc>
          <w:tcPr>
            <w:tcW w:w="1751" w:type="pct"/>
            <w:tcBorders>
              <w:top w:val="single" w:color="000000" w:sz="4" w:space="0"/>
              <w:bottom w:val="single" w:color="000000" w:sz="4" w:space="0"/>
              <w:right w:val="single" w:color="auto" w:sz="4" w:space="0"/>
            </w:tcBorders>
            <w:tcMar>
              <w:top w:w="0" w:type="dxa"/>
              <w:left w:w="108" w:type="dxa"/>
              <w:bottom w:w="0" w:type="dxa"/>
              <w:right w:w="108" w:type="dxa"/>
            </w:tcMar>
            <w:vAlign w:val="center"/>
          </w:tcPr>
          <w:p w14:paraId="5C387792">
            <w:pPr>
              <w:widowControl/>
              <w:jc w:val="left"/>
              <w:rPr>
                <w:rFonts w:ascii="宋体" w:hAnsi="宋体" w:eastAsia="宋体"/>
              </w:rPr>
            </w:pPr>
            <w:r>
              <w:rPr>
                <w:rFonts w:hint="eastAsia" w:ascii="宋体" w:hAnsi="宋体" w:eastAsia="宋体"/>
              </w:rPr>
              <w:t>（1）方案设计合理：</w:t>
            </w:r>
            <w:r>
              <w:rPr>
                <w:rFonts w:ascii="宋体" w:hAnsi="宋体" w:eastAsia="宋体"/>
              </w:rPr>
              <w:t>2</w:t>
            </w:r>
            <w:r>
              <w:rPr>
                <w:rFonts w:hint="eastAsia" w:ascii="宋体" w:hAnsi="宋体" w:eastAsia="宋体"/>
              </w:rPr>
              <w:t>分</w:t>
            </w:r>
          </w:p>
          <w:p w14:paraId="1ECF9BE7">
            <w:pPr>
              <w:widowControl/>
              <w:jc w:val="left"/>
              <w:rPr>
                <w:rFonts w:ascii="宋体" w:hAnsi="宋体" w:eastAsia="宋体"/>
              </w:rPr>
            </w:pPr>
            <w:r>
              <w:rPr>
                <w:rFonts w:hint="eastAsia" w:ascii="宋体" w:hAnsi="宋体" w:eastAsia="宋体"/>
              </w:rPr>
              <w:t>（2）方案设计基本合理：</w:t>
            </w:r>
            <w:r>
              <w:rPr>
                <w:rFonts w:ascii="宋体" w:hAnsi="宋体" w:eastAsia="宋体"/>
              </w:rPr>
              <w:t>1</w:t>
            </w:r>
            <w:r>
              <w:rPr>
                <w:rFonts w:hint="eastAsia" w:ascii="宋体" w:hAnsi="宋体" w:eastAsia="宋体"/>
              </w:rPr>
              <w:t>分</w:t>
            </w:r>
          </w:p>
          <w:p w14:paraId="65D4AA77">
            <w:pPr>
              <w:widowControl/>
              <w:jc w:val="left"/>
              <w:rPr>
                <w:rFonts w:ascii="宋体" w:hAnsi="宋体" w:eastAsia="宋体"/>
              </w:rPr>
            </w:pPr>
            <w:r>
              <w:rPr>
                <w:rFonts w:hint="eastAsia" w:ascii="宋体" w:hAnsi="宋体" w:eastAsia="宋体"/>
              </w:rPr>
              <w:t>(3）方案设计不合理：</w:t>
            </w:r>
            <w:r>
              <w:rPr>
                <w:rFonts w:ascii="宋体" w:hAnsi="宋体" w:eastAsia="宋体"/>
              </w:rPr>
              <w:t>0</w:t>
            </w:r>
            <w:r>
              <w:rPr>
                <w:rFonts w:hint="eastAsia" w:ascii="宋体" w:hAnsi="宋体" w:eastAsia="宋体"/>
              </w:rPr>
              <w:t>分</w:t>
            </w:r>
          </w:p>
        </w:tc>
      </w:tr>
      <w:tr w14:paraId="379BDE17">
        <w:tblPrEx>
          <w:tblCellMar>
            <w:top w:w="0" w:type="dxa"/>
            <w:left w:w="0" w:type="dxa"/>
            <w:bottom w:w="0" w:type="dxa"/>
            <w:right w:w="0" w:type="dxa"/>
          </w:tblCellMar>
        </w:tblPrEx>
        <w:trPr>
          <w:trHeight w:val="567" w:hRule="atLeast"/>
        </w:trPr>
        <w:tc>
          <w:tcPr>
            <w:tcW w:w="581" w:type="pct"/>
            <w:vMerge w:val="continue"/>
            <w:tcBorders>
              <w:left w:val="single" w:color="000000" w:sz="4" w:space="0"/>
              <w:right w:val="single" w:color="000000" w:sz="4" w:space="0"/>
            </w:tcBorders>
            <w:tcMar>
              <w:top w:w="0" w:type="dxa"/>
              <w:left w:w="108" w:type="dxa"/>
              <w:bottom w:w="0" w:type="dxa"/>
              <w:right w:w="108" w:type="dxa"/>
            </w:tcMar>
            <w:vAlign w:val="center"/>
          </w:tcPr>
          <w:p w14:paraId="3FEA0434">
            <w:pPr>
              <w:widowControl/>
              <w:jc w:val="left"/>
              <w:rPr>
                <w:rFonts w:ascii="宋体" w:hAnsi="Calibri" w:eastAsia="宋体"/>
              </w:rPr>
            </w:pPr>
          </w:p>
        </w:tc>
        <w:tc>
          <w:tcPr>
            <w:tcW w:w="918" w:type="pct"/>
            <w:vMerge w:val="continue"/>
            <w:tcBorders>
              <w:left w:val="single" w:color="000000" w:sz="4" w:space="0"/>
              <w:right w:val="single" w:color="000000" w:sz="4" w:space="0"/>
            </w:tcBorders>
            <w:tcMar>
              <w:top w:w="0" w:type="dxa"/>
              <w:left w:w="108" w:type="dxa"/>
              <w:bottom w:w="0" w:type="dxa"/>
              <w:right w:w="108" w:type="dxa"/>
            </w:tcMar>
            <w:vAlign w:val="center"/>
          </w:tcPr>
          <w:p w14:paraId="45A96A82">
            <w:pPr>
              <w:pStyle w:val="14"/>
              <w:rPr>
                <w:rFonts w:hAnsi="宋体" w:cstheme="minorBidi"/>
                <w:b/>
                <w:bCs/>
                <w:kern w:val="2"/>
                <w:sz w:val="21"/>
                <w:szCs w:val="22"/>
              </w:rPr>
            </w:pPr>
          </w:p>
        </w:tc>
        <w:tc>
          <w:tcPr>
            <w:tcW w:w="1750"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98A33E4">
            <w:pPr>
              <w:widowControl/>
              <w:jc w:val="left"/>
              <w:rPr>
                <w:rFonts w:ascii="宋体" w:hAnsi="宋体" w:eastAsia="宋体"/>
              </w:rPr>
            </w:pPr>
            <w:r>
              <w:rPr>
                <w:rFonts w:hint="eastAsia" w:ascii="宋体" w:hAnsi="宋体" w:eastAsia="宋体"/>
              </w:rPr>
              <w:t>情况二：根据投标方案与需求的吻合程度进行评价，包括方案的科学性、先进性、可行性和扩展性，方案是否完整，方案是否科学合理、安全严密、具有一定的前瞻性，是否有独到的优势；根据方案吻合程度酌情在0-3分之间给分。</w:t>
            </w:r>
          </w:p>
        </w:tc>
        <w:tc>
          <w:tcPr>
            <w:tcW w:w="1751" w:type="pct"/>
            <w:tcBorders>
              <w:top w:val="single" w:color="000000" w:sz="4" w:space="0"/>
              <w:bottom w:val="single" w:color="000000" w:sz="4" w:space="0"/>
              <w:right w:val="single" w:color="auto" w:sz="4" w:space="0"/>
            </w:tcBorders>
            <w:tcMar>
              <w:top w:w="0" w:type="dxa"/>
              <w:left w:w="108" w:type="dxa"/>
              <w:bottom w:w="0" w:type="dxa"/>
              <w:right w:w="108" w:type="dxa"/>
            </w:tcMar>
            <w:vAlign w:val="center"/>
          </w:tcPr>
          <w:p w14:paraId="4E77C5E6">
            <w:pPr>
              <w:widowControl/>
              <w:jc w:val="left"/>
              <w:rPr>
                <w:rFonts w:ascii="宋体" w:hAnsi="宋体" w:eastAsia="宋体"/>
              </w:rPr>
            </w:pPr>
            <w:r>
              <w:rPr>
                <w:rFonts w:hint="eastAsia" w:ascii="宋体" w:hAnsi="宋体" w:eastAsia="宋体"/>
              </w:rPr>
              <w:t>方案完整、科学、严密、先进：</w:t>
            </w:r>
            <w:r>
              <w:rPr>
                <w:rFonts w:ascii="宋体" w:hAnsi="宋体" w:eastAsia="宋体"/>
              </w:rPr>
              <w:t>2</w:t>
            </w:r>
            <w:r>
              <w:rPr>
                <w:rFonts w:hint="eastAsia" w:ascii="宋体" w:hAnsi="宋体" w:eastAsia="宋体"/>
              </w:rPr>
              <w:t>分</w:t>
            </w:r>
          </w:p>
          <w:p w14:paraId="7D37341C">
            <w:pPr>
              <w:widowControl/>
              <w:jc w:val="left"/>
              <w:rPr>
                <w:rFonts w:ascii="宋体" w:hAnsi="宋体" w:eastAsia="宋体"/>
              </w:rPr>
            </w:pPr>
            <w:r>
              <w:rPr>
                <w:rFonts w:hint="eastAsia" w:ascii="宋体" w:hAnsi="宋体" w:eastAsia="宋体"/>
              </w:rPr>
              <w:t>方案基本完整：</w:t>
            </w:r>
            <w:r>
              <w:rPr>
                <w:rFonts w:ascii="宋体" w:hAnsi="宋体" w:eastAsia="宋体"/>
              </w:rPr>
              <w:t>1</w:t>
            </w:r>
            <w:r>
              <w:rPr>
                <w:rFonts w:hint="eastAsia" w:ascii="宋体" w:hAnsi="宋体" w:eastAsia="宋体"/>
              </w:rPr>
              <w:t>分</w:t>
            </w:r>
          </w:p>
          <w:p w14:paraId="1C35E697">
            <w:pPr>
              <w:widowControl/>
              <w:jc w:val="left"/>
              <w:rPr>
                <w:rFonts w:ascii="宋体" w:hAnsi="宋体" w:eastAsia="宋体"/>
              </w:rPr>
            </w:pPr>
            <w:r>
              <w:rPr>
                <w:rFonts w:hint="eastAsia" w:ascii="宋体" w:hAnsi="宋体" w:eastAsia="宋体"/>
              </w:rPr>
              <w:t>方案不完整、不严密：</w:t>
            </w:r>
            <w:r>
              <w:rPr>
                <w:rFonts w:ascii="宋体" w:hAnsi="宋体" w:eastAsia="宋体"/>
              </w:rPr>
              <w:t>0</w:t>
            </w:r>
            <w:r>
              <w:rPr>
                <w:rFonts w:hint="eastAsia" w:ascii="宋体" w:hAnsi="宋体" w:eastAsia="宋体"/>
              </w:rPr>
              <w:t>分</w:t>
            </w:r>
          </w:p>
        </w:tc>
      </w:tr>
      <w:tr w14:paraId="7928D3D9">
        <w:tblPrEx>
          <w:tblCellMar>
            <w:top w:w="0" w:type="dxa"/>
            <w:left w:w="0" w:type="dxa"/>
            <w:bottom w:w="0" w:type="dxa"/>
            <w:right w:w="0" w:type="dxa"/>
          </w:tblCellMar>
        </w:tblPrEx>
        <w:trPr>
          <w:trHeight w:val="2496" w:hRule="atLeast"/>
        </w:trPr>
        <w:tc>
          <w:tcPr>
            <w:tcW w:w="581" w:type="pct"/>
            <w:vMerge w:val="continue"/>
            <w:tcBorders>
              <w:left w:val="single" w:color="000000" w:sz="4" w:space="0"/>
              <w:right w:val="single" w:color="000000" w:sz="4" w:space="0"/>
            </w:tcBorders>
            <w:tcMar>
              <w:top w:w="0" w:type="dxa"/>
              <w:left w:w="108" w:type="dxa"/>
              <w:bottom w:w="0" w:type="dxa"/>
              <w:right w:w="108" w:type="dxa"/>
            </w:tcMar>
            <w:vAlign w:val="center"/>
          </w:tcPr>
          <w:p w14:paraId="4A6C61A2">
            <w:pPr>
              <w:widowControl/>
              <w:jc w:val="left"/>
              <w:rPr>
                <w:rFonts w:ascii="宋体" w:hAnsi="宋体" w:eastAsia="宋体"/>
              </w:rPr>
            </w:pPr>
          </w:p>
        </w:tc>
        <w:tc>
          <w:tcPr>
            <w:tcW w:w="918" w:type="pct"/>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14:paraId="19EBEABF">
            <w:pPr>
              <w:widowControl/>
              <w:snapToGrid w:val="0"/>
              <w:jc w:val="center"/>
              <w:rPr>
                <w:rFonts w:ascii="宋体" w:hAnsi="宋体" w:eastAsia="宋体"/>
                <w:b/>
                <w:bCs/>
              </w:rPr>
            </w:pPr>
          </w:p>
        </w:tc>
        <w:tc>
          <w:tcPr>
            <w:tcW w:w="1750" w:type="pct"/>
            <w:tcBorders>
              <w:top w:val="single" w:color="000000" w:sz="4" w:space="0"/>
              <w:right w:val="single" w:color="000000" w:sz="4" w:space="0"/>
            </w:tcBorders>
            <w:tcMar>
              <w:top w:w="0" w:type="dxa"/>
              <w:left w:w="108" w:type="dxa"/>
              <w:bottom w:w="0" w:type="dxa"/>
              <w:right w:w="108" w:type="dxa"/>
            </w:tcMar>
            <w:vAlign w:val="center"/>
          </w:tcPr>
          <w:p w14:paraId="20806DA8">
            <w:pPr>
              <w:widowControl/>
              <w:jc w:val="left"/>
              <w:rPr>
                <w:rFonts w:ascii="宋体" w:hAnsi="宋体" w:eastAsia="宋体"/>
              </w:rPr>
            </w:pPr>
            <w:r>
              <w:rPr>
                <w:rFonts w:hint="eastAsia" w:ascii="宋体" w:hAnsi="宋体" w:eastAsia="宋体"/>
              </w:rPr>
              <w:t>情况三：根据投标方案点对点应答是否详尽、明晰，是否满足招标文件要求，投标文件编制是否完整、格式规范、内容齐全、表述准确、条理清晰，内容无前后矛盾，符合招标文件要求；根据方案符合度酌情在0-3分之间给分。</w:t>
            </w:r>
          </w:p>
        </w:tc>
        <w:tc>
          <w:tcPr>
            <w:tcW w:w="1751" w:type="pct"/>
            <w:tcBorders>
              <w:top w:val="single" w:color="000000" w:sz="4" w:space="0"/>
              <w:right w:val="single" w:color="auto" w:sz="4" w:space="0"/>
            </w:tcBorders>
            <w:tcMar>
              <w:top w:w="0" w:type="dxa"/>
              <w:left w:w="108" w:type="dxa"/>
              <w:bottom w:w="0" w:type="dxa"/>
              <w:right w:w="108" w:type="dxa"/>
            </w:tcMar>
            <w:vAlign w:val="center"/>
          </w:tcPr>
          <w:p w14:paraId="4C9B93EF">
            <w:pPr>
              <w:widowControl/>
              <w:jc w:val="left"/>
              <w:rPr>
                <w:rFonts w:ascii="宋体" w:hAnsi="宋体" w:eastAsia="宋体"/>
              </w:rPr>
            </w:pPr>
            <w:r>
              <w:rPr>
                <w:rFonts w:hint="eastAsia" w:ascii="宋体" w:hAnsi="宋体" w:eastAsia="宋体"/>
              </w:rPr>
              <w:t>方案符合程度高：</w:t>
            </w:r>
            <w:r>
              <w:rPr>
                <w:rFonts w:ascii="宋体" w:hAnsi="宋体" w:eastAsia="宋体"/>
              </w:rPr>
              <w:t>2</w:t>
            </w:r>
            <w:r>
              <w:rPr>
                <w:rFonts w:hint="eastAsia" w:ascii="宋体" w:hAnsi="宋体" w:eastAsia="宋体"/>
              </w:rPr>
              <w:t>分</w:t>
            </w:r>
          </w:p>
          <w:p w14:paraId="1C767E60">
            <w:pPr>
              <w:widowControl/>
              <w:jc w:val="left"/>
              <w:rPr>
                <w:rFonts w:ascii="宋体" w:hAnsi="宋体" w:eastAsia="宋体"/>
              </w:rPr>
            </w:pPr>
            <w:r>
              <w:rPr>
                <w:rFonts w:hint="eastAsia" w:ascii="宋体" w:hAnsi="宋体" w:eastAsia="宋体"/>
              </w:rPr>
              <w:t>方案符合程度一般：</w:t>
            </w:r>
            <w:r>
              <w:rPr>
                <w:rFonts w:ascii="宋体" w:hAnsi="宋体" w:eastAsia="宋体"/>
              </w:rPr>
              <w:t>1</w:t>
            </w:r>
            <w:r>
              <w:rPr>
                <w:rFonts w:hint="eastAsia" w:ascii="宋体" w:hAnsi="宋体" w:eastAsia="宋体"/>
              </w:rPr>
              <w:t>分</w:t>
            </w:r>
          </w:p>
          <w:p w14:paraId="4BB81A9B">
            <w:pPr>
              <w:widowControl/>
              <w:jc w:val="left"/>
              <w:rPr>
                <w:rFonts w:ascii="宋体" w:hAnsi="宋体" w:eastAsia="宋体"/>
              </w:rPr>
            </w:pPr>
            <w:r>
              <w:rPr>
                <w:rFonts w:hint="eastAsia" w:ascii="宋体" w:hAnsi="宋体" w:eastAsia="宋体"/>
              </w:rPr>
              <w:t>方案符合程度低：</w:t>
            </w:r>
            <w:r>
              <w:rPr>
                <w:rFonts w:ascii="宋体" w:hAnsi="宋体" w:eastAsia="宋体"/>
              </w:rPr>
              <w:t>0</w:t>
            </w:r>
            <w:r>
              <w:rPr>
                <w:rFonts w:hint="eastAsia" w:ascii="宋体" w:hAnsi="宋体" w:eastAsia="宋体"/>
              </w:rPr>
              <w:t>分</w:t>
            </w:r>
          </w:p>
        </w:tc>
      </w:tr>
      <w:tr w14:paraId="31AC81F4">
        <w:tblPrEx>
          <w:tblCellMar>
            <w:top w:w="0" w:type="dxa"/>
            <w:left w:w="0" w:type="dxa"/>
            <w:bottom w:w="0" w:type="dxa"/>
            <w:right w:w="0" w:type="dxa"/>
          </w:tblCellMar>
        </w:tblPrEx>
        <w:trPr>
          <w:trHeight w:val="980" w:hRule="atLeast"/>
        </w:trPr>
        <w:tc>
          <w:tcPr>
            <w:tcW w:w="581" w:type="pct"/>
            <w:vMerge w:val="continue"/>
            <w:tcBorders>
              <w:left w:val="single" w:color="000000" w:sz="4" w:space="0"/>
              <w:right w:val="single" w:color="000000" w:sz="4" w:space="0"/>
            </w:tcBorders>
            <w:tcMar>
              <w:top w:w="0" w:type="dxa"/>
              <w:left w:w="108" w:type="dxa"/>
              <w:bottom w:w="0" w:type="dxa"/>
              <w:right w:w="108" w:type="dxa"/>
            </w:tcMar>
            <w:vAlign w:val="center"/>
          </w:tcPr>
          <w:p w14:paraId="4AFB44D3">
            <w:pPr>
              <w:widowControl/>
              <w:jc w:val="left"/>
              <w:rPr>
                <w:rFonts w:ascii="宋体" w:hAnsi="宋体" w:eastAsia="宋体"/>
              </w:rPr>
            </w:pPr>
          </w:p>
        </w:tc>
        <w:tc>
          <w:tcPr>
            <w:tcW w:w="918" w:type="pct"/>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819BA5">
            <w:pPr>
              <w:widowControl/>
              <w:snapToGrid w:val="0"/>
              <w:jc w:val="center"/>
              <w:rPr>
                <w:rFonts w:ascii="宋体" w:hAnsi="宋体" w:eastAsia="宋体"/>
                <w:b/>
                <w:bCs/>
              </w:rPr>
            </w:pPr>
            <w:r>
              <w:rPr>
                <w:rFonts w:hint="eastAsia" w:ascii="宋体" w:hAnsi="宋体" w:eastAsia="宋体"/>
                <w:b/>
                <w:bCs/>
              </w:rPr>
              <w:t>系统架构、设计方案评价</w:t>
            </w:r>
          </w:p>
          <w:p w14:paraId="7890C625">
            <w:pPr>
              <w:widowControl/>
              <w:snapToGrid w:val="0"/>
              <w:jc w:val="center"/>
              <w:rPr>
                <w:rFonts w:ascii="宋体" w:hAnsi="宋体" w:eastAsia="宋体"/>
                <w:b/>
                <w:bCs/>
              </w:rPr>
            </w:pPr>
            <w:r>
              <w:rPr>
                <w:rFonts w:hint="eastAsia" w:ascii="宋体" w:hAnsi="宋体" w:eastAsia="宋体"/>
                <w:b/>
                <w:bCs/>
              </w:rPr>
              <w:t>（4分）</w:t>
            </w:r>
          </w:p>
        </w:tc>
        <w:tc>
          <w:tcPr>
            <w:tcW w:w="1750"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D700B10">
            <w:pPr>
              <w:widowControl/>
              <w:jc w:val="left"/>
              <w:rPr>
                <w:rFonts w:ascii="宋体" w:hAnsi="宋体" w:eastAsia="宋体"/>
              </w:rPr>
            </w:pPr>
            <w:r>
              <w:rPr>
                <w:rFonts w:hint="eastAsia" w:ascii="宋体" w:hAnsi="宋体" w:eastAsia="宋体"/>
              </w:rPr>
              <w:t>根据投标人提供的系统设计方案进行评价，包括方案的完整性、先进性、合理性、以及对招标要求的总体响应程度、配置细化程度等方面。</w:t>
            </w:r>
          </w:p>
        </w:tc>
        <w:tc>
          <w:tcPr>
            <w:tcW w:w="1751" w:type="pct"/>
            <w:tcBorders>
              <w:top w:val="single" w:color="000000" w:sz="4" w:space="0"/>
              <w:bottom w:val="single" w:color="000000" w:sz="4" w:space="0"/>
              <w:right w:val="single" w:color="auto" w:sz="4" w:space="0"/>
            </w:tcBorders>
            <w:tcMar>
              <w:top w:w="0" w:type="dxa"/>
              <w:left w:w="108" w:type="dxa"/>
              <w:bottom w:w="0" w:type="dxa"/>
              <w:right w:w="108" w:type="dxa"/>
            </w:tcMar>
            <w:vAlign w:val="center"/>
          </w:tcPr>
          <w:p w14:paraId="39DC724D">
            <w:pPr>
              <w:widowControl/>
              <w:jc w:val="left"/>
              <w:rPr>
                <w:rFonts w:ascii="宋体" w:hAnsi="宋体" w:eastAsia="宋体"/>
              </w:rPr>
            </w:pPr>
            <w:r>
              <w:rPr>
                <w:rFonts w:hint="eastAsia" w:ascii="宋体" w:hAnsi="宋体" w:eastAsia="宋体"/>
              </w:rPr>
              <w:t>（1）方案全面合理：4分</w:t>
            </w:r>
          </w:p>
          <w:p w14:paraId="2FBAE84F">
            <w:pPr>
              <w:widowControl/>
              <w:jc w:val="left"/>
              <w:rPr>
                <w:rFonts w:ascii="宋体" w:hAnsi="宋体" w:eastAsia="宋体"/>
              </w:rPr>
            </w:pPr>
            <w:r>
              <w:rPr>
                <w:rFonts w:hint="eastAsia" w:ascii="宋体" w:hAnsi="宋体" w:eastAsia="宋体"/>
              </w:rPr>
              <w:t>（2）方案基本合理：3分</w:t>
            </w:r>
          </w:p>
          <w:p w14:paraId="70A765B3">
            <w:pPr>
              <w:widowControl/>
              <w:jc w:val="left"/>
              <w:rPr>
                <w:rFonts w:ascii="宋体" w:hAnsi="宋体" w:eastAsia="宋体"/>
              </w:rPr>
            </w:pPr>
            <w:r>
              <w:rPr>
                <w:rFonts w:hint="eastAsia" w:ascii="宋体" w:hAnsi="宋体" w:eastAsia="宋体"/>
              </w:rPr>
              <w:t>（3）方案不合理：1分</w:t>
            </w:r>
          </w:p>
          <w:p w14:paraId="33E26060">
            <w:pPr>
              <w:widowControl/>
              <w:jc w:val="left"/>
              <w:rPr>
                <w:rFonts w:ascii="宋体" w:hAnsi="宋体" w:eastAsia="宋体"/>
              </w:rPr>
            </w:pPr>
            <w:r>
              <w:rPr>
                <w:rFonts w:hint="eastAsia" w:ascii="宋体" w:hAnsi="宋体" w:eastAsia="宋体"/>
              </w:rPr>
              <w:t>（4）未提供方案：0分</w:t>
            </w:r>
          </w:p>
        </w:tc>
      </w:tr>
      <w:tr w14:paraId="7654D60C">
        <w:tblPrEx>
          <w:tblCellMar>
            <w:top w:w="0" w:type="dxa"/>
            <w:left w:w="0" w:type="dxa"/>
            <w:bottom w:w="0" w:type="dxa"/>
            <w:right w:w="0" w:type="dxa"/>
          </w:tblCellMar>
        </w:tblPrEx>
        <w:trPr>
          <w:trHeight w:val="1600" w:hRule="atLeast"/>
        </w:trPr>
        <w:tc>
          <w:tcPr>
            <w:tcW w:w="581" w:type="pct"/>
            <w:vMerge w:val="restart"/>
            <w:tcBorders>
              <w:top w:val="single" w:color="auto" w:sz="4" w:space="0"/>
              <w:left w:val="single" w:color="auto" w:sz="4" w:space="0"/>
              <w:right w:val="single" w:color="auto" w:sz="4" w:space="0"/>
            </w:tcBorders>
          </w:tcPr>
          <w:p w14:paraId="345F283B">
            <w:pPr>
              <w:spacing w:line="360" w:lineRule="auto"/>
              <w:rPr>
                <w:rFonts w:ascii="宋体" w:hAnsi="宋体"/>
                <w:b/>
                <w:sz w:val="24"/>
                <w:szCs w:val="24"/>
              </w:rPr>
            </w:pPr>
          </w:p>
          <w:p w14:paraId="085B6D48">
            <w:pPr>
              <w:spacing w:line="360" w:lineRule="auto"/>
              <w:rPr>
                <w:rFonts w:ascii="宋体" w:hAnsi="宋体"/>
                <w:b/>
                <w:sz w:val="24"/>
                <w:szCs w:val="24"/>
              </w:rPr>
            </w:pPr>
          </w:p>
          <w:p w14:paraId="0086EA43">
            <w:pPr>
              <w:spacing w:line="360" w:lineRule="auto"/>
              <w:rPr>
                <w:rFonts w:ascii="宋体" w:hAnsi="宋体"/>
                <w:b/>
                <w:sz w:val="24"/>
                <w:szCs w:val="24"/>
              </w:rPr>
            </w:pPr>
          </w:p>
          <w:p w14:paraId="09BD21B8">
            <w:pPr>
              <w:spacing w:line="360" w:lineRule="auto"/>
              <w:rPr>
                <w:rFonts w:ascii="宋体" w:hAnsi="宋体" w:eastAsia="宋体"/>
                <w:szCs w:val="20"/>
              </w:rPr>
            </w:pPr>
            <w:r>
              <w:rPr>
                <w:rFonts w:hint="eastAsia" w:ascii="宋体" w:hAnsi="宋体"/>
                <w:b/>
                <w:sz w:val="24"/>
                <w:szCs w:val="24"/>
              </w:rPr>
              <w:t>商务分(10分)</w:t>
            </w:r>
          </w:p>
        </w:tc>
        <w:tc>
          <w:tcPr>
            <w:tcW w:w="918" w:type="pct"/>
            <w:tcBorders>
              <w:top w:val="single" w:color="auto" w:sz="4" w:space="0"/>
              <w:left w:val="single" w:color="auto" w:sz="4" w:space="0"/>
              <w:bottom w:val="single" w:color="auto" w:sz="4" w:space="0"/>
              <w:right w:val="single" w:color="auto" w:sz="4" w:space="0"/>
            </w:tcBorders>
            <w:vAlign w:val="center"/>
          </w:tcPr>
          <w:p w14:paraId="3EC42C72">
            <w:pPr>
              <w:widowControl/>
              <w:snapToGrid w:val="0"/>
              <w:rPr>
                <w:rFonts w:ascii="宋体" w:hAnsi="宋体" w:eastAsia="宋体"/>
                <w:b/>
                <w:bCs/>
              </w:rPr>
            </w:pPr>
            <w:r>
              <w:rPr>
                <w:rFonts w:hint="eastAsia" w:ascii="宋体" w:hAnsi="宋体" w:eastAsia="宋体"/>
                <w:b/>
                <w:bCs/>
              </w:rPr>
              <w:t>管理体系评价</w:t>
            </w:r>
          </w:p>
          <w:p w14:paraId="16E39CA2">
            <w:pPr>
              <w:widowControl/>
              <w:snapToGrid w:val="0"/>
              <w:jc w:val="center"/>
              <w:rPr>
                <w:rFonts w:ascii="宋体" w:hAnsi="宋体" w:eastAsia="宋体"/>
                <w:b/>
                <w:bCs/>
              </w:rPr>
            </w:pPr>
            <w:r>
              <w:rPr>
                <w:rFonts w:hint="eastAsia" w:ascii="宋体" w:hAnsi="宋体" w:eastAsia="宋体"/>
                <w:b/>
                <w:bCs/>
              </w:rPr>
              <w:t>（4分）</w:t>
            </w:r>
          </w:p>
        </w:tc>
        <w:tc>
          <w:tcPr>
            <w:tcW w:w="1750" w:type="pct"/>
            <w:tcBorders>
              <w:top w:val="single" w:color="auto" w:sz="4" w:space="0"/>
              <w:left w:val="single" w:color="auto" w:sz="4" w:space="0"/>
              <w:bottom w:val="single" w:color="auto" w:sz="4" w:space="0"/>
              <w:right w:val="single" w:color="auto" w:sz="4" w:space="0"/>
            </w:tcBorders>
            <w:vAlign w:val="center"/>
          </w:tcPr>
          <w:p w14:paraId="58007A20">
            <w:pPr>
              <w:widowControl/>
              <w:jc w:val="left"/>
              <w:rPr>
                <w:rFonts w:ascii="宋体" w:hAnsi="宋体" w:eastAsia="宋体"/>
              </w:rPr>
            </w:pPr>
            <w:r>
              <w:rPr>
                <w:rFonts w:hint="eastAsia" w:ascii="宋体" w:hAnsi="宋体" w:eastAsia="宋体"/>
              </w:rPr>
              <w:t>自动化指标平台软件著作权证书、逻辑数据编织平台软件著作权证书，ISO9001、ISO27001专业认证证书，每一项 1 分。</w:t>
            </w:r>
          </w:p>
        </w:tc>
        <w:tc>
          <w:tcPr>
            <w:tcW w:w="1751" w:type="pct"/>
            <w:tcBorders>
              <w:top w:val="single" w:color="auto" w:sz="4" w:space="0"/>
              <w:left w:val="single" w:color="auto" w:sz="4" w:space="0"/>
              <w:bottom w:val="single" w:color="auto" w:sz="4" w:space="0"/>
              <w:right w:val="single" w:color="auto" w:sz="4" w:space="0"/>
            </w:tcBorders>
            <w:vAlign w:val="center"/>
          </w:tcPr>
          <w:p w14:paraId="4E197221">
            <w:pPr>
              <w:widowControl/>
              <w:jc w:val="left"/>
              <w:rPr>
                <w:rFonts w:ascii="宋体" w:hAnsi="宋体" w:eastAsia="宋体"/>
              </w:rPr>
            </w:pPr>
            <w:r>
              <w:rPr>
                <w:rFonts w:hint="eastAsia" w:ascii="宋体" w:hAnsi="宋体" w:eastAsia="宋体"/>
              </w:rPr>
              <w:t>（1）每提供 1个证书，得 1 分，满分4分</w:t>
            </w:r>
          </w:p>
          <w:p w14:paraId="1DBC88DC">
            <w:pPr>
              <w:widowControl/>
              <w:jc w:val="left"/>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）未提供证书：0分</w:t>
            </w:r>
          </w:p>
        </w:tc>
      </w:tr>
      <w:tr w14:paraId="7364D3BF">
        <w:tblPrEx>
          <w:tblCellMar>
            <w:top w:w="0" w:type="dxa"/>
            <w:left w:w="0" w:type="dxa"/>
            <w:bottom w:w="0" w:type="dxa"/>
            <w:right w:w="0" w:type="dxa"/>
          </w:tblCellMar>
        </w:tblPrEx>
        <w:trPr>
          <w:trHeight w:val="54" w:hRule="atLeast"/>
        </w:trPr>
        <w:tc>
          <w:tcPr>
            <w:tcW w:w="581" w:type="pct"/>
            <w:vMerge w:val="continue"/>
            <w:tcBorders>
              <w:left w:val="single" w:color="auto" w:sz="4" w:space="0"/>
              <w:right w:val="single" w:color="auto" w:sz="4" w:space="0"/>
            </w:tcBorders>
          </w:tcPr>
          <w:p w14:paraId="6917964B">
            <w:pPr>
              <w:widowControl/>
              <w:jc w:val="left"/>
              <w:rPr>
                <w:rFonts w:ascii="宋体" w:hAnsi="宋体" w:eastAsia="宋体"/>
              </w:rPr>
            </w:pPr>
          </w:p>
        </w:tc>
        <w:tc>
          <w:tcPr>
            <w:tcW w:w="918" w:type="pct"/>
            <w:tcBorders>
              <w:top w:val="single" w:color="auto" w:sz="4" w:space="0"/>
              <w:left w:val="single" w:color="auto" w:sz="4" w:space="0"/>
              <w:bottom w:val="single" w:color="auto" w:sz="4" w:space="0"/>
              <w:right w:val="single" w:color="auto" w:sz="4" w:space="0"/>
            </w:tcBorders>
            <w:vAlign w:val="center"/>
          </w:tcPr>
          <w:p w14:paraId="246060FC">
            <w:pPr>
              <w:widowControl/>
              <w:snapToGrid w:val="0"/>
              <w:jc w:val="center"/>
              <w:rPr>
                <w:rFonts w:ascii="宋体" w:hAnsi="宋体" w:eastAsia="宋体"/>
                <w:b/>
                <w:bCs/>
              </w:rPr>
            </w:pPr>
            <w:r>
              <w:rPr>
                <w:rFonts w:hint="eastAsia" w:ascii="宋体" w:hAnsi="宋体" w:eastAsia="宋体"/>
                <w:b/>
                <w:bCs/>
              </w:rPr>
              <w:t>业绩评价</w:t>
            </w:r>
          </w:p>
          <w:p w14:paraId="2F15B4FD">
            <w:pPr>
              <w:widowControl/>
              <w:snapToGrid w:val="0"/>
              <w:jc w:val="center"/>
              <w:rPr>
                <w:rFonts w:ascii="宋体" w:hAnsi="宋体" w:eastAsia="宋体"/>
                <w:b/>
                <w:bCs/>
              </w:rPr>
            </w:pPr>
            <w:r>
              <w:rPr>
                <w:rFonts w:hint="eastAsia" w:ascii="宋体" w:hAnsi="宋体" w:eastAsia="宋体"/>
                <w:b/>
                <w:bCs/>
              </w:rPr>
              <w:t>(4分)</w:t>
            </w:r>
          </w:p>
        </w:tc>
        <w:tc>
          <w:tcPr>
            <w:tcW w:w="1750" w:type="pct"/>
            <w:tcBorders>
              <w:top w:val="single" w:color="auto" w:sz="4" w:space="0"/>
              <w:left w:val="single" w:color="auto" w:sz="4" w:space="0"/>
              <w:bottom w:val="single" w:color="auto" w:sz="4" w:space="0"/>
              <w:right w:val="single" w:color="auto" w:sz="4" w:space="0"/>
            </w:tcBorders>
            <w:vAlign w:val="center"/>
          </w:tcPr>
          <w:p w14:paraId="283C317A">
            <w:pPr>
              <w:widowControl/>
              <w:jc w:val="left"/>
              <w:rPr>
                <w:rFonts w:ascii="宋体" w:hAnsi="宋体" w:eastAsia="宋体"/>
              </w:rPr>
            </w:pPr>
            <w:r>
              <w:rPr>
                <w:rFonts w:hint="eastAsia" w:ascii="宋体" w:hAnsi="宋体" w:eastAsia="宋体"/>
              </w:rPr>
              <w:t>投标人提供 2022 年 1 月至今类似项目业绩（逻辑数仓/智能湖仓引擎和指标平台/Semantic 语义系统），要求时间以合同签订时间为准，投标文件中附有其业绩证明材料，业绩以投标人的销售或服务合同为依据，每提供一个得 2 分，满分 4 分。注：业绩（销售或服务合同）中甲乙双方签章、合同签订时间、合同金额和名称必须清晰，否则不予评分。</w:t>
            </w:r>
          </w:p>
        </w:tc>
        <w:tc>
          <w:tcPr>
            <w:tcW w:w="1751" w:type="pct"/>
            <w:tcBorders>
              <w:top w:val="single" w:color="auto" w:sz="4" w:space="0"/>
              <w:left w:val="single" w:color="auto" w:sz="4" w:space="0"/>
              <w:bottom w:val="single" w:color="auto" w:sz="4" w:space="0"/>
              <w:right w:val="single" w:color="auto" w:sz="4" w:space="0"/>
            </w:tcBorders>
            <w:vAlign w:val="center"/>
          </w:tcPr>
          <w:p w14:paraId="7695F771">
            <w:pPr>
              <w:widowControl/>
              <w:jc w:val="left"/>
              <w:rPr>
                <w:rFonts w:ascii="宋体" w:hAnsi="宋体" w:eastAsia="宋体"/>
              </w:rPr>
            </w:pPr>
            <w:r>
              <w:rPr>
                <w:rFonts w:hint="eastAsia" w:ascii="宋体" w:hAnsi="宋体" w:eastAsia="宋体"/>
              </w:rPr>
              <w:t>（1）每提供 1 个案例，2 分，满分 4 分</w:t>
            </w:r>
          </w:p>
          <w:p w14:paraId="42CE979F">
            <w:pPr>
              <w:widowControl/>
              <w:jc w:val="left"/>
              <w:rPr>
                <w:rFonts w:ascii="宋体" w:hAnsi="宋体" w:eastAsia="宋体"/>
              </w:rPr>
            </w:pPr>
            <w:r>
              <w:rPr>
                <w:rFonts w:hint="eastAsia" w:ascii="宋体" w:hAnsi="宋体" w:eastAsia="宋体"/>
              </w:rPr>
              <w:t>（2）无案例：0分</w:t>
            </w:r>
          </w:p>
        </w:tc>
      </w:tr>
      <w:tr w14:paraId="72B347BF">
        <w:tblPrEx>
          <w:tblCellMar>
            <w:top w:w="0" w:type="dxa"/>
            <w:left w:w="0" w:type="dxa"/>
            <w:bottom w:w="0" w:type="dxa"/>
            <w:right w:w="0" w:type="dxa"/>
          </w:tblCellMar>
        </w:tblPrEx>
        <w:trPr>
          <w:trHeight w:val="376" w:hRule="atLeast"/>
        </w:trPr>
        <w:tc>
          <w:tcPr>
            <w:tcW w:w="581" w:type="pct"/>
            <w:vMerge w:val="continue"/>
            <w:tcBorders>
              <w:left w:val="single" w:color="auto" w:sz="4" w:space="0"/>
              <w:bottom w:val="single" w:color="auto" w:sz="4" w:space="0"/>
              <w:right w:val="single" w:color="auto" w:sz="4" w:space="0"/>
            </w:tcBorders>
          </w:tcPr>
          <w:p w14:paraId="7624A94A">
            <w:pPr>
              <w:widowControl/>
              <w:jc w:val="left"/>
              <w:rPr>
                <w:rFonts w:ascii="宋体" w:hAnsi="宋体" w:eastAsia="宋体"/>
              </w:rPr>
            </w:pPr>
          </w:p>
        </w:tc>
        <w:tc>
          <w:tcPr>
            <w:tcW w:w="918" w:type="pct"/>
            <w:tcBorders>
              <w:top w:val="single" w:color="auto" w:sz="4" w:space="0"/>
              <w:left w:val="single" w:color="auto" w:sz="4" w:space="0"/>
              <w:bottom w:val="single" w:color="auto" w:sz="4" w:space="0"/>
              <w:right w:val="single" w:color="auto" w:sz="4" w:space="0"/>
            </w:tcBorders>
            <w:vAlign w:val="center"/>
          </w:tcPr>
          <w:p w14:paraId="6E1D903C">
            <w:pPr>
              <w:widowControl/>
              <w:snapToGrid w:val="0"/>
              <w:jc w:val="center"/>
              <w:rPr>
                <w:rFonts w:ascii="宋体" w:hAnsi="宋体" w:eastAsia="宋体"/>
                <w:b/>
                <w:bCs/>
              </w:rPr>
            </w:pPr>
            <w:r>
              <w:rPr>
                <w:rFonts w:hint="eastAsia" w:ascii="宋体" w:hAnsi="宋体" w:eastAsia="宋体"/>
                <w:b/>
                <w:bCs/>
              </w:rPr>
              <w:t>技术支持评价</w:t>
            </w:r>
          </w:p>
          <w:p w14:paraId="1F642B1C">
            <w:pPr>
              <w:widowControl/>
              <w:snapToGrid w:val="0"/>
              <w:jc w:val="center"/>
              <w:rPr>
                <w:rFonts w:ascii="宋体" w:hAnsi="宋体" w:eastAsia="宋体"/>
                <w:b/>
                <w:bCs/>
              </w:rPr>
            </w:pPr>
            <w:r>
              <w:rPr>
                <w:rFonts w:hint="eastAsia" w:ascii="宋体" w:hAnsi="宋体" w:eastAsia="宋体"/>
                <w:b/>
                <w:bCs/>
              </w:rPr>
              <w:t>(2分)</w:t>
            </w:r>
          </w:p>
        </w:tc>
        <w:tc>
          <w:tcPr>
            <w:tcW w:w="1750" w:type="pct"/>
            <w:tcBorders>
              <w:top w:val="single" w:color="auto" w:sz="4" w:space="0"/>
              <w:left w:val="single" w:color="auto" w:sz="4" w:space="0"/>
              <w:bottom w:val="single" w:color="auto" w:sz="4" w:space="0"/>
              <w:right w:val="single" w:color="auto" w:sz="4" w:space="0"/>
            </w:tcBorders>
            <w:vAlign w:val="center"/>
          </w:tcPr>
          <w:p w14:paraId="7D986419">
            <w:pPr>
              <w:widowControl/>
              <w:jc w:val="left"/>
              <w:rPr>
                <w:rFonts w:ascii="宋体" w:hAnsi="宋体" w:eastAsia="宋体"/>
              </w:rPr>
            </w:pPr>
            <w:r>
              <w:rPr>
                <w:rFonts w:hint="eastAsia" w:ascii="宋体" w:hAnsi="宋体" w:eastAsia="宋体"/>
              </w:rPr>
              <w:t>根据产品服务厂商承诺在项目安装验收时派驻1名实施技术人员驻场或远程支持，且保证验收合格交付后提供</w:t>
            </w:r>
            <w:r>
              <w:rPr>
                <w:rFonts w:ascii="宋体" w:hAnsi="宋体" w:eastAsia="宋体"/>
              </w:rPr>
              <w:t>5</w:t>
            </w:r>
            <w:r>
              <w:rPr>
                <w:rFonts w:hint="eastAsia" w:ascii="宋体" w:hAnsi="宋体" w:eastAsia="宋体"/>
              </w:rPr>
              <w:t>×</w:t>
            </w:r>
            <w:r>
              <w:rPr>
                <w:rFonts w:ascii="宋体" w:hAnsi="宋体" w:eastAsia="宋体"/>
              </w:rPr>
              <w:t>8</w:t>
            </w:r>
            <w:r>
              <w:rPr>
                <w:rFonts w:hint="eastAsia" w:ascii="宋体" w:hAnsi="宋体" w:eastAsia="宋体"/>
              </w:rPr>
              <w:t xml:space="preserve"> 小时免费电话技术支持和专属微信群支持，电话支持无法解决的问题必须4小时之内安排高级别工程师远程妥善解决。产品部署后需提供必要的现场培训和技术支持，确保产品被正确和合理使用(产品服务厂商须在投标文件中提供承诺)。</w:t>
            </w:r>
          </w:p>
        </w:tc>
        <w:tc>
          <w:tcPr>
            <w:tcW w:w="1751" w:type="pct"/>
            <w:tcBorders>
              <w:top w:val="single" w:color="auto" w:sz="4" w:space="0"/>
              <w:left w:val="single" w:color="auto" w:sz="4" w:space="0"/>
              <w:bottom w:val="single" w:color="auto" w:sz="4" w:space="0"/>
              <w:right w:val="single" w:color="auto" w:sz="4" w:space="0"/>
            </w:tcBorders>
            <w:vAlign w:val="center"/>
          </w:tcPr>
          <w:p w14:paraId="2D842CFE">
            <w:pPr>
              <w:widowControl/>
              <w:jc w:val="left"/>
              <w:rPr>
                <w:rFonts w:ascii="宋体" w:hAnsi="宋体" w:eastAsia="宋体"/>
              </w:rPr>
            </w:pPr>
            <w:r>
              <w:rPr>
                <w:rFonts w:hint="eastAsia" w:ascii="宋体" w:hAnsi="宋体" w:eastAsia="宋体"/>
              </w:rPr>
              <w:t>提供承诺：2分</w:t>
            </w:r>
          </w:p>
          <w:p w14:paraId="5A4BACBD">
            <w:pPr>
              <w:widowControl/>
              <w:jc w:val="left"/>
              <w:rPr>
                <w:rFonts w:ascii="宋体" w:hAnsi="宋体" w:eastAsia="宋体"/>
              </w:rPr>
            </w:pPr>
            <w:r>
              <w:rPr>
                <w:rFonts w:hint="eastAsia" w:ascii="宋体" w:hAnsi="宋体" w:eastAsia="宋体"/>
              </w:rPr>
              <w:t>未提供承诺：0分</w:t>
            </w:r>
          </w:p>
        </w:tc>
      </w:tr>
    </w:tbl>
    <w:p w14:paraId="16CF7F1A">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0D7ED7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3FF3EB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F9C8DB">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63DA7F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369448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EEA3DF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EACD29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23BCBD24">
      <w:pPr>
        <w:pStyle w:val="14"/>
        <w:rPr>
          <w:rFonts w:ascii="宋体" w:hAnsi="宋体" w:eastAsia="宋体" w:cs="宋体"/>
          <w:b w:val="0"/>
          <w:color w:val="000000"/>
          <w:sz w:val="24"/>
          <w:szCs w:val="24"/>
        </w:rPr>
      </w:pPr>
      <w:r>
        <w:rPr>
          <w:rFonts w:hint="eastAsia" w:hAnsi="宋体" w:cs="宋体"/>
          <w:b w:val="0"/>
          <w:color w:val="000000"/>
          <w:sz w:val="24"/>
          <w:szCs w:val="24"/>
          <w:lang w:val="en-US" w:eastAsia="zh-CN"/>
        </w:rPr>
        <w:t>十二、</w:t>
      </w:r>
      <w:r>
        <w:rPr>
          <w:rFonts w:ascii="宋体" w:hAnsi="宋体" w:eastAsia="宋体" w:cs="宋体"/>
          <w:b w:val="0"/>
          <w:color w:val="000000"/>
          <w:sz w:val="24"/>
          <w:szCs w:val="24"/>
        </w:rPr>
        <w:t xml:space="preserve">技术偏离表.................................................... </w:t>
      </w:r>
    </w:p>
    <w:p w14:paraId="07314979">
      <w:pPr>
        <w:pStyle w:val="14"/>
        <w:rPr>
          <w:rFonts w:hint="default" w:ascii="宋体" w:hAnsi="宋体" w:eastAsia="宋体" w:cs="宋体"/>
          <w:b w:val="0"/>
          <w:color w:val="000000"/>
          <w:sz w:val="24"/>
          <w:szCs w:val="24"/>
          <w:lang w:val="en-US" w:eastAsia="zh-CN"/>
        </w:rPr>
      </w:pPr>
      <w:r>
        <w:rPr>
          <w:rFonts w:hint="eastAsia" w:hAnsi="宋体" w:cs="宋体"/>
          <w:b w:val="0"/>
          <w:color w:val="000000"/>
          <w:sz w:val="24"/>
          <w:szCs w:val="24"/>
          <w:lang w:val="en-US" w:eastAsia="zh-CN"/>
        </w:rPr>
        <w:t>十三、评审细则各项要求</w:t>
      </w:r>
      <w:r>
        <w:rPr>
          <w:rFonts w:ascii="宋体" w:hAnsi="宋体" w:eastAsia="宋体" w:cs="宋体"/>
          <w:b w:val="0"/>
          <w:color w:val="000000"/>
          <w:sz w:val="24"/>
          <w:szCs w:val="24"/>
        </w:rPr>
        <w:t xml:space="preserve">........................................... </w:t>
      </w:r>
      <w:r>
        <w:rPr>
          <w:rFonts w:hint="eastAsia" w:ascii="宋体" w:hAnsi="宋体" w:eastAsia="宋体" w:cs="宋体"/>
          <w:b w:val="0"/>
          <w:color w:val="000000"/>
          <w:sz w:val="24"/>
          <w:szCs w:val="24"/>
          <w:lang w:val="en-US" w:eastAsia="zh-CN"/>
        </w:rPr>
        <w:t>..</w:t>
      </w:r>
    </w:p>
    <w:p w14:paraId="062AD4B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其他..............</w:t>
      </w:r>
      <w:r>
        <w:rPr>
          <w:rFonts w:ascii="宋体" w:hAnsi="宋体" w:eastAsia="宋体" w:cs="宋体"/>
          <w:b w:val="0"/>
          <w:color w:val="000000"/>
          <w:sz w:val="24"/>
          <w:szCs w:val="24"/>
        </w:rPr>
        <w:t xml:space="preserve"> ...........................................</w:t>
      </w:r>
    </w:p>
    <w:p w14:paraId="39B159F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B6D252C">
      <w:pPr>
        <w:pStyle w:val="14"/>
        <w:rPr>
          <w:rFonts w:hint="eastAsia" w:ascii="宋体" w:hAnsi="宋体" w:eastAsia="宋体" w:cs="宋体"/>
          <w:b w:val="0"/>
          <w:color w:val="000000"/>
          <w:sz w:val="24"/>
          <w:szCs w:val="24"/>
          <w:lang w:val="en-US" w:eastAsia="zh-CN" w:bidi="ar-SA"/>
        </w:rPr>
      </w:pPr>
    </w:p>
    <w:p w14:paraId="10C4CDCE">
      <w:pPr>
        <w:pStyle w:val="14"/>
        <w:rPr>
          <w:rFonts w:hint="eastAsia" w:ascii="宋体" w:hAnsi="宋体" w:eastAsia="宋体" w:cs="宋体"/>
          <w:b w:val="0"/>
          <w:color w:val="000000"/>
          <w:sz w:val="24"/>
          <w:szCs w:val="24"/>
          <w:lang w:val="en-US" w:eastAsia="zh-CN" w:bidi="ar-SA"/>
        </w:rPr>
      </w:pPr>
    </w:p>
    <w:p w14:paraId="1160BE39">
      <w:pPr>
        <w:pStyle w:val="14"/>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97279F6">
      <w:pPr>
        <w:pStyle w:val="14"/>
        <w:rPr>
          <w:rFonts w:hint="eastAsia" w:ascii="宋体" w:hAnsi="宋体" w:eastAsia="宋体" w:cs="宋体"/>
          <w:b/>
          <w:i w:val="0"/>
          <w:caps/>
          <w:color w:val="auto"/>
          <w:spacing w:val="0"/>
          <w:sz w:val="36"/>
          <w:szCs w:val="36"/>
          <w:lang w:val="en-US" w:eastAsia="zh-CN"/>
        </w:rPr>
      </w:pPr>
    </w:p>
    <w:p w14:paraId="265C135A">
      <w:pPr>
        <w:pStyle w:val="14"/>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75438262">
      <w:pPr>
        <w:pStyle w:val="14"/>
        <w:rPr>
          <w:rFonts w:hint="eastAsia"/>
          <w:lang w:val="en-US" w:eastAsia="zh-CN"/>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12196A2A">
      <w:pPr>
        <w:pStyle w:val="14"/>
        <w:rPr>
          <w:rFonts w:hint="eastAsia"/>
          <w:lang w:val="en-US" w:eastAsia="zh-CN"/>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r>
        <w:rPr>
          <w:rFonts w:hint="eastAsia" w:ascii="宋体" w:hAnsi="宋体" w:eastAsia="宋体"/>
          <w:b/>
          <w:color w:val="000000"/>
          <w:sz w:val="24"/>
          <w:szCs w:val="24"/>
          <w:lang w:eastAsia="zh-CN"/>
        </w:rPr>
        <w:t>（</w:t>
      </w:r>
      <w:r>
        <w:rPr>
          <w:rFonts w:hint="eastAsia" w:ascii="宋体" w:hAnsi="宋体" w:eastAsia="宋体"/>
          <w:b/>
          <w:color w:val="000000"/>
          <w:sz w:val="24"/>
          <w:szCs w:val="24"/>
          <w:lang w:val="en-US" w:eastAsia="zh-CN"/>
        </w:rPr>
        <w:t>服务项目除外</w:t>
      </w:r>
      <w:r>
        <w:rPr>
          <w:rFonts w:hint="eastAsia" w:ascii="宋体" w:hAnsi="宋体" w:eastAsia="宋体"/>
          <w:b/>
          <w:color w:val="000000"/>
          <w:sz w:val="24"/>
          <w:szCs w:val="24"/>
          <w:lang w:eastAsia="zh-CN"/>
        </w:rPr>
        <w:t>）</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tbl>
      <w:tblPr>
        <w:tblStyle w:val="11"/>
        <w:tblpPr w:leftFromText="180" w:rightFromText="180" w:vertAnchor="text" w:horzAnchor="page" w:tblpX="1924" w:tblpY="450"/>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3B92C4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CB0E77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86FDA9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27BAA49">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455F3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0CDCBC6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14956633">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685F91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7EB66B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795EEA4B">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127C57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E358B8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2A7B065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FAA51D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94696A9">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658B24C">
            <w:pPr>
              <w:snapToGrid w:val="0"/>
              <w:spacing w:line="360" w:lineRule="auto"/>
              <w:jc w:val="center"/>
              <w:rPr>
                <w:rFonts w:ascii="宋体" w:hAnsi="宋体" w:eastAsia="宋体"/>
                <w:color w:val="000000"/>
                <w:sz w:val="24"/>
                <w:szCs w:val="24"/>
              </w:rPr>
            </w:pPr>
          </w:p>
        </w:tc>
      </w:tr>
      <w:tr w14:paraId="52A91C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55844BE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44587B6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1F0AC85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4D386C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D5158E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554F66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0450A57">
            <w:pPr>
              <w:snapToGrid w:val="0"/>
              <w:spacing w:line="360" w:lineRule="auto"/>
              <w:jc w:val="center"/>
              <w:rPr>
                <w:rFonts w:ascii="宋体" w:hAnsi="宋体" w:eastAsia="宋体"/>
                <w:color w:val="000000"/>
                <w:sz w:val="24"/>
                <w:szCs w:val="24"/>
              </w:rPr>
            </w:pPr>
          </w:p>
        </w:tc>
      </w:tr>
      <w:tr w14:paraId="047C1C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64678A39">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0911F37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B82C9D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26746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57242B8">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5197D7E">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82F8394">
            <w:pPr>
              <w:snapToGrid w:val="0"/>
              <w:spacing w:line="360" w:lineRule="auto"/>
              <w:jc w:val="center"/>
              <w:rPr>
                <w:rFonts w:ascii="宋体" w:hAnsi="宋体" w:eastAsia="宋体"/>
                <w:color w:val="000000"/>
                <w:sz w:val="24"/>
                <w:szCs w:val="24"/>
              </w:rPr>
            </w:pPr>
          </w:p>
        </w:tc>
      </w:tr>
      <w:tr w14:paraId="3ED04F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4663ACD2">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9FA434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19F6F7C">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0A6702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D09C913">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4C6BAC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C51A2CF">
            <w:pPr>
              <w:snapToGrid w:val="0"/>
              <w:spacing w:line="360" w:lineRule="auto"/>
              <w:jc w:val="center"/>
              <w:rPr>
                <w:rFonts w:ascii="宋体" w:hAnsi="宋体" w:eastAsia="宋体"/>
                <w:color w:val="000000"/>
                <w:sz w:val="24"/>
                <w:szCs w:val="24"/>
              </w:rPr>
            </w:pPr>
          </w:p>
        </w:tc>
      </w:tr>
      <w:tr w14:paraId="07CB30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492528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20A7D0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D4A02C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6A4248C">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E0DEED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D4C484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CDFCD58">
            <w:pPr>
              <w:snapToGrid w:val="0"/>
              <w:spacing w:line="360" w:lineRule="auto"/>
              <w:jc w:val="center"/>
              <w:rPr>
                <w:rFonts w:ascii="宋体" w:hAnsi="宋体" w:eastAsia="宋体"/>
                <w:color w:val="000000"/>
                <w:sz w:val="24"/>
                <w:szCs w:val="24"/>
              </w:rPr>
            </w:pPr>
          </w:p>
        </w:tc>
      </w:tr>
    </w:tbl>
    <w:p w14:paraId="3E432A39">
      <w:pPr>
        <w:spacing w:line="360" w:lineRule="auto"/>
        <w:jc w:val="center"/>
        <w:rPr>
          <w:rFonts w:hint="eastAsia" w:ascii="宋体" w:hAnsi="宋体" w:eastAsia="宋体"/>
          <w:color w:val="000000"/>
          <w:sz w:val="24"/>
          <w:szCs w:val="24"/>
        </w:rPr>
      </w:pPr>
    </w:p>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6B763AB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14:paraId="7DA01C8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14:paraId="550AD4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14:paraId="62F4A2D2">
      <w:pPr>
        <w:pageBreakBefore w:val="0"/>
        <w:numPr>
          <w:ilvl w:val="0"/>
          <w:numId w:val="4"/>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参加政府采购前三年内在经营活动中无重大违法记录书面声明 </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B22AADD">
      <w:pPr>
        <w:pStyle w:val="14"/>
        <w:numPr>
          <w:ilvl w:val="0"/>
          <w:numId w:val="0"/>
        </w:numPr>
        <w:rPr>
          <w:rFonts w:hint="eastAsia"/>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hAnsi="宋体" w:cs="宋体"/>
          <w:sz w:val="24"/>
          <w:szCs w:val="24"/>
          <w:lang w:val="en-US" w:eastAsia="zh-CN"/>
        </w:rPr>
        <w:t>十二、技术偏离表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567998E9">
      <w:pPr>
        <w:pageBreakBefore w:val="0"/>
        <w:numPr>
          <w:ilvl w:val="0"/>
          <w:numId w:val="0"/>
        </w:numPr>
        <w:tabs>
          <w:tab w:val="left" w:pos="606"/>
        </w:tabs>
        <w:wordWrap w:val="0"/>
        <w:autoSpaceDE/>
        <w:autoSpaceDN/>
        <w:bidi w:val="0"/>
        <w:snapToGrid/>
        <w:spacing w:line="360" w:lineRule="auto"/>
        <w:ind w:left="0" w:right="0" w:firstLine="0"/>
        <w:jc w:val="left"/>
        <w:rPr>
          <w:rFonts w:hint="default"/>
          <w:lang w:val="en-US" w:eastAsia="zh-CN"/>
        </w:rPr>
      </w:pPr>
      <w:r>
        <w:rPr>
          <w:rFonts w:hint="eastAsia" w:ascii="宋体" w:hAnsi="宋体" w:eastAsia="宋体" w:cs="宋体"/>
          <w:b/>
          <w:sz w:val="28"/>
          <w:szCs w:val="28"/>
          <w:lang w:val="en-US" w:eastAsia="zh-CN"/>
        </w:rPr>
        <w:t>十三、评审细则各项要求</w:t>
      </w:r>
    </w:p>
    <w:p w14:paraId="1A321F14">
      <w:pPr>
        <w:tabs>
          <w:tab w:val="left" w:pos="876"/>
        </w:tabs>
        <w:bidi w:val="0"/>
        <w:jc w:val="left"/>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十四、其他</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CD4F2"/>
    <w:multiLevelType w:val="singleLevel"/>
    <w:tmpl w:val="15CCD4F2"/>
    <w:lvl w:ilvl="0" w:tentative="0">
      <w:start w:val="10"/>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5085E50"/>
    <w:multiLevelType w:val="singleLevel"/>
    <w:tmpl w:val="45085E50"/>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7D41268"/>
    <w:rsid w:val="0DA07F51"/>
    <w:rsid w:val="10D60D02"/>
    <w:rsid w:val="11AB1717"/>
    <w:rsid w:val="11EF4694"/>
    <w:rsid w:val="150E71F6"/>
    <w:rsid w:val="1696735F"/>
    <w:rsid w:val="16E14FBF"/>
    <w:rsid w:val="19545A30"/>
    <w:rsid w:val="198E5E9E"/>
    <w:rsid w:val="19BD2CB7"/>
    <w:rsid w:val="1BB9254A"/>
    <w:rsid w:val="1BCF340C"/>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2F6961"/>
    <w:rsid w:val="2FC378C6"/>
    <w:rsid w:val="2FDF17DF"/>
    <w:rsid w:val="302671DA"/>
    <w:rsid w:val="30D15875"/>
    <w:rsid w:val="32441EA5"/>
    <w:rsid w:val="3281623F"/>
    <w:rsid w:val="32944704"/>
    <w:rsid w:val="34D54377"/>
    <w:rsid w:val="36D82316"/>
    <w:rsid w:val="378A70E6"/>
    <w:rsid w:val="37FC75FC"/>
    <w:rsid w:val="383D56F7"/>
    <w:rsid w:val="393C0F46"/>
    <w:rsid w:val="3D231C81"/>
    <w:rsid w:val="3E650D1D"/>
    <w:rsid w:val="3E9002A8"/>
    <w:rsid w:val="3F552A03"/>
    <w:rsid w:val="4095546C"/>
    <w:rsid w:val="44AA028A"/>
    <w:rsid w:val="4603606C"/>
    <w:rsid w:val="47C04769"/>
    <w:rsid w:val="486160DA"/>
    <w:rsid w:val="489F057B"/>
    <w:rsid w:val="4AED3729"/>
    <w:rsid w:val="4BFD3C3F"/>
    <w:rsid w:val="4E473895"/>
    <w:rsid w:val="50110E80"/>
    <w:rsid w:val="511070DA"/>
    <w:rsid w:val="53560822"/>
    <w:rsid w:val="557D67C8"/>
    <w:rsid w:val="571E5CB6"/>
    <w:rsid w:val="59137211"/>
    <w:rsid w:val="597822D2"/>
    <w:rsid w:val="5AF82ECC"/>
    <w:rsid w:val="5C344BB6"/>
    <w:rsid w:val="5DFF20EB"/>
    <w:rsid w:val="5E1C5429"/>
    <w:rsid w:val="5ED418C8"/>
    <w:rsid w:val="5EF71E76"/>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15">
    <w:name w:val="List Paragraph"/>
    <w:basedOn w:val="1"/>
    <w:qFormat/>
    <w:uiPriority w:val="26"/>
    <w:pPr>
      <w:ind w:firstLine="200"/>
    </w:pPr>
    <w:rPr>
      <w:rFonts w:ascii="Times New Roman" w:hAnsi="Times New Roman" w:eastAsia="宋体" w:cs="Times New Roman"/>
      <w:sz w:val="28"/>
      <w:szCs w:val="28"/>
    </w:rPr>
  </w:style>
  <w:style w:type="character" w:customStyle="1" w:styleId="16">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7">
    <w:name w:val="font11"/>
    <w:basedOn w:val="13"/>
    <w:autoRedefine/>
    <w:qFormat/>
    <w:uiPriority w:val="0"/>
    <w:rPr>
      <w:rFonts w:hint="eastAsia" w:ascii="宋体" w:hAnsi="宋体" w:eastAsia="宋体" w:cs="宋体"/>
      <w:color w:val="000000"/>
      <w:sz w:val="24"/>
      <w:szCs w:val="24"/>
      <w:u w:val="none"/>
    </w:rPr>
  </w:style>
  <w:style w:type="character" w:customStyle="1" w:styleId="18">
    <w:name w:val="font31"/>
    <w:basedOn w:val="13"/>
    <w:autoRedefine/>
    <w:qFormat/>
    <w:uiPriority w:val="0"/>
    <w:rPr>
      <w:rFonts w:hint="eastAsia" w:ascii="宋体" w:hAnsi="宋体" w:eastAsia="宋体" w:cs="宋体"/>
      <w:color w:val="000000"/>
      <w:sz w:val="21"/>
      <w:szCs w:val="21"/>
      <w:u w:val="none"/>
    </w:rPr>
  </w:style>
  <w:style w:type="paragraph" w:customStyle="1" w:styleId="19">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0">
    <w:name w:val="font41"/>
    <w:basedOn w:val="13"/>
    <w:autoRedefine/>
    <w:qFormat/>
    <w:uiPriority w:val="0"/>
    <w:rPr>
      <w:rFonts w:ascii="Calibri" w:hAnsi="Calibri" w:cs="Calibri"/>
      <w:color w:val="000000"/>
      <w:sz w:val="28"/>
      <w:szCs w:val="28"/>
      <w:u w:val="none"/>
    </w:rPr>
  </w:style>
  <w:style w:type="character" w:customStyle="1" w:styleId="21">
    <w:name w:val="font21"/>
    <w:basedOn w:val="13"/>
    <w:autoRedefine/>
    <w:qFormat/>
    <w:uiPriority w:val="0"/>
    <w:rPr>
      <w:rFonts w:hint="eastAsia" w:ascii="宋体" w:hAnsi="宋体" w:eastAsia="宋体" w:cs="宋体"/>
      <w:color w:val="000000"/>
      <w:sz w:val="21"/>
      <w:szCs w:val="21"/>
      <w:u w:val="none"/>
    </w:rPr>
  </w:style>
  <w:style w:type="table" w:customStyle="1" w:styleId="22">
    <w:name w:val="网格型1"/>
    <w:basedOn w:val="23"/>
    <w:qFormat/>
    <w:uiPriority w:val="0"/>
    <w:pPr>
      <w:widowControl w:val="0"/>
      <w:jc w:val="both"/>
    </w:pPr>
  </w:style>
  <w:style w:type="table" w:customStyle="1" w:styleId="23">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5077</Words>
  <Characters>5273</Characters>
  <Lines>0</Lines>
  <Paragraphs>0</Paragraphs>
  <TotalTime>0</TotalTime>
  <ScaleCrop>false</ScaleCrop>
  <LinksUpToDate>false</LinksUpToDate>
  <CharactersWithSpaces>5373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2024-12-25T07:30:30Z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D46B6B057F644EBAB6EFD3255FAAD63E_13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