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40"/>
          <w:szCs w:val="40"/>
          <w:lang w:val="en-US" w:eastAsia="zh-CN"/>
        </w:rPr>
      </w:pPr>
      <w:bookmarkStart w:id="1" w:name="_GoBack"/>
      <w:r>
        <w:rPr>
          <w:rFonts w:hint="eastAsia" w:ascii="黑体" w:hAnsi="黑体" w:eastAsia="黑体" w:cs="黑体"/>
          <w:b/>
          <w:sz w:val="40"/>
          <w:szCs w:val="40"/>
          <w:lang w:val="en-US" w:eastAsia="zh-CN"/>
        </w:rPr>
        <w:t>康巴什部新建屏蔽测听室项目</w:t>
      </w:r>
    </w:p>
    <w:bookmarkEnd w:id="1"/>
    <w:p w14:paraId="7CB46423">
      <w:pPr>
        <w:numPr>
          <w:ilvl w:val="0"/>
          <w:numId w:val="0"/>
        </w:numPr>
        <w:ind w:left="0" w:right="0" w:firstLine="0"/>
        <w:jc w:val="center"/>
        <w:rPr>
          <w:rFonts w:hint="eastAsia" w:ascii="黑体" w:hAnsi="黑体" w:eastAsia="黑体" w:cs="黑体"/>
          <w:b/>
          <w:sz w:val="40"/>
          <w:szCs w:val="40"/>
          <w:lang w:val="en-US" w:eastAsia="zh-CN"/>
        </w:rPr>
      </w:pPr>
    </w:p>
    <w:p w14:paraId="13FA719A">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2024年12月26日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A62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9BAACB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F94301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89ECC0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7AF14E8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B55D6E1">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C1064B2">
            <w:pPr>
              <w:rPr>
                <w:rFonts w:hint="eastAsia" w:ascii="宋体" w:hAnsi="宋体" w:eastAsia="宋体" w:cs="宋体"/>
                <w:sz w:val="24"/>
                <w:szCs w:val="24"/>
              </w:rPr>
            </w:pPr>
            <w:r>
              <w:rPr>
                <w:rFonts w:hint="eastAsia" w:ascii="宋体" w:hAnsi="宋体" w:eastAsia="宋体" w:cs="宋体"/>
                <w:sz w:val="24"/>
                <w:szCs w:val="24"/>
              </w:rPr>
              <w:t>预算总价</w:t>
            </w:r>
          </w:p>
        </w:tc>
      </w:tr>
      <w:tr w14:paraId="7A30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9795139">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E765D89">
            <w:pPr>
              <w:rPr>
                <w:rFonts w:hint="eastAsia" w:ascii="宋体" w:hAnsi="宋体" w:eastAsia="宋体" w:cs="宋体"/>
                <w:lang w:eastAsia="zh-CN"/>
              </w:rPr>
            </w:pPr>
            <w:r>
              <w:rPr>
                <w:rFonts w:hint="eastAsia" w:ascii="宋体" w:hAnsi="宋体" w:eastAsia="宋体" w:cs="宋体"/>
                <w:lang w:val="en-US" w:eastAsia="zh-CN"/>
              </w:rPr>
              <w:t>康巴什部新建屏蔽测听室项目</w:t>
            </w:r>
          </w:p>
        </w:tc>
        <w:tc>
          <w:tcPr>
            <w:tcW w:w="903" w:type="dxa"/>
            <w:vAlign w:val="center"/>
          </w:tcPr>
          <w:p w14:paraId="29476B20">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21F38C3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656BD05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265000</w:t>
            </w:r>
          </w:p>
        </w:tc>
        <w:tc>
          <w:tcPr>
            <w:tcW w:w="1596" w:type="dxa"/>
            <w:vAlign w:val="center"/>
          </w:tcPr>
          <w:p w14:paraId="29366956">
            <w:pPr>
              <w:rPr>
                <w:rFonts w:hint="default" w:ascii="宋体" w:hAnsi="宋体" w:eastAsia="宋体" w:cs="宋体"/>
                <w:sz w:val="24"/>
                <w:szCs w:val="24"/>
                <w:lang w:val="en-US"/>
              </w:rPr>
            </w:pPr>
            <w:r>
              <w:rPr>
                <w:rFonts w:hint="eastAsia" w:ascii="宋体" w:hAnsi="宋体" w:eastAsia="宋体" w:cs="宋体"/>
                <w:sz w:val="24"/>
                <w:szCs w:val="24"/>
                <w:lang w:val="en-US" w:eastAsia="zh-CN"/>
              </w:rPr>
              <w:t>265000</w:t>
            </w:r>
          </w:p>
        </w:tc>
      </w:tr>
      <w:tr w14:paraId="408D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7FDBBAB">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3C625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5DF252C3">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具备有效的建筑施工总承包或建筑装修装饰工程专业承包三级及以上资质。</w:t>
            </w:r>
          </w:p>
        </w:tc>
      </w:tr>
      <w:tr w14:paraId="314E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095BCCA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2CDFC77C">
            <w:pPr>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7D609C1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合同签订1日内进场，45日内完工。</w:t>
            </w:r>
          </w:p>
        </w:tc>
      </w:tr>
      <w:tr w14:paraId="1A82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6190CB4B">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303A4D5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7D14304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验收合格后支付审定金额的95%，一年质保期后支付剩余5%。</w:t>
            </w:r>
          </w:p>
        </w:tc>
      </w:tr>
      <w:tr w14:paraId="3029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7403D72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2B4368B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2CA25BF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F9D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7956BFD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346F648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663" w:type="dxa"/>
            <w:gridSpan w:val="4"/>
            <w:vAlign w:val="center"/>
          </w:tcPr>
          <w:p w14:paraId="27B946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7E5D8DFD">
      <w:pPr>
        <w:jc w:val="left"/>
        <w:rPr>
          <w:rFonts w:hint="eastAsia" w:ascii="宋体" w:hAnsi="宋体"/>
          <w:bCs/>
          <w:kern w:val="44"/>
          <w:sz w:val="24"/>
          <w:szCs w:val="24"/>
          <w:lang w:val="zh-CN"/>
        </w:rPr>
      </w:pPr>
    </w:p>
    <w:p w14:paraId="71396699">
      <w:pPr>
        <w:pStyle w:val="16"/>
        <w:rPr>
          <w:rFonts w:hint="eastAsia" w:ascii="宋体" w:hAnsi="宋体"/>
          <w:bCs/>
          <w:kern w:val="44"/>
          <w:sz w:val="24"/>
          <w:szCs w:val="24"/>
          <w:lang w:val="zh-CN"/>
        </w:rPr>
      </w:pPr>
    </w:p>
    <w:p w14:paraId="2F33E230">
      <w:pPr>
        <w:pStyle w:val="16"/>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p w14:paraId="1EB198A5">
      <w:pPr>
        <w:pStyle w:val="5"/>
        <w:rPr>
          <w:rFonts w:hint="eastAsia" w:ascii="仿宋_GB2312" w:hAnsi="仿宋_GB2312" w:eastAsia="仿宋_GB2312" w:cs="仿宋_GB2312"/>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w:t>
      </w:r>
      <w:r>
        <w:rPr>
          <w:rFonts w:hint="eastAsia" w:ascii="仿宋" w:hAnsi="仿宋" w:eastAsia="仿宋" w:cs="仿宋"/>
          <w:b w:val="0"/>
          <w:bCs w:val="0"/>
          <w:sz w:val="32"/>
          <w:szCs w:val="32"/>
          <w:lang w:eastAsia="zh-CN"/>
        </w:rPr>
        <w:t>原有诊疗室内</w:t>
      </w:r>
      <w:r>
        <w:rPr>
          <w:rFonts w:hint="eastAsia" w:ascii="仿宋_GB2312" w:hAnsi="仿宋_GB2312" w:eastAsia="仿宋_GB2312" w:cs="仿宋_GB2312"/>
          <w:color w:val="auto"/>
          <w:sz w:val="32"/>
          <w:szCs w:val="32"/>
          <w:lang w:val="en-US" w:eastAsia="zh-CN"/>
        </w:rPr>
        <w:t>新建一间</w:t>
      </w:r>
      <w:r>
        <w:rPr>
          <w:rFonts w:hint="eastAsia" w:ascii="仿宋_GB2312" w:hAnsi="仿宋_GB2312" w:eastAsia="仿宋_GB2312" w:cs="仿宋_GB2312"/>
          <w:sz w:val="32"/>
          <w:szCs w:val="32"/>
        </w:rPr>
        <w:t>屏蔽测听室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用于脑干诱发电位测试、10MHz-100MHz,屏蔽效能：80dB;符合外部噪音在：65dB(A),本底噪声：20dB(A)标准。</w:t>
      </w:r>
    </w:p>
    <w:p w14:paraId="2E81A862">
      <w:pPr>
        <w:spacing w:line="360"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符合GB/T16296.1-2018标准</w:t>
      </w:r>
      <w:r>
        <w:rPr>
          <w:rFonts w:hint="eastAsia" w:ascii="仿宋_GB2312" w:hAnsi="仿宋_GB2312" w:eastAsia="仿宋_GB2312" w:cs="仿宋_GB2312"/>
          <w:sz w:val="32"/>
          <w:szCs w:val="32"/>
          <w:lang w:eastAsia="zh-CN"/>
        </w:rPr>
        <w:t>。</w:t>
      </w:r>
    </w:p>
    <w:p w14:paraId="795A9F08">
      <w:pPr>
        <w:pStyle w:val="1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此项目以新建</w:t>
      </w:r>
      <w:r>
        <w:rPr>
          <w:rFonts w:hint="eastAsia" w:ascii="仿宋_GB2312" w:hAnsi="仿宋_GB2312" w:eastAsia="仿宋_GB2312" w:cs="仿宋_GB2312"/>
          <w:sz w:val="32"/>
          <w:szCs w:val="32"/>
        </w:rPr>
        <w:t>屏蔽测听室</w:t>
      </w:r>
      <w:r>
        <w:rPr>
          <w:rFonts w:hint="eastAsia" w:ascii="仿宋_GB2312" w:hAnsi="仿宋_GB2312" w:eastAsia="仿宋_GB2312" w:cs="仿宋_GB2312"/>
          <w:sz w:val="32"/>
          <w:szCs w:val="32"/>
          <w:lang w:val="en-US" w:eastAsia="zh-CN"/>
        </w:rPr>
        <w:t>为主，新建造成的原有建筑破坏与拆除未在清单内体现，施工单位自行进行现场勘察核实施工方案确认相关成本，摊销至清单内。</w:t>
      </w:r>
    </w:p>
    <w:p w14:paraId="3532E279">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2"/>
        <w:tblW w:w="9810" w:type="dxa"/>
        <w:jc w:val="center"/>
        <w:tblLayout w:type="fixed"/>
        <w:tblCellMar>
          <w:top w:w="0" w:type="dxa"/>
          <w:left w:w="108" w:type="dxa"/>
          <w:bottom w:w="0" w:type="dxa"/>
          <w:right w:w="108" w:type="dxa"/>
        </w:tblCellMar>
      </w:tblPr>
      <w:tblGrid>
        <w:gridCol w:w="1555"/>
        <w:gridCol w:w="1134"/>
        <w:gridCol w:w="7121"/>
      </w:tblGrid>
      <w:tr w14:paraId="541A0D5C">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E179A3C">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1E89188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79E75E05">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00B4AD3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85303B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0F2A017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33398098">
            <w:pPr>
              <w:widowControl/>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拆除工程：原有部分墙体、原有</w:t>
            </w:r>
            <w:r>
              <w:rPr>
                <w:rFonts w:hint="eastAsia" w:ascii="仿宋_GB2312" w:hAnsi="仿宋_GB2312" w:eastAsia="仿宋_GB2312" w:cs="仿宋_GB2312"/>
                <w:b w:val="0"/>
                <w:bCs w:val="0"/>
                <w:sz w:val="24"/>
                <w:szCs w:val="24"/>
                <w:lang w:eastAsia="zh-CN"/>
              </w:rPr>
              <w:t>暖气、</w:t>
            </w:r>
            <w:r>
              <w:rPr>
                <w:rFonts w:hint="eastAsia" w:ascii="仿宋_GB2312" w:hAnsi="仿宋_GB2312" w:eastAsia="仿宋_GB2312" w:cs="仿宋_GB2312"/>
                <w:b w:val="0"/>
                <w:bCs w:val="0"/>
                <w:sz w:val="24"/>
                <w:szCs w:val="24"/>
              </w:rPr>
              <w:t>线路、</w:t>
            </w:r>
            <w:r>
              <w:rPr>
                <w:rFonts w:hint="eastAsia" w:ascii="仿宋_GB2312" w:hAnsi="仿宋_GB2312" w:eastAsia="仿宋_GB2312" w:cs="仿宋_GB2312"/>
                <w:b w:val="0"/>
                <w:bCs w:val="0"/>
                <w:sz w:val="24"/>
                <w:szCs w:val="24"/>
                <w:lang w:eastAsia="zh-CN"/>
              </w:rPr>
              <w:t>强</w:t>
            </w:r>
            <w:r>
              <w:rPr>
                <w:rFonts w:hint="eastAsia" w:ascii="仿宋_GB2312" w:hAnsi="仿宋_GB2312" w:eastAsia="仿宋_GB2312" w:cs="仿宋_GB2312"/>
                <w:b w:val="0"/>
                <w:bCs w:val="0"/>
                <w:sz w:val="24"/>
                <w:szCs w:val="24"/>
              </w:rPr>
              <w:t>弱电设备等。</w:t>
            </w:r>
          </w:p>
        </w:tc>
      </w:tr>
      <w:tr w14:paraId="0BE9B6B7">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F2771C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03FF2B6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734FB63F">
            <w:pPr>
              <w:pStyle w:val="11"/>
              <w:ind w:left="0" w:leftChars="0" w:firstLine="0" w:firstLineChars="0"/>
              <w:jc w:val="left"/>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sz w:val="24"/>
                <w:szCs w:val="24"/>
                <w:lang w:val="en-US" w:eastAsia="zh-CN"/>
              </w:rPr>
              <w:t>装修工程：墙面门窗开孔及装饰.破损破坏部分恢复安装</w:t>
            </w:r>
          </w:p>
        </w:tc>
      </w:tr>
      <w:tr w14:paraId="7ECCFB4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6ABADD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3BDB27A">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7666EAF2">
            <w:pPr>
              <w:pStyle w:val="11"/>
              <w:ind w:left="0" w:lef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lang w:val="en-US" w:eastAsia="zh-CN"/>
              </w:rPr>
              <w:t>安装工程：新建屏蔽测听室，技术参数如下。</w:t>
            </w:r>
          </w:p>
        </w:tc>
      </w:tr>
      <w:tr w14:paraId="6FD3832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BFF6FF1">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A32FC3F">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w:t>
            </w:r>
          </w:p>
        </w:tc>
        <w:tc>
          <w:tcPr>
            <w:tcW w:w="7121" w:type="dxa"/>
            <w:tcBorders>
              <w:top w:val="single" w:color="auto" w:sz="4" w:space="0"/>
              <w:left w:val="nil"/>
              <w:bottom w:val="single" w:color="auto" w:sz="4" w:space="0"/>
              <w:right w:val="single" w:color="auto" w:sz="4" w:space="0"/>
            </w:tcBorders>
            <w:vAlign w:val="center"/>
          </w:tcPr>
          <w:p w14:paraId="5BD1C8AD">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符合GB/T16296.1-2018标准，本房间用于脑干诱发电位测试、10MHz-100MHz,屏蔽效能：80dB;符合外部噪音在：65dB(A),本底噪声：20dB(A)标准。</w:t>
            </w:r>
          </w:p>
          <w:p w14:paraId="3C9B3106">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标准规格：外部尺寸不小于：3400mm*3200mm*2500mm</w:t>
            </w:r>
          </w:p>
          <w:p w14:paraId="4B58AA9C">
            <w:pPr>
              <w:pStyle w:val="5"/>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内部尺寸不小于：3100mm*2900mm*2150mm</w:t>
            </w:r>
          </w:p>
        </w:tc>
      </w:tr>
      <w:tr w14:paraId="4AA57C8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20A1A7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1554A34">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3.2</w:t>
            </w:r>
          </w:p>
        </w:tc>
        <w:tc>
          <w:tcPr>
            <w:tcW w:w="7121" w:type="dxa"/>
            <w:tcBorders>
              <w:top w:val="single" w:color="auto" w:sz="4" w:space="0"/>
              <w:left w:val="nil"/>
              <w:bottom w:val="single" w:color="auto" w:sz="4" w:space="0"/>
              <w:right w:val="single" w:color="auto" w:sz="4" w:space="0"/>
            </w:tcBorders>
            <w:shd w:val="clear" w:color="auto" w:fill="auto"/>
            <w:vAlign w:val="center"/>
          </w:tcPr>
          <w:p w14:paraId="0A9176E6">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墙体采用双层钢板隔声墙体，3层结构，厚度150mm。(包括钢板壳体、钢板隔声板、金属微孔隔声板，层内填充吸声材料)壳体采用以本钢品牌产品厚度1.5mm的冷轧钢板制成的六面体隔声壳，整体镀锌，表面静电喷塑，六面体与地面之间做隔震处理。室内四周及顶部均做隔声吸音处理，铝质微孔板内饰。</w:t>
            </w:r>
          </w:p>
        </w:tc>
      </w:tr>
      <w:tr w14:paraId="5ACC831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B981487">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0CD39F2">
            <w:pPr>
              <w:widowControl/>
              <w:tabs>
                <w:tab w:val="left" w:pos="407"/>
              </w:tabs>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3.3</w:t>
            </w:r>
          </w:p>
        </w:tc>
        <w:tc>
          <w:tcPr>
            <w:tcW w:w="7121" w:type="dxa"/>
            <w:tcBorders>
              <w:top w:val="single" w:color="auto" w:sz="4" w:space="0"/>
              <w:left w:val="nil"/>
              <w:bottom w:val="single" w:color="auto" w:sz="4" w:space="0"/>
              <w:right w:val="single" w:color="auto" w:sz="4" w:space="0"/>
            </w:tcBorders>
            <w:shd w:val="clear" w:color="auto" w:fill="auto"/>
            <w:vAlign w:val="center"/>
          </w:tcPr>
          <w:p w14:paraId="34C5E2C6">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屏蔽隔声门，采用全金属结构，双磁声闸密封隔声门，四周镶嵌198mm梳形簧片，开关自如，保证隔声指标。外形尺寸：1850mm×850mm</w:t>
            </w:r>
          </w:p>
        </w:tc>
      </w:tr>
      <w:tr w14:paraId="38AF374B">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A9388AA">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34CB4D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3.4</w:t>
            </w:r>
          </w:p>
        </w:tc>
        <w:tc>
          <w:tcPr>
            <w:tcW w:w="7121" w:type="dxa"/>
            <w:tcBorders>
              <w:top w:val="single" w:color="auto" w:sz="4" w:space="0"/>
              <w:left w:val="nil"/>
              <w:bottom w:val="single" w:color="auto" w:sz="4" w:space="0"/>
              <w:right w:val="single" w:color="auto" w:sz="4" w:space="0"/>
            </w:tcBorders>
            <w:shd w:val="clear" w:color="auto" w:fill="auto"/>
            <w:vAlign w:val="center"/>
          </w:tcPr>
          <w:p w14:paraId="57875428">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模块化，工厂定做隔声模块，可拆卸板式结构，现场组装，安装快速，并可多次拆装重组。</w:t>
            </w:r>
          </w:p>
        </w:tc>
      </w:tr>
      <w:tr w14:paraId="0297AE3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573D1D4">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A5A49E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3.5</w:t>
            </w:r>
          </w:p>
        </w:tc>
        <w:tc>
          <w:tcPr>
            <w:tcW w:w="7121" w:type="dxa"/>
            <w:tcBorders>
              <w:top w:val="single" w:color="auto" w:sz="4" w:space="0"/>
              <w:left w:val="nil"/>
              <w:bottom w:val="single" w:color="auto" w:sz="4" w:space="0"/>
              <w:right w:val="single" w:color="auto" w:sz="4" w:space="0"/>
            </w:tcBorders>
            <w:shd w:val="clear" w:color="auto" w:fill="auto"/>
            <w:vAlign w:val="center"/>
          </w:tcPr>
          <w:p w14:paraId="0EA4852B">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隔音材料：内部采用欧文斯科宁吸音棉。并提供环保检测报告。</w:t>
            </w:r>
          </w:p>
        </w:tc>
      </w:tr>
      <w:tr w14:paraId="32B4FFE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4885073">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3890F5AD">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3.6</w:t>
            </w:r>
          </w:p>
        </w:tc>
        <w:tc>
          <w:tcPr>
            <w:tcW w:w="7121" w:type="dxa"/>
            <w:tcBorders>
              <w:top w:val="single" w:color="auto" w:sz="4" w:space="0"/>
              <w:left w:val="nil"/>
              <w:bottom w:val="single" w:color="auto" w:sz="4" w:space="0"/>
              <w:right w:val="single" w:color="auto" w:sz="4" w:space="0"/>
            </w:tcBorders>
            <w:shd w:val="clear" w:color="auto" w:fill="auto"/>
            <w:vAlign w:val="center"/>
          </w:tcPr>
          <w:p w14:paraId="062633E9">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减振浮筑底板，采用隔声阻尼减振浮筑底板，在隔声底板上均匀安装阻尼减振器，以消除大楼的固体传声。隔声室内进行二次浮筑形式，更有效的阻隔刚性传导。减振浮筑底板隔声量≥40dB(A)</w:t>
            </w:r>
          </w:p>
        </w:tc>
      </w:tr>
      <w:tr w14:paraId="040C9DF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21330661">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E5DC26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3.7</w:t>
            </w:r>
          </w:p>
        </w:tc>
        <w:tc>
          <w:tcPr>
            <w:tcW w:w="7121" w:type="dxa"/>
            <w:tcBorders>
              <w:top w:val="single" w:color="auto" w:sz="4" w:space="0"/>
              <w:left w:val="nil"/>
              <w:bottom w:val="single" w:color="auto" w:sz="4" w:space="0"/>
              <w:right w:val="single" w:color="auto" w:sz="4" w:space="0"/>
            </w:tcBorders>
            <w:shd w:val="clear" w:color="auto" w:fill="auto"/>
            <w:vAlign w:val="center"/>
          </w:tcPr>
          <w:p w14:paraId="11AAFD79">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隔、吸音墙体、顶板，内装饰板采用金属板制造的穿孔吸音板，墙体装饰面(除地面)为300mm*1.0mm厚微孔板，开孔率60%,吸声系数达到0.8以上，墙体、顶板隔声量≥50dB(A)</w:t>
            </w:r>
          </w:p>
        </w:tc>
      </w:tr>
      <w:tr w14:paraId="0B48C2C6">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4395DAF">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84D9EF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3.8</w:t>
            </w:r>
          </w:p>
        </w:tc>
        <w:tc>
          <w:tcPr>
            <w:tcW w:w="7121" w:type="dxa"/>
            <w:tcBorders>
              <w:top w:val="single" w:color="auto" w:sz="4" w:space="0"/>
              <w:left w:val="nil"/>
              <w:bottom w:val="single" w:color="auto" w:sz="4" w:space="0"/>
              <w:right w:val="single" w:color="auto" w:sz="4" w:space="0"/>
            </w:tcBorders>
            <w:shd w:val="clear" w:color="auto" w:fill="auto"/>
            <w:vAlign w:val="center"/>
          </w:tcPr>
          <w:p w14:paraId="5A3F902C">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屏蔽隔声窗采用加强型三层中空玻璃隔音窗技术，两中空层，中空层之间采用吸声层可根据客户需求采用单透玻璃，采用大视窗等，隔音窗隔声量≥50dB(A)</w:t>
            </w:r>
          </w:p>
        </w:tc>
      </w:tr>
      <w:tr w14:paraId="7C2D7AFD">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A5DB9AC">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5BB36B0F">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3.9</w:t>
            </w:r>
          </w:p>
        </w:tc>
        <w:tc>
          <w:tcPr>
            <w:tcW w:w="7121" w:type="dxa"/>
            <w:tcBorders>
              <w:top w:val="single" w:color="auto" w:sz="4" w:space="0"/>
              <w:left w:val="nil"/>
              <w:bottom w:val="single" w:color="auto" w:sz="4" w:space="0"/>
              <w:right w:val="single" w:color="auto" w:sz="4" w:space="0"/>
            </w:tcBorders>
            <w:shd w:val="clear" w:color="auto" w:fill="auto"/>
            <w:vAlign w:val="center"/>
          </w:tcPr>
          <w:p w14:paraId="53605C4F">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室内照明系统，按用户要求配置。室内电器的设计安装按标准规范进行并满足要求：屏蔽测听室</w:t>
            </w:r>
            <w:r>
              <w:rPr>
                <w:rFonts w:hint="eastAsia" w:ascii="仿宋_GB2312" w:hAnsi="仿宋_GB2312" w:eastAsia="仿宋_GB2312" w:cs="仿宋_GB2312"/>
                <w:sz w:val="24"/>
                <w:szCs w:val="24"/>
                <w:lang w:eastAsia="zh-CN"/>
              </w:rPr>
              <w:t>配备</w:t>
            </w:r>
            <w:r>
              <w:rPr>
                <w:rFonts w:hint="eastAsia" w:ascii="仿宋_GB2312" w:hAnsi="仿宋_GB2312" w:eastAsia="仿宋_GB2312" w:cs="仿宋_GB2312"/>
                <w:sz w:val="24"/>
                <w:szCs w:val="24"/>
              </w:rPr>
              <w:t>DL-15A电源滤波器1台，电源线通过电源滤波器进入室内。</w:t>
            </w:r>
          </w:p>
        </w:tc>
      </w:tr>
      <w:tr w14:paraId="2552187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3467C44">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88E85A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3.10</w:t>
            </w:r>
          </w:p>
        </w:tc>
        <w:tc>
          <w:tcPr>
            <w:tcW w:w="7121" w:type="dxa"/>
            <w:tcBorders>
              <w:top w:val="single" w:color="auto" w:sz="4" w:space="0"/>
              <w:left w:val="nil"/>
              <w:bottom w:val="single" w:color="auto" w:sz="4" w:space="0"/>
              <w:right w:val="single" w:color="auto" w:sz="4" w:space="0"/>
            </w:tcBorders>
            <w:shd w:val="clear" w:color="auto" w:fill="auto"/>
            <w:vAlign w:val="center"/>
          </w:tcPr>
          <w:p w14:paraId="56F2E28B">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配置要求：LED照明、通风系统、电源插座。电源滤波器、接地系统。电源：外部装有一个电源插头，内部根据仪器需要可安装2个电源插座。</w:t>
            </w:r>
          </w:p>
        </w:tc>
      </w:tr>
      <w:tr w14:paraId="18E33A0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5A15B2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6FAFFB4">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3.11</w:t>
            </w:r>
          </w:p>
        </w:tc>
        <w:tc>
          <w:tcPr>
            <w:tcW w:w="7121" w:type="dxa"/>
            <w:tcBorders>
              <w:top w:val="single" w:color="auto" w:sz="4" w:space="0"/>
              <w:left w:val="nil"/>
              <w:bottom w:val="single" w:color="auto" w:sz="4" w:space="0"/>
              <w:right w:val="single" w:color="auto" w:sz="4" w:space="0"/>
            </w:tcBorders>
            <w:shd w:val="clear" w:color="auto" w:fill="auto"/>
            <w:vAlign w:val="center"/>
          </w:tcPr>
          <w:p w14:paraId="543C87AC">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通风要求进风、回风、排风3条通风道形成通风系统。通风道采用无毒无害的吸声材料，迷路阻尼形式，测听室可在空调开启的情况下工作并保证声学指标。换气量≥120m3/小时，消音处理，消音量大于30dB</w:t>
            </w:r>
          </w:p>
        </w:tc>
      </w:tr>
      <w:tr w14:paraId="0BA9858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803200D">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5934A78">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3.12</w:t>
            </w:r>
          </w:p>
        </w:tc>
        <w:tc>
          <w:tcPr>
            <w:tcW w:w="7121" w:type="dxa"/>
            <w:tcBorders>
              <w:top w:val="single" w:color="auto" w:sz="4" w:space="0"/>
              <w:left w:val="nil"/>
              <w:bottom w:val="single" w:color="auto" w:sz="4" w:space="0"/>
              <w:right w:val="single" w:color="auto" w:sz="4" w:space="0"/>
            </w:tcBorders>
            <w:shd w:val="clear" w:color="auto" w:fill="auto"/>
            <w:vAlign w:val="center"/>
          </w:tcPr>
          <w:p w14:paraId="44BF73C0">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地面材料及要求：地面为浮筑(隔震)装置，采用浮筑系统若干组。浮起钢制地框、钢板壳体。壳体内部地面为隔声板、塑胶地板。</w:t>
            </w:r>
          </w:p>
        </w:tc>
      </w:tr>
      <w:tr w14:paraId="3D1B4CF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AFC5962">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3C363C4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3.13</w:t>
            </w:r>
          </w:p>
        </w:tc>
        <w:tc>
          <w:tcPr>
            <w:tcW w:w="7121" w:type="dxa"/>
            <w:tcBorders>
              <w:top w:val="single" w:color="auto" w:sz="4" w:space="0"/>
              <w:left w:val="nil"/>
              <w:bottom w:val="single" w:color="auto" w:sz="4" w:space="0"/>
              <w:right w:val="single" w:color="auto" w:sz="4" w:space="0"/>
            </w:tcBorders>
            <w:shd w:val="clear" w:color="auto" w:fill="auto"/>
            <w:vAlign w:val="center"/>
          </w:tcPr>
          <w:p w14:paraId="07093A9F">
            <w:pPr>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听觉语音评估室配备语言传输工具一套，可与人工耳蜗、助听器连接。自动根据环境噪声实时调节言语信号声强弱，有效改善聆听效果。频率范围：2400-2483.5MHZ，频率容限：≤20ppm，发射功率：≤20dBm(EIRP)，占用带宽：≤2MHz，杂散发射限值：≤-30dBm（中标后提供无线电发射设备型号核准证备查）。</w:t>
            </w:r>
          </w:p>
        </w:tc>
      </w:tr>
      <w:tr w14:paraId="7722F46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1BF97D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9BCEB83">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3.14</w:t>
            </w:r>
          </w:p>
        </w:tc>
        <w:tc>
          <w:tcPr>
            <w:tcW w:w="7121" w:type="dxa"/>
            <w:tcBorders>
              <w:top w:val="single" w:color="auto" w:sz="4" w:space="0"/>
              <w:left w:val="nil"/>
              <w:bottom w:val="single" w:color="auto" w:sz="4" w:space="0"/>
              <w:right w:val="single" w:color="auto" w:sz="4" w:space="0"/>
            </w:tcBorders>
            <w:shd w:val="clear" w:color="auto" w:fill="auto"/>
            <w:vAlign w:val="center"/>
          </w:tcPr>
          <w:p w14:paraId="2130443A">
            <w:pPr>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为达到更好的消音作用和混响时间，在屏蔽测听室四面墙壁加装300*300*125金属冲孔消音尖劈。</w:t>
            </w:r>
          </w:p>
        </w:tc>
      </w:tr>
    </w:tbl>
    <w:p w14:paraId="6F690FE6">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183B3E57">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3221D93E">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5D1F2D79">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6463DA88">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0EEE5615">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1C1A42FB">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1853FF5C">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4366F9A5">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14C6F421">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3A9EACDE">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4E1073DC">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209B112F">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2D1999C7">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704D1F8B">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19BD2DA0">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0B6968F7">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53BB2AB6">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21BA7358">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6F9BBCC8">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66C46F27">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2B6B3343">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11865953">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5938E4A5">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7DB3760B">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4CDD16DC">
      <w:pPr>
        <w:pStyle w:val="16"/>
        <w:widowControl w:val="0"/>
        <w:numPr>
          <w:numId w:val="0"/>
        </w:numPr>
        <w:adjustRightInd w:val="0"/>
        <w:spacing w:line="360" w:lineRule="atLeast"/>
        <w:jc w:val="both"/>
        <w:textAlignment w:val="baseline"/>
        <w:rPr>
          <w:rFonts w:hint="eastAsia" w:hAnsi="宋体"/>
          <w:bCs/>
          <w:kern w:val="44"/>
          <w:sz w:val="24"/>
          <w:szCs w:val="24"/>
          <w:lang w:val="en-US" w:eastAsia="zh-CN"/>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十六、技术参数响应表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966A4B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368DF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2A0FB7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2"/>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09B34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39A865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192F4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984AF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39B174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F536F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004E9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32FB00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750B87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0EACAC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4557EF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十六、技术参数响应表</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D085E19">
      <w:pPr>
        <w:pageBreakBefore w:val="0"/>
        <w:wordWrap w:val="0"/>
        <w:autoSpaceDE/>
        <w:autoSpaceDN/>
        <w:bidi w:val="0"/>
        <w:snapToGrid/>
        <w:spacing w:line="360" w:lineRule="auto"/>
        <w:jc w:val="left"/>
        <w:rPr>
          <w:rFonts w:hint="default" w:ascii="宋体" w:hAnsi="宋体" w:eastAsia="宋体" w:cs="宋体"/>
          <w:b/>
          <w:bCs/>
          <w:sz w:val="28"/>
          <w:szCs w:val="28"/>
          <w:lang w:val="en-US" w:eastAsia="zh-CN"/>
        </w:rPr>
      </w:pPr>
      <w:r>
        <w:rPr>
          <w:rFonts w:hint="eastAsia" w:ascii="宋体" w:hAnsi="宋体" w:eastAsia="宋体" w:cs="宋体"/>
          <w:color w:val="000000"/>
          <w:sz w:val="24"/>
          <w:szCs w:val="24"/>
          <w:lang w:val="en-US" w:eastAsia="zh-CN" w:bidi="zh-CN"/>
        </w:rPr>
        <w:t xml:space="preserve">3.“备注”处可填写偏离情况的具体说明。 </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十七、其他</w:t>
      </w:r>
    </w:p>
    <w:p w14:paraId="154E2E49">
      <w:pPr>
        <w:tabs>
          <w:tab w:val="left" w:pos="876"/>
        </w:tabs>
        <w:bidi w:val="0"/>
        <w:jc w:val="left"/>
        <w:rPr>
          <w:rFonts w:hint="default"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CE15E"/>
    <w:multiLevelType w:val="singleLevel"/>
    <w:tmpl w:val="240CE15E"/>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45085E50"/>
    <w:multiLevelType w:val="singleLevel"/>
    <w:tmpl w:val="45085E50"/>
    <w:lvl w:ilvl="0" w:tentative="0">
      <w:start w:val="2"/>
      <w:numFmt w:val="chineseCounting"/>
      <w:suff w:val="nothing"/>
      <w:lvlText w:val="%1、"/>
      <w:lvlJc w:val="left"/>
      <w:rPr>
        <w:rFonts w:hint="eastAsia"/>
      </w:r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39686D"/>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85B63DB"/>
    <w:rsid w:val="393C0F46"/>
    <w:rsid w:val="3D231C81"/>
    <w:rsid w:val="3E650D1D"/>
    <w:rsid w:val="3E9002A8"/>
    <w:rsid w:val="3F552A03"/>
    <w:rsid w:val="4095546C"/>
    <w:rsid w:val="44AA028A"/>
    <w:rsid w:val="4603606C"/>
    <w:rsid w:val="47C04769"/>
    <w:rsid w:val="48013092"/>
    <w:rsid w:val="486160DA"/>
    <w:rsid w:val="489F057B"/>
    <w:rsid w:val="4AED3729"/>
    <w:rsid w:val="4BFD3C3F"/>
    <w:rsid w:val="4E473895"/>
    <w:rsid w:val="4F716D4F"/>
    <w:rsid w:val="50110E80"/>
    <w:rsid w:val="511070DA"/>
    <w:rsid w:val="53560822"/>
    <w:rsid w:val="557D67C8"/>
    <w:rsid w:val="570E1063"/>
    <w:rsid w:val="571E5CB6"/>
    <w:rsid w:val="59137211"/>
    <w:rsid w:val="597822D2"/>
    <w:rsid w:val="5AF82ECC"/>
    <w:rsid w:val="5C344BB6"/>
    <w:rsid w:val="5DFF20EB"/>
    <w:rsid w:val="5E1C5429"/>
    <w:rsid w:val="5ED418C8"/>
    <w:rsid w:val="5EF71E76"/>
    <w:rsid w:val="60CF1B28"/>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11">
    <w:name w:val="Body Text First Indent 2"/>
    <w:basedOn w:val="4"/>
    <w:qFormat/>
    <w:uiPriority w:val="0"/>
    <w:pPr>
      <w:ind w:firstLine="420" w:firstLineChars="200"/>
    </w:p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31"/>
    <w:basedOn w:val="14"/>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4"/>
    <w:autoRedefine/>
    <w:qFormat/>
    <w:uiPriority w:val="0"/>
    <w:rPr>
      <w:rFonts w:ascii="Calibri" w:hAnsi="Calibri" w:cs="Calibri"/>
      <w:color w:val="000000"/>
      <w:sz w:val="28"/>
      <w:szCs w:val="28"/>
      <w:u w:val="none"/>
    </w:rPr>
  </w:style>
  <w:style w:type="character" w:customStyle="1" w:styleId="23">
    <w:name w:val="font21"/>
    <w:basedOn w:val="14"/>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5768</Words>
  <Characters>5916</Characters>
  <Lines>0</Lines>
  <Paragraphs>0</Paragraphs>
  <TotalTime>1</TotalTime>
  <ScaleCrop>false</ScaleCrop>
  <LinksUpToDate>false</LinksUpToDate>
  <CharactersWithSpaces>6394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2024-12-26T01:33:13Z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8DB41D39D84746BAA3D368F0715A4CA6_13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