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D9AB0">
      <w:pPr>
        <w:numPr>
          <w:ilvl w:val="0"/>
          <w:numId w:val="0"/>
        </w:numPr>
        <w:ind w:left="0" w:right="0" w:firstLine="0"/>
        <w:jc w:val="center"/>
        <w:rPr>
          <w:rFonts w:hint="eastAsia"/>
          <w:b/>
          <w:sz w:val="44"/>
          <w:szCs w:val="44"/>
          <w:lang w:val="en-US" w:eastAsia="zh-CN"/>
        </w:rPr>
      </w:pPr>
    </w:p>
    <w:p w14:paraId="684DD0B3">
      <w:pPr>
        <w:numPr>
          <w:ilvl w:val="0"/>
          <w:numId w:val="0"/>
        </w:numPr>
        <w:ind w:left="0" w:right="0" w:firstLine="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鄂尔多斯市中心医院</w:t>
      </w:r>
    </w:p>
    <w:p w14:paraId="086BE59A">
      <w:pPr>
        <w:numPr>
          <w:ilvl w:val="0"/>
          <w:numId w:val="0"/>
        </w:numPr>
        <w:ind w:left="0" w:right="0" w:firstLine="0"/>
        <w:jc w:val="center"/>
        <w:rPr>
          <w:rFonts w:hint="eastAsia" w:ascii="黑体" w:hAnsi="黑体" w:eastAsia="黑体" w:cs="黑体"/>
          <w:b/>
          <w:sz w:val="44"/>
          <w:szCs w:val="44"/>
          <w:lang w:val="en-US" w:eastAsia="zh-CN"/>
        </w:rPr>
      </w:pPr>
    </w:p>
    <w:p w14:paraId="5F2552D7">
      <w:pPr>
        <w:numPr>
          <w:ilvl w:val="0"/>
          <w:numId w:val="0"/>
        </w:numPr>
        <w:ind w:left="0" w:right="0" w:firstLine="0"/>
        <w:jc w:val="center"/>
        <w:rPr>
          <w:rFonts w:hint="eastAsia" w:ascii="黑体" w:hAnsi="黑体" w:eastAsia="黑体" w:cs="黑体"/>
          <w:b/>
          <w:sz w:val="44"/>
          <w:szCs w:val="44"/>
          <w:lang w:val="en-US" w:eastAsia="zh-CN"/>
        </w:rPr>
      </w:pPr>
    </w:p>
    <w:p w14:paraId="0D17DFA1">
      <w:pPr>
        <w:numPr>
          <w:ilvl w:val="0"/>
          <w:numId w:val="0"/>
        </w:numPr>
        <w:ind w:left="0" w:right="0" w:firstLine="40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院内招标采购招标文件</w:t>
      </w:r>
    </w:p>
    <w:p w14:paraId="39C8D184">
      <w:pPr>
        <w:numPr>
          <w:ilvl w:val="0"/>
          <w:numId w:val="0"/>
        </w:numPr>
        <w:ind w:left="0" w:right="0" w:firstLine="0"/>
        <w:rPr>
          <w:rFonts w:hint="eastAsia"/>
          <w:b/>
          <w:sz w:val="28"/>
          <w:szCs w:val="28"/>
          <w:lang w:val="en-US" w:eastAsia="zh-CN"/>
        </w:rPr>
      </w:pPr>
    </w:p>
    <w:p w14:paraId="0607B5DF">
      <w:pPr>
        <w:numPr>
          <w:ilvl w:val="0"/>
          <w:numId w:val="0"/>
        </w:numPr>
        <w:ind w:left="0" w:right="0" w:firstLine="0"/>
        <w:rPr>
          <w:rFonts w:hint="eastAsia"/>
          <w:b/>
          <w:sz w:val="28"/>
          <w:szCs w:val="28"/>
          <w:lang w:val="en-US" w:eastAsia="zh-CN"/>
        </w:rPr>
      </w:pPr>
      <w:r>
        <w:rPr>
          <w:rFonts w:hint="eastAsia"/>
          <w:lang w:val="en-US" w:eastAsia="zh-CN"/>
        </w:rPr>
        <w:t xml:space="preserve">                          </w:t>
      </w:r>
      <w:r>
        <w:rPr>
          <w:rFonts w:hint="eastAsia"/>
          <w:b/>
          <w:sz w:val="28"/>
          <w:szCs w:val="28"/>
          <w:lang w:val="en-US" w:eastAsia="zh-CN"/>
        </w:rPr>
        <w:drawing>
          <wp:inline distT="0" distB="0" distL="114300" distR="114300">
            <wp:extent cx="2361565" cy="2361565"/>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361565" cy="2361565"/>
                    </a:xfrm>
                    <a:prstGeom prst="rect">
                      <a:avLst/>
                    </a:prstGeom>
                  </pic:spPr>
                </pic:pic>
              </a:graphicData>
            </a:graphic>
          </wp:inline>
        </w:drawing>
      </w:r>
    </w:p>
    <w:p w14:paraId="209AD079">
      <w:pPr>
        <w:numPr>
          <w:ilvl w:val="0"/>
          <w:numId w:val="0"/>
        </w:numPr>
        <w:ind w:left="0" w:right="0" w:firstLine="1500"/>
        <w:rPr>
          <w:rFonts w:hint="eastAsia"/>
          <w:b w:val="0"/>
          <w:sz w:val="28"/>
          <w:szCs w:val="28"/>
          <w:lang w:val="en-US" w:eastAsia="zh-CN"/>
        </w:rPr>
      </w:pPr>
    </w:p>
    <w:p w14:paraId="373513DC">
      <w:pPr>
        <w:pStyle w:val="4"/>
        <w:rPr>
          <w:rFonts w:hint="eastAsia"/>
          <w:b w:val="0"/>
          <w:sz w:val="28"/>
          <w:szCs w:val="28"/>
          <w:lang w:val="en-US" w:eastAsia="zh-CN"/>
        </w:rPr>
      </w:pPr>
    </w:p>
    <w:p w14:paraId="74273CD7">
      <w:pPr>
        <w:rPr>
          <w:rFonts w:hint="eastAsia"/>
          <w:b w:val="0"/>
          <w:sz w:val="28"/>
          <w:szCs w:val="28"/>
          <w:lang w:val="en-US" w:eastAsia="zh-CN"/>
        </w:rPr>
      </w:pPr>
    </w:p>
    <w:p w14:paraId="01264F2F">
      <w:pPr>
        <w:pStyle w:val="4"/>
        <w:rPr>
          <w:rFonts w:hint="eastAsia"/>
          <w:lang w:val="en-US" w:eastAsia="zh-CN"/>
        </w:rPr>
      </w:pPr>
    </w:p>
    <w:p w14:paraId="6107FB2A">
      <w:pPr>
        <w:numPr>
          <w:ilvl w:val="0"/>
          <w:numId w:val="0"/>
        </w:numPr>
        <w:ind w:left="0" w:right="0" w:firstLine="0"/>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 xml:space="preserve">                 </w:t>
      </w:r>
    </w:p>
    <w:p w14:paraId="7CB46423">
      <w:pPr>
        <w:numPr>
          <w:ilvl w:val="0"/>
          <w:numId w:val="0"/>
        </w:numPr>
        <w:ind w:left="0" w:right="0" w:firstLine="0"/>
        <w:jc w:val="center"/>
        <w:rPr>
          <w:rFonts w:hint="eastAsia" w:ascii="黑体" w:hAnsi="黑体" w:eastAsia="黑体" w:cs="黑体"/>
          <w:b/>
          <w:sz w:val="40"/>
          <w:szCs w:val="40"/>
          <w:lang w:val="en-US" w:eastAsia="zh-CN"/>
        </w:rPr>
      </w:pPr>
      <w:r>
        <w:rPr>
          <w:rFonts w:hint="eastAsia" w:ascii="黑体" w:hAnsi="黑体" w:eastAsia="黑体" w:cs="黑体"/>
          <w:b/>
          <w:sz w:val="40"/>
          <w:szCs w:val="40"/>
          <w:lang w:val="en-US" w:eastAsia="zh-CN"/>
        </w:rPr>
        <w:t>通风自动控制系统项目</w:t>
      </w:r>
    </w:p>
    <w:p w14:paraId="13FA719A">
      <w:pPr>
        <w:numPr>
          <w:ilvl w:val="0"/>
          <w:numId w:val="0"/>
        </w:numPr>
        <w:ind w:left="0" w:right="0" w:firstLine="0"/>
        <w:jc w:val="center"/>
        <w:rPr>
          <w:rFonts w:hint="eastAsia" w:ascii="黑体" w:hAnsi="黑体" w:eastAsia="黑体" w:cs="黑体"/>
          <w:b/>
          <w:sz w:val="40"/>
          <w:szCs w:val="40"/>
          <w:lang w:val="en-US" w:eastAsia="zh-CN"/>
        </w:rPr>
      </w:pPr>
      <w:r>
        <w:rPr>
          <w:rFonts w:hint="eastAsia" w:ascii="黑体" w:hAnsi="黑体" w:eastAsia="黑体" w:cs="黑体"/>
          <w:b/>
          <w:sz w:val="40"/>
          <w:szCs w:val="40"/>
          <w:lang w:val="en-US" w:eastAsia="zh-CN"/>
        </w:rPr>
        <w:t>2025年1月3日</w:t>
      </w:r>
    </w:p>
    <w:p w14:paraId="5CEAB00E">
      <w:pPr>
        <w:numPr>
          <w:ilvl w:val="0"/>
          <w:numId w:val="0"/>
        </w:numPr>
        <w:ind w:left="0" w:right="0" w:firstLine="0"/>
        <w:rPr>
          <w:rFonts w:hint="eastAsia"/>
          <w:b/>
          <w:sz w:val="28"/>
          <w:szCs w:val="28"/>
          <w:lang w:val="en-US" w:eastAsia="zh-CN"/>
        </w:rPr>
      </w:pPr>
    </w:p>
    <w:p w14:paraId="73DC14F7">
      <w:pPr>
        <w:numPr>
          <w:ilvl w:val="0"/>
          <w:numId w:val="0"/>
        </w:numPr>
        <w:ind w:left="0" w:right="0" w:firstLine="200"/>
        <w:rPr>
          <w:rFonts w:hint="eastAsia"/>
          <w:b/>
          <w:sz w:val="28"/>
          <w:szCs w:val="28"/>
          <w:lang w:val="en-US" w:eastAsia="zh-CN"/>
        </w:rPr>
      </w:pPr>
    </w:p>
    <w:p w14:paraId="496E3A4F">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32"/>
          <w:szCs w:val="32"/>
          <w:lang w:val="en-US" w:eastAsia="zh-CN"/>
        </w:rPr>
      </w:pPr>
    </w:p>
    <w:p w14:paraId="55F03AD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32"/>
          <w:szCs w:val="32"/>
          <w:lang w:val="en-US" w:eastAsia="zh-CN"/>
        </w:rPr>
      </w:pPr>
    </w:p>
    <w:p w14:paraId="287FC755">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第一章 产品信息</w:t>
      </w:r>
    </w:p>
    <w:p w14:paraId="54A64919">
      <w:pPr>
        <w:jc w:val="left"/>
        <w:rPr>
          <w:rFonts w:hint="default" w:ascii="宋体" w:hAnsi="宋体" w:eastAsia="宋体"/>
          <w:bCs/>
          <w:kern w:val="44"/>
          <w:sz w:val="24"/>
          <w:szCs w:val="24"/>
          <w:lang w:val="en-US" w:eastAsia="zh-CN"/>
        </w:rPr>
      </w:pPr>
      <w:r>
        <w:rPr>
          <w:rFonts w:hint="eastAsia" w:ascii="宋体" w:hAnsi="宋体"/>
          <w:bCs/>
          <w:kern w:val="44"/>
          <w:sz w:val="24"/>
          <w:szCs w:val="24"/>
          <w:lang w:val="zh-CN"/>
        </w:rPr>
        <w:t>一.主要商务要求</w:t>
      </w:r>
      <w:r>
        <w:rPr>
          <w:rFonts w:hint="eastAsia" w:ascii="宋体" w:hAnsi="宋体" w:eastAsia="宋体"/>
          <w:bCs/>
          <w:kern w:val="44"/>
          <w:sz w:val="24"/>
          <w:szCs w:val="24"/>
          <w:lang w:val="en-US" w:eastAsia="zh-CN"/>
        </w:rPr>
        <w:t xml:space="preserve">                                          金额：元</w:t>
      </w:r>
    </w:p>
    <w:tbl>
      <w:tblPr>
        <w:tblStyle w:val="12"/>
        <w:tblW w:w="91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608"/>
        <w:gridCol w:w="2052"/>
      </w:tblGrid>
      <w:tr w14:paraId="467B5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2E0821E2">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15FBEADF">
            <w:pP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1598DA0D">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40FAB5CD">
            <w:pPr>
              <w:rPr>
                <w:rFonts w:hint="eastAsia" w:ascii="宋体" w:hAnsi="宋体" w:eastAsia="宋体" w:cs="宋体"/>
                <w:sz w:val="24"/>
                <w:szCs w:val="24"/>
              </w:rPr>
            </w:pPr>
            <w:r>
              <w:rPr>
                <w:rFonts w:hint="eastAsia" w:ascii="宋体" w:hAnsi="宋体" w:eastAsia="宋体" w:cs="宋体"/>
                <w:sz w:val="24"/>
                <w:szCs w:val="24"/>
              </w:rPr>
              <w:t>数量</w:t>
            </w:r>
          </w:p>
        </w:tc>
        <w:tc>
          <w:tcPr>
            <w:tcW w:w="1608" w:type="dxa"/>
            <w:vAlign w:val="center"/>
          </w:tcPr>
          <w:p w14:paraId="227467C6">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预算单价</w:t>
            </w:r>
          </w:p>
        </w:tc>
        <w:tc>
          <w:tcPr>
            <w:tcW w:w="2052" w:type="dxa"/>
            <w:vAlign w:val="center"/>
          </w:tcPr>
          <w:p w14:paraId="0531D532">
            <w:pPr>
              <w:ind w:firstLine="240" w:firstLineChars="100"/>
              <w:rPr>
                <w:rFonts w:hint="eastAsia" w:ascii="宋体" w:hAnsi="宋体" w:eastAsia="宋体" w:cs="宋体"/>
                <w:sz w:val="24"/>
                <w:szCs w:val="24"/>
              </w:rPr>
            </w:pPr>
            <w:r>
              <w:rPr>
                <w:rFonts w:hint="eastAsia" w:ascii="宋体" w:hAnsi="宋体" w:eastAsia="宋体" w:cs="宋体"/>
                <w:sz w:val="24"/>
                <w:szCs w:val="24"/>
              </w:rPr>
              <w:t>预算总价</w:t>
            </w:r>
          </w:p>
        </w:tc>
      </w:tr>
      <w:tr w14:paraId="011D5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jc w:val="center"/>
        </w:trPr>
        <w:tc>
          <w:tcPr>
            <w:tcW w:w="939" w:type="dxa"/>
            <w:vAlign w:val="center"/>
          </w:tcPr>
          <w:p w14:paraId="0C223EF1">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530896C0">
            <w:pPr>
              <w:keepNext w:val="0"/>
              <w:keepLines w:val="0"/>
              <w:widowControl/>
              <w:suppressLineNumbers w:val="0"/>
              <w:jc w:val="both"/>
              <w:textAlignment w:val="center"/>
              <w:rPr>
                <w:rFonts w:hint="default" w:ascii="宋体" w:hAnsi="宋体" w:eastAsia="宋体" w:cs="宋体"/>
                <w:lang w:val="en-US" w:eastAsia="zh-CN"/>
              </w:rPr>
            </w:pPr>
            <w:r>
              <w:rPr>
                <w:rFonts w:hint="eastAsia" w:ascii="宋体" w:hAnsi="宋体" w:eastAsia="宋体" w:cs="宋体"/>
                <w:lang w:val="en-US" w:eastAsia="zh-CN"/>
              </w:rPr>
              <w:t>通风自动控制系统项目</w:t>
            </w:r>
          </w:p>
        </w:tc>
        <w:tc>
          <w:tcPr>
            <w:tcW w:w="903" w:type="dxa"/>
            <w:vAlign w:val="center"/>
          </w:tcPr>
          <w:p w14:paraId="641F4E8B">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项</w:t>
            </w:r>
          </w:p>
        </w:tc>
        <w:tc>
          <w:tcPr>
            <w:tcW w:w="826" w:type="dxa"/>
            <w:vAlign w:val="center"/>
          </w:tcPr>
          <w:p w14:paraId="0B359F63">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608" w:type="dxa"/>
            <w:vAlign w:val="center"/>
          </w:tcPr>
          <w:p w14:paraId="7D150D09">
            <w:pPr>
              <w:keepNext w:val="0"/>
              <w:keepLines w:val="0"/>
              <w:widowControl/>
              <w:suppressLineNumbers w:val="0"/>
              <w:jc w:val="center"/>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400000</w:t>
            </w:r>
          </w:p>
        </w:tc>
        <w:tc>
          <w:tcPr>
            <w:tcW w:w="2052" w:type="dxa"/>
            <w:vAlign w:val="center"/>
          </w:tcPr>
          <w:p w14:paraId="2E4D6B5C">
            <w:pPr>
              <w:keepNext w:val="0"/>
              <w:keepLines w:val="0"/>
              <w:widowControl/>
              <w:suppressLineNumbers w:val="0"/>
              <w:jc w:val="center"/>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400000</w:t>
            </w:r>
          </w:p>
        </w:tc>
      </w:tr>
      <w:tr w14:paraId="25F96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939" w:type="dxa"/>
            <w:vAlign w:val="center"/>
          </w:tcPr>
          <w:p w14:paraId="180C3270">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2865" w:type="dxa"/>
            <w:vAlign w:val="center"/>
          </w:tcPr>
          <w:p w14:paraId="15A09B1A">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资质要求</w:t>
            </w:r>
          </w:p>
        </w:tc>
        <w:tc>
          <w:tcPr>
            <w:tcW w:w="5389" w:type="dxa"/>
            <w:gridSpan w:val="4"/>
            <w:vAlign w:val="center"/>
          </w:tcPr>
          <w:p w14:paraId="669DD5A1">
            <w:pPr>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无</w:t>
            </w:r>
          </w:p>
        </w:tc>
      </w:tr>
      <w:tr w14:paraId="43DE1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jc w:val="center"/>
        </w:trPr>
        <w:tc>
          <w:tcPr>
            <w:tcW w:w="939" w:type="dxa"/>
            <w:vAlign w:val="center"/>
          </w:tcPr>
          <w:p w14:paraId="2FAFB2EE">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865" w:type="dxa"/>
            <w:vAlign w:val="center"/>
          </w:tcPr>
          <w:p w14:paraId="10C87A76">
            <w:pPr>
              <w:rPr>
                <w:rFonts w:hint="eastAsia" w:ascii="宋体" w:hAnsi="宋体" w:eastAsia="宋体" w:cs="宋体"/>
                <w:sz w:val="24"/>
                <w:szCs w:val="24"/>
              </w:rPr>
            </w:pPr>
            <w:r>
              <w:rPr>
                <w:rFonts w:hint="eastAsia" w:ascii="宋体" w:hAnsi="宋体" w:eastAsia="宋体" w:cs="宋体"/>
                <w:sz w:val="24"/>
                <w:szCs w:val="24"/>
              </w:rPr>
              <w:t>付款方式</w:t>
            </w:r>
          </w:p>
        </w:tc>
        <w:tc>
          <w:tcPr>
            <w:tcW w:w="5389" w:type="dxa"/>
            <w:gridSpan w:val="4"/>
            <w:vAlign w:val="center"/>
          </w:tcPr>
          <w:p w14:paraId="3E9BB6FA">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验收合格后一次性付清</w:t>
            </w:r>
          </w:p>
        </w:tc>
      </w:tr>
      <w:tr w14:paraId="2F72C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939" w:type="dxa"/>
            <w:vAlign w:val="center"/>
          </w:tcPr>
          <w:p w14:paraId="3B08FB03">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865" w:type="dxa"/>
            <w:vAlign w:val="center"/>
          </w:tcPr>
          <w:p w14:paraId="70379A66">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交付使用时间</w:t>
            </w:r>
          </w:p>
        </w:tc>
        <w:tc>
          <w:tcPr>
            <w:tcW w:w="5389" w:type="dxa"/>
            <w:gridSpan w:val="4"/>
            <w:vAlign w:val="center"/>
          </w:tcPr>
          <w:p w14:paraId="398E183A">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合同签订后15日内。</w:t>
            </w:r>
          </w:p>
        </w:tc>
      </w:tr>
      <w:tr w14:paraId="74B16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939" w:type="dxa"/>
            <w:vAlign w:val="center"/>
          </w:tcPr>
          <w:p w14:paraId="242191E7">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865" w:type="dxa"/>
            <w:vAlign w:val="center"/>
          </w:tcPr>
          <w:p w14:paraId="70A8560E">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质保期</w:t>
            </w:r>
          </w:p>
        </w:tc>
        <w:tc>
          <w:tcPr>
            <w:tcW w:w="5389" w:type="dxa"/>
            <w:gridSpan w:val="4"/>
            <w:vAlign w:val="center"/>
          </w:tcPr>
          <w:p w14:paraId="646E2CE2">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1年（验收合格之日算起）</w:t>
            </w:r>
          </w:p>
        </w:tc>
      </w:tr>
      <w:tr w14:paraId="376EB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939" w:type="dxa"/>
            <w:vAlign w:val="center"/>
          </w:tcPr>
          <w:p w14:paraId="60E50DC4">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865" w:type="dxa"/>
            <w:vAlign w:val="center"/>
          </w:tcPr>
          <w:p w14:paraId="3E9266A1">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服务地点</w:t>
            </w:r>
          </w:p>
        </w:tc>
        <w:tc>
          <w:tcPr>
            <w:tcW w:w="5389" w:type="dxa"/>
            <w:gridSpan w:val="4"/>
            <w:vAlign w:val="center"/>
          </w:tcPr>
          <w:p w14:paraId="12B881FB">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鄂尔多斯市中心医院（康巴什部）</w:t>
            </w:r>
          </w:p>
        </w:tc>
      </w:tr>
    </w:tbl>
    <w:p w14:paraId="59A24F84">
      <w:pPr>
        <w:jc w:val="left"/>
        <w:rPr>
          <w:rFonts w:hint="eastAsia" w:ascii="宋体" w:hAnsi="宋体"/>
          <w:bCs/>
          <w:kern w:val="44"/>
          <w:sz w:val="24"/>
          <w:szCs w:val="24"/>
          <w:lang w:val="zh-CN"/>
        </w:rPr>
      </w:pPr>
    </w:p>
    <w:p w14:paraId="71396699">
      <w:pPr>
        <w:pStyle w:val="14"/>
        <w:rPr>
          <w:rFonts w:hint="eastAsia" w:ascii="宋体" w:hAnsi="宋体"/>
          <w:bCs/>
          <w:kern w:val="44"/>
          <w:sz w:val="24"/>
          <w:szCs w:val="24"/>
          <w:lang w:val="zh-CN"/>
        </w:rPr>
      </w:pPr>
    </w:p>
    <w:p w14:paraId="2F33E230">
      <w:pPr>
        <w:pStyle w:val="14"/>
        <w:numPr>
          <w:ilvl w:val="0"/>
          <w:numId w:val="1"/>
        </w:numPr>
        <w:rPr>
          <w:rFonts w:hint="eastAsia" w:hAnsi="宋体"/>
          <w:bCs/>
          <w:kern w:val="44"/>
          <w:sz w:val="24"/>
          <w:szCs w:val="24"/>
          <w:lang w:val="en-US" w:eastAsia="zh-CN"/>
        </w:rPr>
      </w:pPr>
      <w:r>
        <w:rPr>
          <w:rFonts w:hint="eastAsia" w:hAnsi="宋体"/>
          <w:bCs/>
          <w:kern w:val="44"/>
          <w:sz w:val="24"/>
          <w:szCs w:val="24"/>
          <w:lang w:val="en-US" w:eastAsia="zh-CN"/>
        </w:rPr>
        <w:t>技术服务要求</w:t>
      </w:r>
    </w:p>
    <w:tbl>
      <w:tblPr>
        <w:tblStyle w:val="11"/>
        <w:tblW w:w="9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
        <w:gridCol w:w="590"/>
        <w:gridCol w:w="743"/>
        <w:gridCol w:w="8629"/>
      </w:tblGrid>
      <w:tr w14:paraId="46FC9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12" w:type="dxa"/>
            <w:gridSpan w:val="2"/>
            <w:shd w:val="clear" w:color="auto" w:fill="CCCCCC"/>
            <w:noWrap w:val="0"/>
            <w:vAlign w:val="center"/>
          </w:tcPr>
          <w:p w14:paraId="4CEF7AC3">
            <w:pPr>
              <w:spacing w:line="360" w:lineRule="auto"/>
              <w:rPr>
                <w:rFonts w:hint="default" w:ascii="宋体" w:hAnsi="宋体" w:eastAsia="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参数性质</w:t>
            </w:r>
          </w:p>
        </w:tc>
        <w:tc>
          <w:tcPr>
            <w:tcW w:w="743" w:type="dxa"/>
            <w:shd w:val="clear" w:color="auto" w:fill="CCCCCC"/>
            <w:noWrap w:val="0"/>
            <w:vAlign w:val="center"/>
          </w:tcPr>
          <w:p w14:paraId="6F117CEF">
            <w:pPr>
              <w:spacing w:line="360" w:lineRule="auto"/>
              <w:rPr>
                <w:rFonts w:hint="eastAsia" w:ascii="宋体" w:hAnsi="宋体" w:eastAsia="宋体" w:cs="宋体"/>
                <w:color w:val="000000"/>
                <w:sz w:val="18"/>
                <w:szCs w:val="18"/>
                <w:highlight w:val="none"/>
                <w:lang w:eastAsia="zh-CN"/>
              </w:rPr>
            </w:pPr>
            <w:r>
              <w:rPr>
                <w:rFonts w:hint="eastAsia" w:ascii="宋体" w:hAnsi="宋体" w:cs="宋体"/>
                <w:color w:val="000000"/>
                <w:sz w:val="18"/>
                <w:szCs w:val="18"/>
                <w:highlight w:val="none"/>
                <w:lang w:val="en-US" w:eastAsia="zh-CN"/>
              </w:rPr>
              <w:t>编号</w:t>
            </w:r>
          </w:p>
        </w:tc>
        <w:tc>
          <w:tcPr>
            <w:tcW w:w="8629" w:type="dxa"/>
            <w:shd w:val="clear" w:color="auto" w:fill="CCCCCC"/>
            <w:noWrap w:val="0"/>
            <w:vAlign w:val="center"/>
          </w:tcPr>
          <w:p w14:paraId="1D832CB0">
            <w:pPr>
              <w:spacing w:line="360" w:lineRule="auto"/>
              <w:ind w:firstLine="48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要求内容</w:t>
            </w:r>
          </w:p>
        </w:tc>
      </w:tr>
      <w:tr w14:paraId="366A1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 w:type="dxa"/>
          <w:trHeight w:val="412" w:hRule="atLeast"/>
          <w:tblHeader/>
          <w:jc w:val="center"/>
        </w:trPr>
        <w:tc>
          <w:tcPr>
            <w:tcW w:w="9962" w:type="dxa"/>
            <w:gridSpan w:val="3"/>
            <w:noWrap w:val="0"/>
            <w:vAlign w:val="center"/>
          </w:tcPr>
          <w:p w14:paraId="09100DEF">
            <w:pPr>
              <w:spacing w:line="240" w:lineRule="auto"/>
              <w:jc w:val="center"/>
              <w:rPr>
                <w:rFonts w:hint="eastAsia" w:ascii="宋体" w:hAnsi="宋体" w:eastAsia="宋体" w:cs="宋体"/>
                <w:b/>
                <w:bCs/>
                <w:color w:val="000000"/>
                <w:sz w:val="18"/>
                <w:szCs w:val="18"/>
                <w:highlight w:val="none"/>
              </w:rPr>
            </w:pPr>
            <w:r>
              <w:rPr>
                <w:rFonts w:hint="eastAsia" w:ascii="宋体" w:hAnsi="宋体" w:eastAsia="宋体" w:cs="宋体"/>
                <w:b/>
                <w:bCs/>
                <w:color w:val="000000"/>
                <w:sz w:val="18"/>
                <w:szCs w:val="18"/>
                <w:highlight w:val="none"/>
              </w:rPr>
              <w:t>开停机控制</w:t>
            </w:r>
          </w:p>
        </w:tc>
      </w:tr>
      <w:tr w14:paraId="55AB7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 w:type="dxa"/>
          <w:trHeight w:val="1156" w:hRule="atLeast"/>
          <w:tblHeader/>
          <w:jc w:val="center"/>
        </w:trPr>
        <w:tc>
          <w:tcPr>
            <w:tcW w:w="590" w:type="dxa"/>
            <w:noWrap w:val="0"/>
            <w:vAlign w:val="center"/>
          </w:tcPr>
          <w:p w14:paraId="654C5DBC">
            <w:pPr>
              <w:spacing w:line="360" w:lineRule="auto"/>
              <w:jc w:val="center"/>
              <w:rPr>
                <w:rFonts w:hint="eastAsia" w:ascii="宋体" w:hAnsi="宋体" w:eastAsia="宋体" w:cs="宋体"/>
                <w:color w:val="000000"/>
                <w:sz w:val="18"/>
                <w:szCs w:val="18"/>
                <w:highlight w:val="none"/>
                <w:lang w:val="en-US" w:eastAsia="zh-CN"/>
              </w:rPr>
            </w:pPr>
          </w:p>
        </w:tc>
        <w:tc>
          <w:tcPr>
            <w:tcW w:w="743" w:type="dxa"/>
            <w:noWrap w:val="0"/>
            <w:vAlign w:val="center"/>
          </w:tcPr>
          <w:p w14:paraId="3E01AC86">
            <w:pPr>
              <w:spacing w:line="400" w:lineRule="exact"/>
              <w:jc w:val="center"/>
              <w:rPr>
                <w:rFonts w:hint="eastAsia" w:ascii="宋体" w:hAnsi="宋体" w:cs="宋体"/>
                <w:color w:val="000000"/>
                <w:sz w:val="18"/>
                <w:szCs w:val="18"/>
                <w:highlight w:val="none"/>
              </w:rPr>
            </w:pPr>
            <w:r>
              <w:rPr>
                <w:rFonts w:hint="eastAsia" w:ascii="宋体" w:hAnsi="宋体" w:eastAsia="宋体" w:cs="宋体"/>
                <w:color w:val="000000"/>
                <w:sz w:val="18"/>
                <w:szCs w:val="18"/>
                <w:highlight w:val="none"/>
              </w:rPr>
              <w:t>1</w:t>
            </w:r>
          </w:p>
          <w:p w14:paraId="7CFA0AEB">
            <w:pPr>
              <w:spacing w:line="360" w:lineRule="auto"/>
              <w:jc w:val="center"/>
              <w:rPr>
                <w:rFonts w:hint="eastAsia" w:ascii="宋体" w:hAnsi="宋体" w:eastAsia="宋体" w:cs="宋体"/>
                <w:color w:val="000000"/>
                <w:kern w:val="2"/>
                <w:sz w:val="18"/>
                <w:szCs w:val="18"/>
                <w:highlight w:val="none"/>
                <w:lang w:val="en-US" w:eastAsia="zh-CN" w:bidi="ar-SA"/>
              </w:rPr>
            </w:pPr>
          </w:p>
        </w:tc>
        <w:tc>
          <w:tcPr>
            <w:tcW w:w="8629" w:type="dxa"/>
            <w:noWrap w:val="0"/>
            <w:vAlign w:val="center"/>
          </w:tcPr>
          <w:p w14:paraId="0A34C3A8">
            <w:pPr>
              <w:spacing w:line="400" w:lineRule="exact"/>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正常启动：</w:t>
            </w:r>
            <w:r>
              <w:rPr>
                <w:rFonts w:hint="eastAsia" w:ascii="宋体" w:hAnsi="宋体" w:cs="宋体"/>
                <w:color w:val="000000"/>
                <w:sz w:val="18"/>
                <w:szCs w:val="18"/>
                <w:highlight w:val="none"/>
              </w:rPr>
              <w:t>远控面板上</w:t>
            </w:r>
            <w:r>
              <w:rPr>
                <w:rFonts w:hint="eastAsia" w:ascii="宋体" w:hAnsi="宋体" w:eastAsia="宋体" w:cs="宋体"/>
                <w:color w:val="000000"/>
                <w:sz w:val="18"/>
                <w:szCs w:val="18"/>
                <w:highlight w:val="none"/>
              </w:rPr>
              <w:t>点击“正常运行”按键(启动后显示绿色)→开新风阀(收到开阀位信号后显示绿色)→启动送风风机(收到风机工作状态信号后显示绿色)→启动排风机(收到风机工作状态信号后显示绿色)→所有信号发出并自动核查反馈信号正常→启动送风风压自动调节→启动所有报警。</w:t>
            </w:r>
          </w:p>
        </w:tc>
      </w:tr>
      <w:tr w14:paraId="162BB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 w:type="dxa"/>
          <w:trHeight w:val="1537" w:hRule="atLeast"/>
          <w:tblHeader/>
          <w:jc w:val="center"/>
        </w:trPr>
        <w:tc>
          <w:tcPr>
            <w:tcW w:w="590" w:type="dxa"/>
            <w:noWrap w:val="0"/>
            <w:vAlign w:val="center"/>
          </w:tcPr>
          <w:p w14:paraId="6C6A3F93">
            <w:pPr>
              <w:spacing w:line="360" w:lineRule="auto"/>
              <w:jc w:val="center"/>
              <w:rPr>
                <w:rFonts w:hint="eastAsia" w:ascii="宋体" w:hAnsi="宋体" w:eastAsia="宋体" w:cs="宋体"/>
                <w:color w:val="000000"/>
                <w:sz w:val="18"/>
                <w:szCs w:val="18"/>
                <w:highlight w:val="none"/>
                <w:lang w:val="en-US" w:eastAsia="zh-CN"/>
              </w:rPr>
            </w:pPr>
          </w:p>
        </w:tc>
        <w:tc>
          <w:tcPr>
            <w:tcW w:w="743" w:type="dxa"/>
            <w:noWrap w:val="0"/>
            <w:vAlign w:val="center"/>
          </w:tcPr>
          <w:p w14:paraId="6D9A5E63">
            <w:pPr>
              <w:spacing w:line="360" w:lineRule="auto"/>
              <w:jc w:val="center"/>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000000"/>
                <w:sz w:val="18"/>
                <w:szCs w:val="18"/>
                <w:highlight w:val="none"/>
                <w:lang w:val="en-US" w:eastAsia="zh-CN"/>
              </w:rPr>
              <w:t>2</w:t>
            </w:r>
          </w:p>
        </w:tc>
        <w:tc>
          <w:tcPr>
            <w:tcW w:w="8629" w:type="dxa"/>
            <w:noWrap w:val="0"/>
            <w:vAlign w:val="center"/>
          </w:tcPr>
          <w:p w14:paraId="43174B88">
            <w:pPr>
              <w:spacing w:line="400" w:lineRule="exact"/>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正常停机：工作站上点击“关机”按键(停机后显示红色)→关闭送风风压自动调节→关闭所有报警→关闭排风机(收到风机停止状态信号后显示红色)→关闭送风风机(收到风机停止状态信号后显示红色)→关新风阀(收到关阀位信号后显示红色)。停机条件：送风风机故障；排风风机故障；</w:t>
            </w:r>
          </w:p>
        </w:tc>
      </w:tr>
      <w:tr w14:paraId="4F99D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 w:type="dxa"/>
          <w:trHeight w:val="475" w:hRule="atLeast"/>
          <w:tblHeader/>
          <w:jc w:val="center"/>
        </w:trPr>
        <w:tc>
          <w:tcPr>
            <w:tcW w:w="9962" w:type="dxa"/>
            <w:gridSpan w:val="3"/>
            <w:noWrap w:val="0"/>
            <w:vAlign w:val="center"/>
          </w:tcPr>
          <w:p w14:paraId="49BE2EAE">
            <w:pPr>
              <w:spacing w:line="400" w:lineRule="exact"/>
              <w:jc w:val="center"/>
              <w:rPr>
                <w:rFonts w:hint="eastAsia" w:ascii="宋体" w:hAnsi="宋体" w:eastAsia="宋体" w:cs="宋体"/>
                <w:b/>
                <w:bCs/>
                <w:color w:val="000000"/>
                <w:sz w:val="18"/>
                <w:szCs w:val="18"/>
                <w:highlight w:val="none"/>
              </w:rPr>
            </w:pPr>
            <w:r>
              <w:rPr>
                <w:rFonts w:hint="eastAsia" w:ascii="宋体" w:hAnsi="宋体" w:eastAsia="宋体" w:cs="宋体"/>
                <w:b/>
                <w:bCs/>
                <w:color w:val="000000"/>
                <w:sz w:val="18"/>
                <w:szCs w:val="18"/>
                <w:highlight w:val="none"/>
              </w:rPr>
              <w:t>远程电动调节</w:t>
            </w:r>
          </w:p>
        </w:tc>
      </w:tr>
      <w:tr w14:paraId="17FEF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 w:type="dxa"/>
          <w:trHeight w:val="90" w:hRule="atLeast"/>
          <w:tblHeader/>
          <w:jc w:val="center"/>
        </w:trPr>
        <w:tc>
          <w:tcPr>
            <w:tcW w:w="590" w:type="dxa"/>
            <w:noWrap w:val="0"/>
            <w:vAlign w:val="center"/>
          </w:tcPr>
          <w:p w14:paraId="18891749">
            <w:pPr>
              <w:spacing w:line="360" w:lineRule="auto"/>
              <w:jc w:val="center"/>
              <w:rPr>
                <w:rFonts w:hint="default" w:ascii="宋体" w:hAnsi="宋体" w:eastAsia="宋体" w:cs="宋体"/>
                <w:color w:val="000000"/>
                <w:sz w:val="18"/>
                <w:szCs w:val="18"/>
                <w:highlight w:val="none"/>
                <w:lang w:val="en-US" w:eastAsia="zh-CN"/>
              </w:rPr>
            </w:pPr>
          </w:p>
        </w:tc>
        <w:tc>
          <w:tcPr>
            <w:tcW w:w="743" w:type="dxa"/>
            <w:noWrap w:val="0"/>
            <w:vAlign w:val="center"/>
          </w:tcPr>
          <w:p w14:paraId="3CA80441">
            <w:pPr>
              <w:spacing w:line="360" w:lineRule="auto"/>
              <w:jc w:val="center"/>
              <w:rPr>
                <w:rFonts w:hint="eastAsia" w:ascii="宋体" w:hAnsi="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3</w:t>
            </w:r>
          </w:p>
        </w:tc>
        <w:tc>
          <w:tcPr>
            <w:tcW w:w="8629" w:type="dxa"/>
            <w:noWrap w:val="0"/>
            <w:vAlign w:val="center"/>
          </w:tcPr>
          <w:p w14:paraId="6C214C50">
            <w:pPr>
              <w:spacing w:line="400" w:lineRule="exact"/>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电动阀门开度能在线显示，并与空调机组进行连锁控制：机组启动，电动阀门执行开度控制；风机停止，各阀门自动关闭。</w:t>
            </w:r>
          </w:p>
        </w:tc>
      </w:tr>
      <w:tr w14:paraId="2C485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 w:type="dxa"/>
          <w:trHeight w:val="913" w:hRule="atLeast"/>
          <w:tblHeader/>
          <w:jc w:val="center"/>
        </w:trPr>
        <w:tc>
          <w:tcPr>
            <w:tcW w:w="590" w:type="dxa"/>
            <w:noWrap w:val="0"/>
            <w:vAlign w:val="center"/>
          </w:tcPr>
          <w:p w14:paraId="40723D72">
            <w:pPr>
              <w:spacing w:line="360" w:lineRule="auto"/>
              <w:jc w:val="center"/>
              <w:rPr>
                <w:rFonts w:hint="default" w:ascii="宋体" w:hAnsi="宋体" w:cs="宋体"/>
                <w:color w:val="000000"/>
                <w:sz w:val="18"/>
                <w:szCs w:val="18"/>
                <w:highlight w:val="none"/>
                <w:lang w:val="en-US" w:eastAsia="zh-CN"/>
              </w:rPr>
            </w:pPr>
          </w:p>
        </w:tc>
        <w:tc>
          <w:tcPr>
            <w:tcW w:w="743" w:type="dxa"/>
            <w:noWrap w:val="0"/>
            <w:vAlign w:val="center"/>
          </w:tcPr>
          <w:p w14:paraId="64AFEB74">
            <w:pPr>
              <w:spacing w:line="360" w:lineRule="auto"/>
              <w:jc w:val="center"/>
              <w:rPr>
                <w:rFonts w:hint="eastAsia" w:ascii="宋体" w:hAnsi="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4</w:t>
            </w:r>
          </w:p>
        </w:tc>
        <w:tc>
          <w:tcPr>
            <w:tcW w:w="8629" w:type="dxa"/>
            <w:noWrap w:val="0"/>
            <w:vAlign w:val="center"/>
          </w:tcPr>
          <w:p w14:paraId="08CA06FB">
            <w:pPr>
              <w:spacing w:line="400" w:lineRule="exact"/>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电气联锁控制要求：正常运行状态下，空调机组与本系统排风系统、风阀自动连锁，同步启闭</w:t>
            </w:r>
            <w:r>
              <w:rPr>
                <w:rFonts w:hint="eastAsia" w:ascii="宋体" w:hAnsi="宋体" w:cs="宋体"/>
                <w:color w:val="000000"/>
                <w:sz w:val="18"/>
                <w:szCs w:val="18"/>
                <w:highlight w:val="none"/>
              </w:rPr>
              <w:t>，</w:t>
            </w:r>
            <w:r>
              <w:rPr>
                <w:rFonts w:hint="eastAsia" w:ascii="宋体" w:hAnsi="宋体" w:eastAsia="宋体" w:cs="宋体"/>
                <w:color w:val="000000"/>
                <w:sz w:val="18"/>
                <w:szCs w:val="18"/>
                <w:highlight w:val="none"/>
              </w:rPr>
              <w:t>以维持所服务房间的设计正</w:t>
            </w:r>
            <w:r>
              <w:rPr>
                <w:rFonts w:hint="eastAsia" w:ascii="宋体" w:hAnsi="宋体" w:cs="宋体"/>
                <w:color w:val="000000"/>
                <w:sz w:val="18"/>
                <w:szCs w:val="18"/>
                <w:highlight w:val="none"/>
              </w:rPr>
              <w:t>/负</w:t>
            </w:r>
            <w:r>
              <w:rPr>
                <w:rFonts w:hint="eastAsia" w:ascii="宋体" w:hAnsi="宋体" w:eastAsia="宋体" w:cs="宋体"/>
                <w:color w:val="000000"/>
                <w:sz w:val="18"/>
                <w:szCs w:val="18"/>
                <w:highlight w:val="none"/>
              </w:rPr>
              <w:t>压值。</w:t>
            </w:r>
          </w:p>
        </w:tc>
      </w:tr>
      <w:tr w14:paraId="42A8C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 w:type="dxa"/>
          <w:trHeight w:val="517" w:hRule="atLeast"/>
          <w:tblHeader/>
          <w:jc w:val="center"/>
        </w:trPr>
        <w:tc>
          <w:tcPr>
            <w:tcW w:w="590" w:type="dxa"/>
            <w:noWrap w:val="0"/>
            <w:vAlign w:val="center"/>
          </w:tcPr>
          <w:p w14:paraId="19C9DF72">
            <w:pPr>
              <w:spacing w:line="360" w:lineRule="auto"/>
              <w:jc w:val="center"/>
              <w:rPr>
                <w:rFonts w:hint="default" w:ascii="宋体" w:hAnsi="宋体" w:cs="宋体"/>
                <w:color w:val="000000"/>
                <w:sz w:val="18"/>
                <w:szCs w:val="18"/>
                <w:highlight w:val="none"/>
                <w:lang w:val="en-US" w:eastAsia="zh-CN"/>
              </w:rPr>
            </w:pPr>
          </w:p>
        </w:tc>
        <w:tc>
          <w:tcPr>
            <w:tcW w:w="743" w:type="dxa"/>
            <w:noWrap w:val="0"/>
            <w:vAlign w:val="center"/>
          </w:tcPr>
          <w:p w14:paraId="17721C5B">
            <w:pPr>
              <w:spacing w:line="360" w:lineRule="auto"/>
              <w:jc w:val="center"/>
              <w:rPr>
                <w:rFonts w:hint="eastAsia" w:ascii="宋体" w:hAnsi="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5</w:t>
            </w:r>
          </w:p>
        </w:tc>
        <w:tc>
          <w:tcPr>
            <w:tcW w:w="8629" w:type="dxa"/>
            <w:noWrap w:val="0"/>
            <w:vAlign w:val="center"/>
          </w:tcPr>
          <w:p w14:paraId="62410F96">
            <w:pPr>
              <w:spacing w:line="400" w:lineRule="exact"/>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系统停机状态：空调系统的送风机、排风机等设备以及新风电动阀全部关闭。具有停机联锁保护功能。</w:t>
            </w:r>
          </w:p>
        </w:tc>
      </w:tr>
      <w:tr w14:paraId="3629F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 w:type="dxa"/>
          <w:trHeight w:val="517" w:hRule="atLeast"/>
          <w:tblHeader/>
          <w:jc w:val="center"/>
        </w:trPr>
        <w:tc>
          <w:tcPr>
            <w:tcW w:w="9962" w:type="dxa"/>
            <w:gridSpan w:val="3"/>
            <w:noWrap w:val="0"/>
            <w:vAlign w:val="center"/>
          </w:tcPr>
          <w:p w14:paraId="6029A9C6">
            <w:pPr>
              <w:spacing w:line="400" w:lineRule="exact"/>
              <w:jc w:val="center"/>
              <w:rPr>
                <w:rFonts w:hint="default" w:ascii="宋体" w:hAnsi="宋体" w:eastAsia="宋体" w:cs="宋体"/>
                <w:color w:val="000000"/>
                <w:sz w:val="18"/>
                <w:szCs w:val="18"/>
                <w:highlight w:val="none"/>
                <w:lang w:val="en-US" w:eastAsia="zh-CN"/>
              </w:rPr>
            </w:pPr>
            <w:r>
              <w:rPr>
                <w:rFonts w:hint="eastAsia" w:ascii="宋体" w:hAnsi="宋体" w:cs="宋体"/>
                <w:b/>
                <w:bCs/>
                <w:color w:val="000000"/>
                <w:sz w:val="18"/>
                <w:szCs w:val="18"/>
                <w:highlight w:val="none"/>
                <w:lang w:val="en-US" w:eastAsia="zh-CN"/>
              </w:rPr>
              <w:t>运行状态</w:t>
            </w:r>
          </w:p>
        </w:tc>
      </w:tr>
      <w:tr w14:paraId="5195E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 w:type="dxa"/>
          <w:trHeight w:val="533" w:hRule="atLeast"/>
          <w:tblHeader/>
          <w:jc w:val="center"/>
        </w:trPr>
        <w:tc>
          <w:tcPr>
            <w:tcW w:w="590" w:type="dxa"/>
            <w:noWrap w:val="0"/>
            <w:vAlign w:val="center"/>
          </w:tcPr>
          <w:p w14:paraId="728EC8B0">
            <w:pPr>
              <w:spacing w:line="360" w:lineRule="auto"/>
              <w:jc w:val="center"/>
              <w:rPr>
                <w:rFonts w:hint="eastAsia" w:ascii="宋体" w:hAnsi="宋体" w:eastAsia="宋体" w:cs="宋体"/>
                <w:color w:val="000000"/>
                <w:sz w:val="18"/>
                <w:szCs w:val="18"/>
                <w:highlight w:val="none"/>
                <w:lang w:val="en-US" w:eastAsia="zh-CN"/>
              </w:rPr>
            </w:pPr>
          </w:p>
        </w:tc>
        <w:tc>
          <w:tcPr>
            <w:tcW w:w="743" w:type="dxa"/>
            <w:noWrap w:val="0"/>
            <w:vAlign w:val="center"/>
          </w:tcPr>
          <w:p w14:paraId="354F7F5E">
            <w:pPr>
              <w:spacing w:line="360" w:lineRule="auto"/>
              <w:jc w:val="center"/>
              <w:rPr>
                <w:rFonts w:hint="eastAsia" w:ascii="宋体" w:hAnsi="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6</w:t>
            </w:r>
          </w:p>
        </w:tc>
        <w:tc>
          <w:tcPr>
            <w:tcW w:w="8629" w:type="dxa"/>
            <w:noWrap w:val="0"/>
            <w:vAlign w:val="center"/>
          </w:tcPr>
          <w:p w14:paraId="66663227">
            <w:pPr>
              <w:spacing w:line="400" w:lineRule="exact"/>
              <w:rPr>
                <w:rFonts w:hint="eastAsia" w:ascii="宋体" w:hAnsi="宋体" w:cs="宋体"/>
                <w:color w:val="000000"/>
                <w:sz w:val="18"/>
                <w:szCs w:val="18"/>
                <w:highlight w:val="none"/>
              </w:rPr>
            </w:pPr>
            <w:r>
              <w:rPr>
                <w:rFonts w:hint="eastAsia" w:ascii="宋体" w:hAnsi="宋体" w:eastAsia="宋体" w:cs="宋体"/>
                <w:color w:val="000000"/>
                <w:sz w:val="18"/>
                <w:szCs w:val="18"/>
                <w:highlight w:val="none"/>
              </w:rPr>
              <w:t>运行状态分正常运行状态、值班运行状态、关机状态。</w:t>
            </w:r>
          </w:p>
        </w:tc>
      </w:tr>
      <w:tr w14:paraId="7BF54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 w:type="dxa"/>
          <w:trHeight w:val="520" w:hRule="atLeast"/>
          <w:tblHeader/>
          <w:jc w:val="center"/>
        </w:trPr>
        <w:tc>
          <w:tcPr>
            <w:tcW w:w="590" w:type="dxa"/>
            <w:noWrap w:val="0"/>
            <w:vAlign w:val="center"/>
          </w:tcPr>
          <w:p w14:paraId="1D4E26A6">
            <w:pPr>
              <w:spacing w:line="360" w:lineRule="auto"/>
              <w:jc w:val="center"/>
              <w:rPr>
                <w:rFonts w:hint="eastAsia" w:ascii="宋体" w:hAnsi="宋体" w:eastAsia="宋体" w:cs="宋体"/>
                <w:color w:val="000000"/>
                <w:sz w:val="18"/>
                <w:szCs w:val="18"/>
                <w:highlight w:val="none"/>
                <w:lang w:val="en-US" w:eastAsia="zh-CN"/>
              </w:rPr>
            </w:pPr>
          </w:p>
        </w:tc>
        <w:tc>
          <w:tcPr>
            <w:tcW w:w="743" w:type="dxa"/>
            <w:noWrap w:val="0"/>
            <w:vAlign w:val="center"/>
          </w:tcPr>
          <w:p w14:paraId="56A243AD">
            <w:pPr>
              <w:spacing w:line="360" w:lineRule="auto"/>
              <w:jc w:val="center"/>
              <w:rPr>
                <w:rFonts w:hint="eastAsia" w:ascii="宋体" w:hAnsi="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7</w:t>
            </w:r>
          </w:p>
        </w:tc>
        <w:tc>
          <w:tcPr>
            <w:tcW w:w="8629" w:type="dxa"/>
            <w:noWrap w:val="0"/>
            <w:vAlign w:val="top"/>
          </w:tcPr>
          <w:p w14:paraId="06BAE199">
            <w:pPr>
              <w:spacing w:line="400" w:lineRule="exact"/>
              <w:rPr>
                <w:rFonts w:hint="eastAsia" w:ascii="宋体" w:hAnsi="宋体" w:cs="宋体"/>
                <w:color w:val="000000"/>
                <w:sz w:val="18"/>
                <w:szCs w:val="18"/>
                <w:highlight w:val="none"/>
              </w:rPr>
            </w:pPr>
            <w:r>
              <w:rPr>
                <w:rFonts w:hint="eastAsia" w:ascii="宋体" w:hAnsi="宋体" w:eastAsia="宋体" w:cs="宋体"/>
                <w:color w:val="000000"/>
                <w:sz w:val="18"/>
                <w:szCs w:val="18"/>
                <w:highlight w:val="none"/>
              </w:rPr>
              <w:t>显示器应可详细显示送风机、排风机、风阀及过滤器等控制点的运行状态。</w:t>
            </w:r>
          </w:p>
        </w:tc>
      </w:tr>
      <w:tr w14:paraId="05461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 w:type="dxa"/>
          <w:trHeight w:val="520" w:hRule="atLeast"/>
          <w:tblHeader/>
          <w:jc w:val="center"/>
        </w:trPr>
        <w:tc>
          <w:tcPr>
            <w:tcW w:w="590" w:type="dxa"/>
            <w:noWrap w:val="0"/>
            <w:vAlign w:val="center"/>
          </w:tcPr>
          <w:p w14:paraId="09A7D639">
            <w:pPr>
              <w:spacing w:line="360" w:lineRule="auto"/>
              <w:jc w:val="center"/>
              <w:rPr>
                <w:rFonts w:hint="eastAsia" w:ascii="宋体" w:hAnsi="宋体" w:eastAsia="宋体" w:cs="宋体"/>
                <w:color w:val="000000"/>
                <w:sz w:val="18"/>
                <w:szCs w:val="18"/>
                <w:highlight w:val="none"/>
                <w:lang w:val="en-US" w:eastAsia="zh-CN"/>
              </w:rPr>
            </w:pPr>
          </w:p>
        </w:tc>
        <w:tc>
          <w:tcPr>
            <w:tcW w:w="743" w:type="dxa"/>
            <w:noWrap w:val="0"/>
            <w:vAlign w:val="center"/>
          </w:tcPr>
          <w:p w14:paraId="45CF637D">
            <w:pPr>
              <w:spacing w:line="360" w:lineRule="auto"/>
              <w:jc w:val="center"/>
              <w:rPr>
                <w:rFonts w:hint="eastAsia" w:ascii="宋体" w:hAnsi="宋体" w:cs="宋体"/>
                <w:color w:val="000000"/>
                <w:sz w:val="18"/>
                <w:szCs w:val="18"/>
                <w:highlight w:val="none"/>
                <w:lang w:val="en-US" w:eastAsia="zh-CN"/>
              </w:rPr>
            </w:pPr>
            <w:bookmarkStart w:id="0" w:name="OLE_LINK65"/>
            <w:r>
              <w:rPr>
                <w:rFonts w:hint="eastAsia" w:ascii="宋体" w:hAnsi="宋体" w:cs="宋体"/>
                <w:color w:val="000000"/>
                <w:sz w:val="18"/>
                <w:szCs w:val="18"/>
                <w:highlight w:val="none"/>
                <w:lang w:val="en-US" w:eastAsia="zh-CN"/>
              </w:rPr>
              <w:t>8</w:t>
            </w:r>
          </w:p>
        </w:tc>
        <w:tc>
          <w:tcPr>
            <w:tcW w:w="8629" w:type="dxa"/>
            <w:noWrap w:val="0"/>
            <w:vAlign w:val="top"/>
          </w:tcPr>
          <w:p w14:paraId="752744AA">
            <w:pPr>
              <w:spacing w:line="400" w:lineRule="exact"/>
              <w:rPr>
                <w:rFonts w:hint="eastAsia" w:ascii="宋体" w:hAnsi="宋体" w:cs="宋体"/>
                <w:color w:val="000000"/>
                <w:sz w:val="18"/>
                <w:szCs w:val="18"/>
                <w:highlight w:val="none"/>
              </w:rPr>
            </w:pPr>
            <w:r>
              <w:rPr>
                <w:rFonts w:hint="eastAsia" w:ascii="宋体" w:hAnsi="宋体" w:eastAsia="宋体" w:cs="宋体"/>
                <w:color w:val="000000"/>
                <w:sz w:val="18"/>
                <w:szCs w:val="18"/>
                <w:highlight w:val="none"/>
              </w:rPr>
              <w:t>所有温湿度和压差可以设定其报警的上、下限，当检测值超出设定值时，上位机提示相应报警信息并记录保存该信息。</w:t>
            </w:r>
            <w:bookmarkEnd w:id="0"/>
          </w:p>
        </w:tc>
      </w:tr>
      <w:tr w14:paraId="7AE25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 w:type="dxa"/>
          <w:trHeight w:val="378" w:hRule="atLeast"/>
          <w:tblHeader/>
          <w:jc w:val="center"/>
        </w:trPr>
        <w:tc>
          <w:tcPr>
            <w:tcW w:w="590" w:type="dxa"/>
            <w:noWrap w:val="0"/>
            <w:vAlign w:val="center"/>
          </w:tcPr>
          <w:p w14:paraId="4CF7EB20">
            <w:pPr>
              <w:spacing w:line="360" w:lineRule="auto"/>
              <w:jc w:val="center"/>
              <w:rPr>
                <w:rFonts w:hint="eastAsia" w:ascii="宋体" w:hAnsi="宋体" w:eastAsia="宋体" w:cs="宋体"/>
                <w:color w:val="000000"/>
                <w:sz w:val="18"/>
                <w:szCs w:val="18"/>
                <w:highlight w:val="none"/>
                <w:lang w:val="en-US" w:eastAsia="zh-CN"/>
              </w:rPr>
            </w:pPr>
          </w:p>
        </w:tc>
        <w:tc>
          <w:tcPr>
            <w:tcW w:w="743" w:type="dxa"/>
            <w:noWrap w:val="0"/>
            <w:vAlign w:val="center"/>
          </w:tcPr>
          <w:p w14:paraId="066F0456">
            <w:pPr>
              <w:spacing w:line="360" w:lineRule="auto"/>
              <w:jc w:val="center"/>
              <w:rPr>
                <w:rFonts w:hint="eastAsia" w:ascii="宋体" w:hAnsi="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9</w:t>
            </w:r>
          </w:p>
        </w:tc>
        <w:tc>
          <w:tcPr>
            <w:tcW w:w="8629" w:type="dxa"/>
            <w:noWrap w:val="0"/>
            <w:vAlign w:val="top"/>
          </w:tcPr>
          <w:p w14:paraId="2EF08236">
            <w:pPr>
              <w:spacing w:line="400" w:lineRule="exact"/>
              <w:rPr>
                <w:rFonts w:hint="eastAsia" w:ascii="宋体" w:hAnsi="宋体" w:cs="宋体"/>
                <w:color w:val="000000"/>
                <w:sz w:val="18"/>
                <w:szCs w:val="18"/>
                <w:highlight w:val="none"/>
              </w:rPr>
            </w:pPr>
            <w:r>
              <w:rPr>
                <w:rFonts w:hint="eastAsia" w:ascii="宋体" w:hAnsi="宋体" w:eastAsia="宋体" w:cs="宋体"/>
                <w:color w:val="000000"/>
                <w:sz w:val="18"/>
                <w:szCs w:val="18"/>
                <w:highlight w:val="none"/>
              </w:rPr>
              <w:t>本自控系统包括控制站、</w:t>
            </w:r>
            <w:r>
              <w:rPr>
                <w:rFonts w:hint="eastAsia" w:ascii="宋体" w:hAnsi="宋体" w:cs="宋体"/>
                <w:color w:val="000000"/>
                <w:sz w:val="18"/>
                <w:szCs w:val="18"/>
                <w:highlight w:val="none"/>
                <w:lang w:val="en-US" w:eastAsia="zh-CN"/>
              </w:rPr>
              <w:t>开关</w:t>
            </w:r>
            <w:r>
              <w:rPr>
                <w:rFonts w:hint="eastAsia" w:ascii="宋体" w:hAnsi="宋体" w:eastAsia="宋体" w:cs="宋体"/>
                <w:color w:val="000000"/>
                <w:sz w:val="18"/>
                <w:szCs w:val="18"/>
                <w:highlight w:val="none"/>
              </w:rPr>
              <w:t>模块及控制配电柜等。</w:t>
            </w:r>
          </w:p>
        </w:tc>
      </w:tr>
      <w:tr w14:paraId="50377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 w:type="dxa"/>
          <w:trHeight w:val="183" w:hRule="atLeast"/>
          <w:tblHeader/>
          <w:jc w:val="center"/>
        </w:trPr>
        <w:tc>
          <w:tcPr>
            <w:tcW w:w="9962" w:type="dxa"/>
            <w:gridSpan w:val="3"/>
            <w:noWrap w:val="0"/>
            <w:vAlign w:val="center"/>
          </w:tcPr>
          <w:p w14:paraId="499C260A">
            <w:pPr>
              <w:spacing w:line="360" w:lineRule="auto"/>
              <w:jc w:val="center"/>
              <w:rPr>
                <w:rFonts w:hint="default" w:ascii="宋体" w:hAnsi="宋体" w:eastAsia="宋体" w:cs="宋体"/>
                <w:color w:val="000000"/>
                <w:kern w:val="2"/>
                <w:sz w:val="18"/>
                <w:szCs w:val="18"/>
                <w:highlight w:val="none"/>
                <w:lang w:val="en-US" w:eastAsia="zh-CN" w:bidi="ar-SA"/>
              </w:rPr>
            </w:pPr>
            <w:r>
              <w:rPr>
                <w:rFonts w:hint="eastAsia" w:ascii="宋体" w:hAnsi="宋体" w:cs="宋体"/>
                <w:b/>
                <w:bCs/>
                <w:color w:val="000000"/>
                <w:kern w:val="2"/>
                <w:sz w:val="18"/>
                <w:szCs w:val="18"/>
                <w:highlight w:val="none"/>
                <w:lang w:val="en-US" w:eastAsia="zh-CN" w:bidi="ar-SA"/>
              </w:rPr>
              <w:t>异常运行</w:t>
            </w:r>
          </w:p>
        </w:tc>
      </w:tr>
      <w:tr w14:paraId="2256D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 w:type="dxa"/>
          <w:trHeight w:val="548" w:hRule="atLeast"/>
          <w:tblHeader/>
          <w:jc w:val="center"/>
        </w:trPr>
        <w:tc>
          <w:tcPr>
            <w:tcW w:w="590" w:type="dxa"/>
            <w:noWrap w:val="0"/>
            <w:vAlign w:val="center"/>
          </w:tcPr>
          <w:p w14:paraId="06A04721">
            <w:pPr>
              <w:spacing w:line="360" w:lineRule="auto"/>
              <w:jc w:val="center"/>
              <w:rPr>
                <w:rFonts w:hint="default" w:ascii="宋体" w:hAnsi="宋体" w:eastAsia="宋体" w:cs="宋体"/>
                <w:color w:val="000000"/>
                <w:sz w:val="18"/>
                <w:szCs w:val="18"/>
                <w:highlight w:val="none"/>
                <w:lang w:val="en-US" w:eastAsia="zh-CN"/>
              </w:rPr>
            </w:pPr>
          </w:p>
        </w:tc>
        <w:tc>
          <w:tcPr>
            <w:tcW w:w="743" w:type="dxa"/>
            <w:noWrap w:val="0"/>
            <w:vAlign w:val="center"/>
          </w:tcPr>
          <w:p w14:paraId="10F25EC0">
            <w:pPr>
              <w:spacing w:line="360" w:lineRule="auto"/>
              <w:jc w:val="center"/>
              <w:rPr>
                <w:rFonts w:hint="default" w:ascii="宋体" w:hAnsi="宋体" w:eastAsia="宋体" w:cs="宋体"/>
                <w:color w:val="000000"/>
                <w:kern w:val="2"/>
                <w:sz w:val="18"/>
                <w:szCs w:val="18"/>
                <w:highlight w:val="none"/>
                <w:lang w:val="en-US" w:eastAsia="zh-CN" w:bidi="ar-SA"/>
              </w:rPr>
            </w:pPr>
            <w:r>
              <w:rPr>
                <w:rFonts w:hint="eastAsia" w:ascii="宋体" w:hAnsi="宋体" w:cs="宋体"/>
                <w:color w:val="000000"/>
                <w:sz w:val="18"/>
                <w:szCs w:val="18"/>
                <w:highlight w:val="none"/>
                <w:lang w:val="en-US" w:eastAsia="zh-CN"/>
              </w:rPr>
              <w:t>10</w:t>
            </w:r>
          </w:p>
        </w:tc>
        <w:tc>
          <w:tcPr>
            <w:tcW w:w="8629" w:type="dxa"/>
            <w:noWrap w:val="0"/>
            <w:vAlign w:val="top"/>
          </w:tcPr>
          <w:p w14:paraId="204B0339">
            <w:pPr>
              <w:spacing w:line="400" w:lineRule="exact"/>
              <w:rPr>
                <w:rFonts w:hint="eastAsia" w:ascii="宋体" w:hAnsi="宋体" w:cs="宋体"/>
                <w:color w:val="000000"/>
                <w:sz w:val="18"/>
                <w:szCs w:val="18"/>
                <w:highlight w:val="none"/>
              </w:rPr>
            </w:pPr>
            <w:r>
              <w:rPr>
                <w:rFonts w:hint="eastAsia" w:ascii="宋体" w:hAnsi="宋体" w:eastAsia="宋体" w:cs="宋体"/>
                <w:color w:val="000000"/>
                <w:sz w:val="18"/>
                <w:szCs w:val="18"/>
                <w:highlight w:val="none"/>
              </w:rPr>
              <w:t>如果</w:t>
            </w:r>
            <w:r>
              <w:rPr>
                <w:rFonts w:hint="eastAsia" w:ascii="宋体" w:hAnsi="宋体" w:cs="宋体"/>
                <w:color w:val="000000"/>
                <w:sz w:val="18"/>
                <w:szCs w:val="18"/>
                <w:highlight w:val="none"/>
              </w:rPr>
              <w:t>远控</w:t>
            </w:r>
            <w:r>
              <w:rPr>
                <w:rFonts w:hint="eastAsia" w:ascii="宋体" w:hAnsi="宋体" w:eastAsia="宋体" w:cs="宋体"/>
                <w:color w:val="000000"/>
                <w:sz w:val="18"/>
                <w:szCs w:val="18"/>
                <w:highlight w:val="none"/>
              </w:rPr>
              <w:t>出现故障或断电等异常情况，控制系统及设备应仍可正常运行。</w:t>
            </w:r>
          </w:p>
        </w:tc>
      </w:tr>
      <w:tr w14:paraId="22F17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 w:type="dxa"/>
          <w:trHeight w:val="548" w:hRule="atLeast"/>
          <w:tblHeader/>
          <w:jc w:val="center"/>
        </w:trPr>
        <w:tc>
          <w:tcPr>
            <w:tcW w:w="590" w:type="dxa"/>
            <w:noWrap w:val="0"/>
            <w:vAlign w:val="center"/>
          </w:tcPr>
          <w:p w14:paraId="6D7C1661">
            <w:pPr>
              <w:spacing w:line="360" w:lineRule="auto"/>
              <w:jc w:val="center"/>
              <w:rPr>
                <w:rFonts w:hint="default" w:ascii="宋体" w:hAnsi="宋体" w:eastAsia="宋体" w:cs="宋体"/>
                <w:color w:val="000000"/>
                <w:sz w:val="18"/>
                <w:szCs w:val="18"/>
                <w:highlight w:val="none"/>
                <w:lang w:val="en-US" w:eastAsia="zh-CN"/>
              </w:rPr>
            </w:pPr>
          </w:p>
        </w:tc>
        <w:tc>
          <w:tcPr>
            <w:tcW w:w="743" w:type="dxa"/>
            <w:noWrap w:val="0"/>
            <w:vAlign w:val="center"/>
          </w:tcPr>
          <w:p w14:paraId="5A5DF3EB">
            <w:pPr>
              <w:spacing w:line="360" w:lineRule="auto"/>
              <w:jc w:val="center"/>
              <w:rPr>
                <w:rFonts w:hint="default" w:ascii="宋体" w:hAnsi="宋体" w:eastAsia="宋体" w:cs="宋体"/>
                <w:color w:val="000000"/>
                <w:kern w:val="2"/>
                <w:sz w:val="18"/>
                <w:szCs w:val="18"/>
                <w:highlight w:val="none"/>
                <w:lang w:val="en-US" w:eastAsia="zh-CN" w:bidi="ar-SA"/>
              </w:rPr>
            </w:pPr>
            <w:r>
              <w:rPr>
                <w:rFonts w:hint="eastAsia" w:ascii="宋体" w:hAnsi="宋体" w:cs="宋体"/>
                <w:color w:val="000000"/>
                <w:sz w:val="18"/>
                <w:szCs w:val="18"/>
                <w:highlight w:val="none"/>
                <w:lang w:val="en-US" w:eastAsia="zh-CN"/>
              </w:rPr>
              <w:t>11</w:t>
            </w:r>
          </w:p>
        </w:tc>
        <w:tc>
          <w:tcPr>
            <w:tcW w:w="8629" w:type="dxa"/>
            <w:noWrap w:val="0"/>
            <w:vAlign w:val="top"/>
          </w:tcPr>
          <w:p w14:paraId="0A7AEFFE">
            <w:pPr>
              <w:spacing w:line="400" w:lineRule="exact"/>
              <w:rPr>
                <w:rFonts w:hint="eastAsia" w:ascii="宋体" w:hAnsi="宋体" w:cs="宋体"/>
                <w:color w:val="000000"/>
                <w:sz w:val="18"/>
                <w:szCs w:val="18"/>
                <w:highlight w:val="none"/>
              </w:rPr>
            </w:pPr>
            <w:r>
              <w:rPr>
                <w:rFonts w:hint="eastAsia" w:ascii="宋体" w:hAnsi="宋体" w:eastAsia="宋体" w:cs="宋体"/>
                <w:color w:val="000000"/>
                <w:sz w:val="18"/>
                <w:szCs w:val="18"/>
                <w:highlight w:val="none"/>
              </w:rPr>
              <w:t>空调机房现场控制柜内包括控制器、扩展模块、内部接线、端子排、变压器、继电器模块、接地连接、机箱，并在门内侧附有说明文件和标准的接线端子标签。</w:t>
            </w:r>
          </w:p>
        </w:tc>
      </w:tr>
      <w:tr w14:paraId="79A03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 w:type="dxa"/>
          <w:trHeight w:val="548" w:hRule="atLeast"/>
          <w:tblHeader/>
          <w:jc w:val="center"/>
        </w:trPr>
        <w:tc>
          <w:tcPr>
            <w:tcW w:w="590" w:type="dxa"/>
            <w:noWrap w:val="0"/>
            <w:vAlign w:val="center"/>
          </w:tcPr>
          <w:p w14:paraId="756482B5">
            <w:pPr>
              <w:spacing w:line="360" w:lineRule="auto"/>
              <w:jc w:val="center"/>
              <w:rPr>
                <w:rFonts w:hint="default" w:ascii="宋体" w:hAnsi="宋体" w:eastAsia="宋体" w:cs="宋体"/>
                <w:color w:val="000000"/>
                <w:sz w:val="18"/>
                <w:szCs w:val="18"/>
                <w:highlight w:val="none"/>
                <w:lang w:val="en-US" w:eastAsia="zh-CN"/>
              </w:rPr>
            </w:pPr>
          </w:p>
        </w:tc>
        <w:tc>
          <w:tcPr>
            <w:tcW w:w="743" w:type="dxa"/>
            <w:noWrap w:val="0"/>
            <w:vAlign w:val="center"/>
          </w:tcPr>
          <w:p w14:paraId="3CEFEEB7">
            <w:pPr>
              <w:spacing w:line="360" w:lineRule="auto"/>
              <w:jc w:val="center"/>
              <w:rPr>
                <w:rFonts w:hint="default" w:ascii="宋体" w:hAnsi="宋体" w:eastAsia="宋体" w:cs="宋体"/>
                <w:color w:val="000000"/>
                <w:kern w:val="2"/>
                <w:sz w:val="18"/>
                <w:szCs w:val="18"/>
                <w:highlight w:val="none"/>
                <w:lang w:val="en-US" w:eastAsia="zh-CN" w:bidi="ar-SA"/>
              </w:rPr>
            </w:pPr>
            <w:r>
              <w:rPr>
                <w:rFonts w:hint="eastAsia" w:ascii="宋体" w:hAnsi="宋体" w:cs="宋体"/>
                <w:color w:val="000000"/>
                <w:sz w:val="18"/>
                <w:szCs w:val="18"/>
                <w:highlight w:val="none"/>
                <w:lang w:val="en-US" w:eastAsia="zh-CN"/>
              </w:rPr>
              <w:t>12</w:t>
            </w:r>
          </w:p>
        </w:tc>
        <w:tc>
          <w:tcPr>
            <w:tcW w:w="8629" w:type="dxa"/>
            <w:noWrap w:val="0"/>
            <w:vAlign w:val="top"/>
          </w:tcPr>
          <w:p w14:paraId="42EA147E">
            <w:pPr>
              <w:spacing w:line="400" w:lineRule="exact"/>
              <w:rPr>
                <w:rFonts w:hint="eastAsia" w:ascii="宋体" w:hAnsi="宋体" w:cs="宋体"/>
                <w:color w:val="000000"/>
                <w:sz w:val="18"/>
                <w:szCs w:val="18"/>
                <w:highlight w:val="none"/>
              </w:rPr>
            </w:pPr>
            <w:r>
              <w:rPr>
                <w:rFonts w:hint="eastAsia" w:ascii="宋体" w:hAnsi="宋体" w:eastAsia="宋体" w:cs="宋体"/>
                <w:color w:val="000000"/>
                <w:sz w:val="18"/>
                <w:szCs w:val="18"/>
                <w:highlight w:val="none"/>
              </w:rPr>
              <w:t>触摸屏单独配控制箱或安装与控制柜前面板上。</w:t>
            </w:r>
          </w:p>
        </w:tc>
      </w:tr>
      <w:tr w14:paraId="6D928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 w:type="dxa"/>
          <w:trHeight w:val="548" w:hRule="atLeast"/>
          <w:tblHeader/>
          <w:jc w:val="center"/>
        </w:trPr>
        <w:tc>
          <w:tcPr>
            <w:tcW w:w="590" w:type="dxa"/>
            <w:noWrap w:val="0"/>
            <w:vAlign w:val="center"/>
          </w:tcPr>
          <w:p w14:paraId="4B08E84A">
            <w:pPr>
              <w:spacing w:line="360" w:lineRule="auto"/>
              <w:jc w:val="center"/>
              <w:rPr>
                <w:rFonts w:hint="default" w:ascii="宋体" w:hAnsi="宋体" w:eastAsia="宋体" w:cs="宋体"/>
                <w:color w:val="000000"/>
                <w:sz w:val="18"/>
                <w:szCs w:val="18"/>
                <w:highlight w:val="none"/>
                <w:lang w:val="en-US" w:eastAsia="zh-CN"/>
              </w:rPr>
            </w:pPr>
          </w:p>
        </w:tc>
        <w:tc>
          <w:tcPr>
            <w:tcW w:w="743" w:type="dxa"/>
            <w:noWrap w:val="0"/>
            <w:vAlign w:val="center"/>
          </w:tcPr>
          <w:p w14:paraId="7BEF8E44">
            <w:pPr>
              <w:spacing w:line="360" w:lineRule="auto"/>
              <w:jc w:val="center"/>
              <w:rPr>
                <w:rFonts w:hint="default" w:ascii="宋体" w:hAnsi="宋体" w:eastAsia="宋体" w:cs="宋体"/>
                <w:color w:val="000000"/>
                <w:kern w:val="2"/>
                <w:sz w:val="18"/>
                <w:szCs w:val="18"/>
                <w:highlight w:val="none"/>
                <w:lang w:val="en-US" w:eastAsia="zh-CN" w:bidi="ar-SA"/>
              </w:rPr>
            </w:pPr>
            <w:r>
              <w:rPr>
                <w:rFonts w:hint="eastAsia" w:ascii="宋体" w:hAnsi="宋体" w:cs="宋体"/>
                <w:color w:val="000000"/>
                <w:sz w:val="18"/>
                <w:szCs w:val="18"/>
                <w:highlight w:val="none"/>
                <w:lang w:val="en-US" w:eastAsia="zh-CN"/>
              </w:rPr>
              <w:t>13</w:t>
            </w:r>
          </w:p>
        </w:tc>
        <w:tc>
          <w:tcPr>
            <w:tcW w:w="8629" w:type="dxa"/>
            <w:noWrap w:val="0"/>
            <w:vAlign w:val="top"/>
          </w:tcPr>
          <w:p w14:paraId="2C3C3B4A">
            <w:pPr>
              <w:spacing w:line="400" w:lineRule="exact"/>
              <w:rPr>
                <w:rFonts w:hint="eastAsia" w:ascii="宋体" w:hAnsi="宋体" w:cs="宋体"/>
                <w:color w:val="000000"/>
                <w:sz w:val="18"/>
                <w:szCs w:val="18"/>
                <w:highlight w:val="none"/>
              </w:rPr>
            </w:pPr>
            <w:r>
              <w:rPr>
                <w:rFonts w:hint="eastAsia" w:ascii="宋体" w:hAnsi="宋体" w:eastAsia="宋体" w:cs="宋体"/>
                <w:color w:val="000000"/>
                <w:sz w:val="18"/>
                <w:szCs w:val="18"/>
                <w:highlight w:val="none"/>
              </w:rPr>
              <w:t>控制系统要求至少采用三级管理权限，分设不同密码。其中三级权限需能设置多个用户。电脑操作系统可设三级权限，设立后，并不影响空调机组控制软件的运行。</w:t>
            </w:r>
          </w:p>
        </w:tc>
      </w:tr>
      <w:tr w14:paraId="27195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 w:type="dxa"/>
          <w:trHeight w:val="548" w:hRule="atLeast"/>
          <w:tblHeader/>
          <w:jc w:val="center"/>
        </w:trPr>
        <w:tc>
          <w:tcPr>
            <w:tcW w:w="590" w:type="dxa"/>
            <w:noWrap w:val="0"/>
            <w:vAlign w:val="center"/>
          </w:tcPr>
          <w:p w14:paraId="135FB658">
            <w:pPr>
              <w:spacing w:line="360" w:lineRule="auto"/>
              <w:jc w:val="center"/>
              <w:rPr>
                <w:rFonts w:hint="eastAsia" w:ascii="宋体" w:hAnsi="宋体" w:eastAsia="宋体" w:cs="宋体"/>
                <w:color w:val="000000"/>
                <w:sz w:val="18"/>
                <w:szCs w:val="18"/>
                <w:highlight w:val="none"/>
                <w:lang w:val="en-US" w:eastAsia="zh-CN"/>
              </w:rPr>
            </w:pPr>
          </w:p>
        </w:tc>
        <w:tc>
          <w:tcPr>
            <w:tcW w:w="743" w:type="dxa"/>
            <w:noWrap w:val="0"/>
            <w:vAlign w:val="center"/>
          </w:tcPr>
          <w:p w14:paraId="3A2EC39E">
            <w:pPr>
              <w:spacing w:line="360" w:lineRule="auto"/>
              <w:jc w:val="center"/>
              <w:rPr>
                <w:rFonts w:hint="default" w:ascii="宋体" w:hAnsi="宋体" w:eastAsia="宋体" w:cs="宋体"/>
                <w:color w:val="000000"/>
                <w:kern w:val="2"/>
                <w:sz w:val="18"/>
                <w:szCs w:val="18"/>
                <w:highlight w:val="none"/>
                <w:lang w:val="en-US" w:eastAsia="zh-CN" w:bidi="ar-SA"/>
              </w:rPr>
            </w:pPr>
            <w:r>
              <w:rPr>
                <w:rFonts w:hint="eastAsia" w:ascii="宋体" w:hAnsi="宋体" w:cs="宋体"/>
                <w:color w:val="000000"/>
                <w:sz w:val="18"/>
                <w:szCs w:val="18"/>
                <w:highlight w:val="none"/>
                <w:lang w:val="en-US" w:eastAsia="zh-CN"/>
              </w:rPr>
              <w:t>14</w:t>
            </w:r>
          </w:p>
        </w:tc>
        <w:tc>
          <w:tcPr>
            <w:tcW w:w="8629" w:type="dxa"/>
            <w:noWrap w:val="0"/>
            <w:vAlign w:val="top"/>
          </w:tcPr>
          <w:p w14:paraId="79727DE0">
            <w:pPr>
              <w:spacing w:line="400" w:lineRule="exact"/>
              <w:rPr>
                <w:rFonts w:hint="eastAsia" w:ascii="宋体" w:hAnsi="宋体" w:cs="宋体"/>
                <w:color w:val="000000"/>
                <w:sz w:val="18"/>
                <w:szCs w:val="18"/>
                <w:highlight w:val="none"/>
              </w:rPr>
            </w:pPr>
            <w:r>
              <w:rPr>
                <w:rFonts w:hint="eastAsia" w:ascii="宋体" w:hAnsi="宋体" w:eastAsia="宋体" w:cs="宋体"/>
                <w:color w:val="000000"/>
                <w:sz w:val="18"/>
                <w:szCs w:val="18"/>
                <w:highlight w:val="none"/>
              </w:rPr>
              <w:t>操作员可更改、设定的数据有：空调运行模式切换、空调手自动切换、执行机构和变频器的手自动切换、执行机构和变频器在手动模式下阀门开度和频率调节、温湿度、压差等控制值及其报警上下限、PID参数。</w:t>
            </w:r>
          </w:p>
        </w:tc>
      </w:tr>
      <w:tr w14:paraId="413BE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 w:type="dxa"/>
          <w:trHeight w:val="262" w:hRule="atLeast"/>
          <w:tblHeader/>
          <w:jc w:val="center"/>
        </w:trPr>
        <w:tc>
          <w:tcPr>
            <w:tcW w:w="9962" w:type="dxa"/>
            <w:gridSpan w:val="3"/>
            <w:noWrap w:val="0"/>
            <w:vAlign w:val="center"/>
          </w:tcPr>
          <w:p w14:paraId="7B6E1B6E">
            <w:pPr>
              <w:spacing w:line="400" w:lineRule="exact"/>
              <w:jc w:val="center"/>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b/>
                <w:bCs/>
                <w:color w:val="000000"/>
                <w:sz w:val="18"/>
                <w:szCs w:val="18"/>
                <w:highlight w:val="none"/>
              </w:rPr>
              <w:t>显示画面</w:t>
            </w:r>
          </w:p>
        </w:tc>
      </w:tr>
      <w:tr w14:paraId="181E1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 w:type="dxa"/>
          <w:trHeight w:val="548" w:hRule="atLeast"/>
          <w:tblHeader/>
          <w:jc w:val="center"/>
        </w:trPr>
        <w:tc>
          <w:tcPr>
            <w:tcW w:w="590" w:type="dxa"/>
            <w:noWrap w:val="0"/>
            <w:vAlign w:val="center"/>
          </w:tcPr>
          <w:p w14:paraId="7FB3F85C">
            <w:pPr>
              <w:spacing w:line="360" w:lineRule="auto"/>
              <w:jc w:val="center"/>
              <w:rPr>
                <w:rFonts w:hint="eastAsia" w:ascii="宋体" w:hAnsi="宋体" w:eastAsia="宋体" w:cs="宋体"/>
                <w:color w:val="000000"/>
                <w:sz w:val="18"/>
                <w:szCs w:val="18"/>
                <w:highlight w:val="none"/>
                <w:lang w:val="en-US" w:eastAsia="zh-CN"/>
              </w:rPr>
            </w:pPr>
          </w:p>
        </w:tc>
        <w:tc>
          <w:tcPr>
            <w:tcW w:w="743" w:type="dxa"/>
            <w:noWrap w:val="0"/>
            <w:vAlign w:val="center"/>
          </w:tcPr>
          <w:p w14:paraId="0B6C5D1E">
            <w:pPr>
              <w:spacing w:line="360" w:lineRule="auto"/>
              <w:jc w:val="center"/>
              <w:rPr>
                <w:rFonts w:hint="default" w:ascii="宋体" w:hAnsi="宋体" w:eastAsia="宋体" w:cs="宋体"/>
                <w:color w:val="000000"/>
                <w:kern w:val="2"/>
                <w:sz w:val="18"/>
                <w:szCs w:val="18"/>
                <w:highlight w:val="none"/>
                <w:lang w:val="en-US" w:eastAsia="zh-CN" w:bidi="ar-SA"/>
              </w:rPr>
            </w:pPr>
            <w:r>
              <w:rPr>
                <w:rFonts w:hint="eastAsia" w:ascii="宋体" w:hAnsi="宋体" w:cs="宋体"/>
                <w:color w:val="000000"/>
                <w:sz w:val="18"/>
                <w:szCs w:val="18"/>
                <w:highlight w:val="none"/>
                <w:lang w:val="en-US" w:eastAsia="zh-CN"/>
              </w:rPr>
              <w:t>15</w:t>
            </w:r>
          </w:p>
        </w:tc>
        <w:tc>
          <w:tcPr>
            <w:tcW w:w="8629" w:type="dxa"/>
            <w:noWrap w:val="0"/>
            <w:vAlign w:val="top"/>
          </w:tcPr>
          <w:p w14:paraId="6A62F32B">
            <w:pPr>
              <w:spacing w:line="400" w:lineRule="exact"/>
              <w:rPr>
                <w:rFonts w:hint="eastAsia" w:ascii="宋体" w:hAnsi="宋体" w:cs="宋体"/>
                <w:color w:val="000000"/>
                <w:sz w:val="18"/>
                <w:szCs w:val="18"/>
                <w:highlight w:val="none"/>
              </w:rPr>
            </w:pPr>
            <w:r>
              <w:rPr>
                <w:rFonts w:hint="eastAsia" w:ascii="宋体" w:hAnsi="宋体" w:eastAsia="宋体" w:cs="宋体"/>
                <w:color w:val="000000"/>
                <w:sz w:val="18"/>
                <w:szCs w:val="18"/>
                <w:highlight w:val="none"/>
              </w:rPr>
              <w:t>每台机组有单独运行界面。包含切换按钮、带控制点的系统示意图、本系统阀门的状态、设定及开度、风机状态及运行频率运行参数显示、手动-自动切换按钮及设定、报警按钮等。</w:t>
            </w:r>
          </w:p>
        </w:tc>
      </w:tr>
      <w:tr w14:paraId="46BD8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 w:type="dxa"/>
          <w:trHeight w:val="548" w:hRule="atLeast"/>
          <w:tblHeader/>
          <w:jc w:val="center"/>
        </w:trPr>
        <w:tc>
          <w:tcPr>
            <w:tcW w:w="590" w:type="dxa"/>
            <w:noWrap w:val="0"/>
            <w:vAlign w:val="center"/>
          </w:tcPr>
          <w:p w14:paraId="049E14C4">
            <w:pPr>
              <w:spacing w:line="360" w:lineRule="auto"/>
              <w:jc w:val="center"/>
              <w:rPr>
                <w:rFonts w:hint="default" w:ascii="宋体" w:hAnsi="宋体" w:eastAsia="宋体" w:cs="宋体"/>
                <w:color w:val="000000"/>
                <w:sz w:val="18"/>
                <w:szCs w:val="18"/>
                <w:highlight w:val="none"/>
                <w:lang w:val="en-US" w:eastAsia="zh-CN"/>
              </w:rPr>
            </w:pPr>
          </w:p>
        </w:tc>
        <w:tc>
          <w:tcPr>
            <w:tcW w:w="743" w:type="dxa"/>
            <w:noWrap w:val="0"/>
            <w:vAlign w:val="center"/>
          </w:tcPr>
          <w:p w14:paraId="383FCB2B">
            <w:pPr>
              <w:spacing w:line="360" w:lineRule="auto"/>
              <w:jc w:val="center"/>
              <w:rPr>
                <w:rFonts w:hint="default" w:ascii="宋体" w:hAnsi="宋体" w:eastAsia="宋体" w:cs="宋体"/>
                <w:color w:val="000000"/>
                <w:kern w:val="2"/>
                <w:sz w:val="18"/>
                <w:szCs w:val="18"/>
                <w:highlight w:val="none"/>
                <w:lang w:val="en-US" w:eastAsia="zh-CN" w:bidi="ar-SA"/>
              </w:rPr>
            </w:pPr>
            <w:r>
              <w:rPr>
                <w:rFonts w:hint="eastAsia" w:ascii="宋体" w:hAnsi="宋体" w:cs="宋体"/>
                <w:color w:val="000000"/>
                <w:sz w:val="18"/>
                <w:szCs w:val="18"/>
                <w:highlight w:val="none"/>
                <w:lang w:val="en-US" w:eastAsia="zh-CN"/>
              </w:rPr>
              <w:t>16</w:t>
            </w:r>
          </w:p>
        </w:tc>
        <w:tc>
          <w:tcPr>
            <w:tcW w:w="8629" w:type="dxa"/>
            <w:noWrap w:val="0"/>
            <w:vAlign w:val="top"/>
          </w:tcPr>
          <w:p w14:paraId="54EDB1D6">
            <w:pPr>
              <w:spacing w:line="400" w:lineRule="exact"/>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切换按钮包含：历史曲线、历史数据、机组总览、温湿度和压差参数设定、其它机组界面切换、报警记录、系统退出等。</w:t>
            </w:r>
          </w:p>
        </w:tc>
      </w:tr>
      <w:tr w14:paraId="1570F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 w:type="dxa"/>
          <w:trHeight w:val="548" w:hRule="atLeast"/>
          <w:tblHeader/>
          <w:jc w:val="center"/>
        </w:trPr>
        <w:tc>
          <w:tcPr>
            <w:tcW w:w="590" w:type="dxa"/>
            <w:noWrap w:val="0"/>
            <w:vAlign w:val="center"/>
          </w:tcPr>
          <w:p w14:paraId="5D290BBF">
            <w:pPr>
              <w:spacing w:line="360" w:lineRule="auto"/>
              <w:jc w:val="center"/>
              <w:rPr>
                <w:rFonts w:hint="default" w:ascii="宋体" w:hAnsi="宋体" w:eastAsia="宋体" w:cs="宋体"/>
                <w:color w:val="000000"/>
                <w:sz w:val="18"/>
                <w:szCs w:val="18"/>
                <w:highlight w:val="none"/>
                <w:lang w:val="en-US" w:eastAsia="zh-CN"/>
              </w:rPr>
            </w:pPr>
          </w:p>
        </w:tc>
        <w:tc>
          <w:tcPr>
            <w:tcW w:w="743" w:type="dxa"/>
            <w:noWrap w:val="0"/>
            <w:vAlign w:val="center"/>
          </w:tcPr>
          <w:p w14:paraId="5DF8A515">
            <w:pPr>
              <w:spacing w:line="360" w:lineRule="auto"/>
              <w:jc w:val="center"/>
              <w:rPr>
                <w:rFonts w:hint="default" w:ascii="宋体" w:hAnsi="宋体" w:eastAsia="宋体" w:cs="宋体"/>
                <w:color w:val="000000"/>
                <w:kern w:val="2"/>
                <w:sz w:val="18"/>
                <w:szCs w:val="18"/>
                <w:highlight w:val="none"/>
                <w:lang w:val="en-US" w:eastAsia="zh-CN" w:bidi="ar-SA"/>
              </w:rPr>
            </w:pPr>
            <w:r>
              <w:rPr>
                <w:rFonts w:hint="eastAsia" w:ascii="宋体" w:hAnsi="宋体" w:cs="宋体"/>
                <w:color w:val="000000"/>
                <w:sz w:val="18"/>
                <w:szCs w:val="18"/>
                <w:highlight w:val="none"/>
                <w:lang w:val="en-US" w:eastAsia="zh-CN"/>
              </w:rPr>
              <w:t>17</w:t>
            </w:r>
          </w:p>
        </w:tc>
        <w:tc>
          <w:tcPr>
            <w:tcW w:w="8629" w:type="dxa"/>
            <w:noWrap w:val="0"/>
            <w:vAlign w:val="top"/>
          </w:tcPr>
          <w:p w14:paraId="0916375F">
            <w:pPr>
              <w:spacing w:line="400" w:lineRule="exact"/>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机组总览包含：所有机组状态指示、风机状态及运行频率运行参数显示、温湿度压差数值等。</w:t>
            </w:r>
          </w:p>
        </w:tc>
      </w:tr>
      <w:tr w14:paraId="20937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 w:type="dxa"/>
          <w:trHeight w:val="548" w:hRule="atLeast"/>
          <w:tblHeader/>
          <w:jc w:val="center"/>
        </w:trPr>
        <w:tc>
          <w:tcPr>
            <w:tcW w:w="9962" w:type="dxa"/>
            <w:gridSpan w:val="3"/>
            <w:noWrap w:val="0"/>
            <w:vAlign w:val="center"/>
          </w:tcPr>
          <w:p w14:paraId="72FD5F91">
            <w:pPr>
              <w:spacing w:line="400" w:lineRule="exact"/>
              <w:jc w:val="center"/>
              <w:rPr>
                <w:rFonts w:hint="eastAsia" w:ascii="宋体" w:hAnsi="宋体" w:eastAsia="宋体" w:cs="宋体"/>
                <w:color w:val="000000"/>
                <w:sz w:val="18"/>
                <w:szCs w:val="18"/>
                <w:highlight w:val="none"/>
              </w:rPr>
            </w:pPr>
            <w:r>
              <w:rPr>
                <w:rFonts w:hint="eastAsia" w:ascii="宋体" w:hAnsi="宋体" w:eastAsia="宋体" w:cs="宋体"/>
                <w:b/>
                <w:bCs/>
                <w:color w:val="000000"/>
                <w:sz w:val="18"/>
                <w:szCs w:val="18"/>
                <w:highlight w:val="none"/>
              </w:rPr>
              <w:t>记录</w:t>
            </w:r>
          </w:p>
        </w:tc>
      </w:tr>
      <w:tr w14:paraId="0026F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 w:type="dxa"/>
          <w:trHeight w:val="548" w:hRule="atLeast"/>
          <w:tblHeader/>
          <w:jc w:val="center"/>
        </w:trPr>
        <w:tc>
          <w:tcPr>
            <w:tcW w:w="590" w:type="dxa"/>
            <w:noWrap w:val="0"/>
            <w:vAlign w:val="center"/>
          </w:tcPr>
          <w:p w14:paraId="1F8A757B">
            <w:pPr>
              <w:spacing w:line="360" w:lineRule="auto"/>
              <w:jc w:val="center"/>
              <w:rPr>
                <w:rFonts w:hint="default" w:ascii="宋体" w:hAnsi="宋体" w:eastAsia="宋体" w:cs="宋体"/>
                <w:color w:val="000000"/>
                <w:sz w:val="18"/>
                <w:szCs w:val="18"/>
                <w:highlight w:val="none"/>
                <w:lang w:val="en-US" w:eastAsia="zh-CN"/>
              </w:rPr>
            </w:pPr>
          </w:p>
        </w:tc>
        <w:tc>
          <w:tcPr>
            <w:tcW w:w="743" w:type="dxa"/>
            <w:noWrap w:val="0"/>
            <w:vAlign w:val="center"/>
          </w:tcPr>
          <w:p w14:paraId="53464179">
            <w:pPr>
              <w:spacing w:line="360" w:lineRule="auto"/>
              <w:jc w:val="center"/>
              <w:rPr>
                <w:rFonts w:hint="default" w:ascii="宋体" w:hAnsi="宋体" w:eastAsia="宋体" w:cs="宋体"/>
                <w:color w:val="000000"/>
                <w:kern w:val="2"/>
                <w:sz w:val="18"/>
                <w:szCs w:val="18"/>
                <w:highlight w:val="none"/>
                <w:lang w:val="en-US" w:eastAsia="zh-CN" w:bidi="ar-SA"/>
              </w:rPr>
            </w:pPr>
            <w:r>
              <w:rPr>
                <w:rFonts w:hint="eastAsia" w:ascii="宋体" w:hAnsi="宋体" w:cs="宋体"/>
                <w:color w:val="000000"/>
                <w:sz w:val="18"/>
                <w:szCs w:val="18"/>
                <w:highlight w:val="none"/>
                <w:lang w:val="en-US" w:eastAsia="zh-CN"/>
              </w:rPr>
              <w:t>18</w:t>
            </w:r>
          </w:p>
        </w:tc>
        <w:tc>
          <w:tcPr>
            <w:tcW w:w="8629" w:type="dxa"/>
            <w:noWrap w:val="0"/>
            <w:vAlign w:val="top"/>
          </w:tcPr>
          <w:p w14:paraId="3C72D8C3">
            <w:pPr>
              <w:spacing w:line="400" w:lineRule="exact"/>
              <w:jc w:val="left"/>
              <w:rPr>
                <w:rFonts w:hint="eastAsia" w:ascii="宋体" w:hAnsi="宋体" w:cs="宋体"/>
                <w:color w:val="000000"/>
                <w:sz w:val="18"/>
                <w:szCs w:val="18"/>
                <w:highlight w:val="none"/>
              </w:rPr>
            </w:pPr>
            <w:r>
              <w:rPr>
                <w:rFonts w:hint="eastAsia" w:ascii="宋体" w:hAnsi="宋体" w:eastAsia="宋体" w:cs="宋体"/>
                <w:color w:val="000000"/>
                <w:sz w:val="18"/>
                <w:szCs w:val="18"/>
                <w:highlight w:val="none"/>
              </w:rPr>
              <w:t>历史记录显示及打印方式可自由选择表格或曲线形式；显示历史曲线及报表打印具有灵活选择性，如可按某一房间（或系统）显示或打印所有参数(如温度、湿度、压差等)；也可在同一画面有选择的显示及打印不同区域的同一种参数，如集中显示及打印不同房间及系统的温度曲线，趋势图显示曲线不小于</w:t>
            </w:r>
            <w:r>
              <w:rPr>
                <w:rFonts w:hint="eastAsia" w:ascii="宋体" w:hAnsi="宋体" w:cs="宋体"/>
                <w:color w:val="000000"/>
                <w:sz w:val="18"/>
                <w:szCs w:val="18"/>
                <w:highlight w:val="none"/>
              </w:rPr>
              <w:t>2</w:t>
            </w:r>
            <w:r>
              <w:rPr>
                <w:rFonts w:hint="eastAsia" w:ascii="宋体" w:hAnsi="宋体" w:eastAsia="宋体" w:cs="宋体"/>
                <w:color w:val="000000"/>
                <w:sz w:val="18"/>
                <w:szCs w:val="18"/>
                <w:highlight w:val="none"/>
              </w:rPr>
              <w:t>个变量，显示区间10min至24h可选，默认24h。</w:t>
            </w:r>
          </w:p>
        </w:tc>
      </w:tr>
      <w:tr w14:paraId="194EF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 w:type="dxa"/>
          <w:trHeight w:val="548" w:hRule="atLeast"/>
          <w:tblHeader/>
          <w:jc w:val="center"/>
        </w:trPr>
        <w:tc>
          <w:tcPr>
            <w:tcW w:w="590" w:type="dxa"/>
            <w:noWrap w:val="0"/>
            <w:vAlign w:val="center"/>
          </w:tcPr>
          <w:p w14:paraId="3F9B5A86">
            <w:pPr>
              <w:spacing w:line="360" w:lineRule="auto"/>
              <w:jc w:val="center"/>
              <w:rPr>
                <w:rFonts w:hint="default" w:ascii="宋体" w:hAnsi="宋体" w:eastAsia="宋体" w:cs="宋体"/>
                <w:color w:val="000000"/>
                <w:sz w:val="18"/>
                <w:szCs w:val="18"/>
                <w:highlight w:val="none"/>
                <w:lang w:val="en-US" w:eastAsia="zh-CN"/>
              </w:rPr>
            </w:pPr>
          </w:p>
        </w:tc>
        <w:tc>
          <w:tcPr>
            <w:tcW w:w="743" w:type="dxa"/>
            <w:noWrap w:val="0"/>
            <w:vAlign w:val="center"/>
          </w:tcPr>
          <w:p w14:paraId="4C65118A">
            <w:pPr>
              <w:spacing w:line="360" w:lineRule="auto"/>
              <w:jc w:val="center"/>
              <w:rPr>
                <w:rFonts w:hint="default" w:ascii="宋体" w:hAnsi="宋体" w:eastAsia="宋体" w:cs="宋体"/>
                <w:color w:val="000000"/>
                <w:kern w:val="2"/>
                <w:sz w:val="18"/>
                <w:szCs w:val="18"/>
                <w:highlight w:val="none"/>
                <w:lang w:val="en-US" w:eastAsia="zh-CN" w:bidi="ar-SA"/>
              </w:rPr>
            </w:pPr>
            <w:r>
              <w:rPr>
                <w:rFonts w:hint="eastAsia" w:ascii="宋体" w:hAnsi="宋体" w:cs="宋体"/>
                <w:color w:val="000000"/>
                <w:sz w:val="18"/>
                <w:szCs w:val="18"/>
                <w:highlight w:val="none"/>
                <w:lang w:val="en-US" w:eastAsia="zh-CN"/>
              </w:rPr>
              <w:t>19</w:t>
            </w:r>
          </w:p>
        </w:tc>
        <w:tc>
          <w:tcPr>
            <w:tcW w:w="8629" w:type="dxa"/>
            <w:noWrap w:val="0"/>
            <w:vAlign w:val="top"/>
          </w:tcPr>
          <w:p w14:paraId="1B6294C9">
            <w:pPr>
              <w:spacing w:line="400" w:lineRule="exact"/>
              <w:jc w:val="left"/>
              <w:rPr>
                <w:rFonts w:hint="eastAsia" w:ascii="宋体" w:hAnsi="宋体" w:cs="宋体"/>
                <w:b/>
                <w:color w:val="000000"/>
                <w:sz w:val="18"/>
                <w:szCs w:val="18"/>
                <w:highlight w:val="none"/>
              </w:rPr>
            </w:pPr>
            <w:r>
              <w:rPr>
                <w:rFonts w:hint="eastAsia" w:ascii="宋体" w:hAnsi="宋体" w:eastAsia="宋体" w:cs="宋体"/>
                <w:color w:val="000000"/>
                <w:sz w:val="18"/>
                <w:szCs w:val="18"/>
                <w:highlight w:val="none"/>
              </w:rPr>
              <w:t>报表变量无限制，每分钟记录一次，可保存</w:t>
            </w:r>
            <w:r>
              <w:rPr>
                <w:rFonts w:hint="eastAsia" w:ascii="宋体" w:hAnsi="宋体" w:cs="宋体"/>
                <w:color w:val="000000"/>
                <w:sz w:val="18"/>
                <w:szCs w:val="18"/>
                <w:highlight w:val="none"/>
              </w:rPr>
              <w:t>3</w:t>
            </w:r>
            <w:r>
              <w:rPr>
                <w:rFonts w:hint="eastAsia" w:ascii="宋体" w:hAnsi="宋体" w:eastAsia="宋体" w:cs="宋体"/>
                <w:color w:val="000000"/>
                <w:sz w:val="18"/>
                <w:szCs w:val="18"/>
                <w:highlight w:val="none"/>
              </w:rPr>
              <w:t>组以上所选参数组合。显示区间1天至30天可选，能够生成Excel表格保存。备份要求：可至少保存</w:t>
            </w:r>
            <w:r>
              <w:rPr>
                <w:rFonts w:hint="eastAsia" w:ascii="宋体" w:hAnsi="宋体" w:cs="宋体"/>
                <w:color w:val="000000"/>
                <w:sz w:val="18"/>
                <w:szCs w:val="18"/>
                <w:highlight w:val="none"/>
              </w:rPr>
              <w:t>半年</w:t>
            </w:r>
            <w:r>
              <w:rPr>
                <w:rFonts w:hint="eastAsia" w:ascii="宋体" w:hAnsi="宋体" w:eastAsia="宋体" w:cs="宋体"/>
                <w:color w:val="000000"/>
                <w:sz w:val="18"/>
                <w:szCs w:val="18"/>
                <w:highlight w:val="none"/>
              </w:rPr>
              <w:t>的数据，以每天的数据自动形成文件夹，可使用户在不停机的情况下对之前的数据进行拷贝。</w:t>
            </w:r>
          </w:p>
        </w:tc>
      </w:tr>
      <w:tr w14:paraId="0B106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 w:type="dxa"/>
          <w:trHeight w:val="548" w:hRule="atLeast"/>
          <w:tblHeader/>
          <w:jc w:val="center"/>
        </w:trPr>
        <w:tc>
          <w:tcPr>
            <w:tcW w:w="590" w:type="dxa"/>
            <w:noWrap w:val="0"/>
            <w:vAlign w:val="center"/>
          </w:tcPr>
          <w:p w14:paraId="13DE4784">
            <w:pPr>
              <w:spacing w:line="360" w:lineRule="auto"/>
              <w:jc w:val="center"/>
              <w:rPr>
                <w:rFonts w:hint="default" w:ascii="宋体" w:hAnsi="宋体" w:eastAsia="宋体" w:cs="宋体"/>
                <w:color w:val="000000"/>
                <w:sz w:val="18"/>
                <w:szCs w:val="18"/>
                <w:highlight w:val="none"/>
                <w:lang w:val="en-US" w:eastAsia="zh-CN"/>
              </w:rPr>
            </w:pPr>
          </w:p>
        </w:tc>
        <w:tc>
          <w:tcPr>
            <w:tcW w:w="743" w:type="dxa"/>
            <w:noWrap w:val="0"/>
            <w:vAlign w:val="center"/>
          </w:tcPr>
          <w:p w14:paraId="6C0FA4F2">
            <w:pPr>
              <w:spacing w:line="360" w:lineRule="auto"/>
              <w:jc w:val="center"/>
              <w:rPr>
                <w:rFonts w:hint="default" w:ascii="宋体" w:hAnsi="宋体" w:eastAsia="宋体" w:cs="宋体"/>
                <w:color w:val="000000"/>
                <w:kern w:val="2"/>
                <w:sz w:val="18"/>
                <w:szCs w:val="18"/>
                <w:highlight w:val="none"/>
                <w:lang w:val="en-US" w:eastAsia="zh-CN" w:bidi="ar-SA"/>
              </w:rPr>
            </w:pPr>
            <w:r>
              <w:rPr>
                <w:rFonts w:hint="eastAsia" w:ascii="宋体" w:hAnsi="宋体" w:cs="宋体"/>
                <w:color w:val="000000"/>
                <w:sz w:val="18"/>
                <w:szCs w:val="18"/>
                <w:highlight w:val="none"/>
                <w:lang w:val="en-US" w:eastAsia="zh-CN"/>
              </w:rPr>
              <w:t>20</w:t>
            </w:r>
          </w:p>
        </w:tc>
        <w:tc>
          <w:tcPr>
            <w:tcW w:w="8629" w:type="dxa"/>
            <w:noWrap w:val="0"/>
            <w:vAlign w:val="top"/>
          </w:tcPr>
          <w:p w14:paraId="63BEF10F">
            <w:pPr>
              <w:spacing w:line="400" w:lineRule="exact"/>
              <w:jc w:val="left"/>
              <w:rPr>
                <w:rFonts w:hint="eastAsia" w:ascii="宋体" w:hAnsi="宋体" w:cs="宋体"/>
                <w:color w:val="000000"/>
                <w:sz w:val="18"/>
                <w:szCs w:val="18"/>
                <w:highlight w:val="none"/>
              </w:rPr>
            </w:pPr>
            <w:r>
              <w:rPr>
                <w:rFonts w:hint="eastAsia" w:ascii="宋体" w:hAnsi="宋体" w:eastAsia="宋体" w:cs="宋体"/>
                <w:color w:val="000000"/>
                <w:sz w:val="18"/>
                <w:szCs w:val="18"/>
                <w:highlight w:val="none"/>
              </w:rPr>
              <w:t>AI/AO信号类型主要为0~10V</w:t>
            </w:r>
            <w:r>
              <w:rPr>
                <w:rFonts w:hint="eastAsia" w:ascii="宋体" w:hAnsi="宋体" w:cs="宋体"/>
                <w:color w:val="000000"/>
                <w:sz w:val="18"/>
                <w:szCs w:val="18"/>
                <w:highlight w:val="none"/>
              </w:rPr>
              <w:t>/4-20mA</w:t>
            </w:r>
            <w:r>
              <w:rPr>
                <w:rFonts w:hint="eastAsia" w:ascii="宋体" w:hAnsi="宋体" w:eastAsia="宋体" w:cs="宋体"/>
                <w:color w:val="000000"/>
                <w:sz w:val="18"/>
                <w:szCs w:val="18"/>
                <w:highlight w:val="none"/>
              </w:rPr>
              <w:t>。</w:t>
            </w:r>
          </w:p>
          <w:p w14:paraId="0D070D34">
            <w:pPr>
              <w:spacing w:line="400" w:lineRule="exact"/>
              <w:jc w:val="left"/>
              <w:rPr>
                <w:rFonts w:hint="eastAsia" w:ascii="宋体" w:hAnsi="宋体" w:cs="宋体"/>
                <w:color w:val="000000"/>
                <w:sz w:val="18"/>
                <w:szCs w:val="18"/>
                <w:highlight w:val="none"/>
              </w:rPr>
            </w:pPr>
            <w:r>
              <w:rPr>
                <w:rFonts w:hint="eastAsia" w:ascii="宋体" w:hAnsi="宋体" w:eastAsia="宋体" w:cs="宋体"/>
                <w:color w:val="000000"/>
                <w:sz w:val="18"/>
                <w:szCs w:val="18"/>
                <w:highlight w:val="none"/>
              </w:rPr>
              <w:t>各类型</w:t>
            </w:r>
            <w:r>
              <w:rPr>
                <w:rFonts w:hint="eastAsia" w:ascii="宋体" w:hAnsi="宋体" w:cs="宋体"/>
                <w:color w:val="000000"/>
                <w:sz w:val="18"/>
                <w:szCs w:val="18"/>
                <w:highlight w:val="none"/>
                <w:lang w:val="en-US" w:eastAsia="zh-CN"/>
              </w:rPr>
              <w:t>开关</w:t>
            </w:r>
            <w:r>
              <w:rPr>
                <w:rFonts w:hint="eastAsia" w:ascii="宋体" w:hAnsi="宋体" w:eastAsia="宋体" w:cs="宋体"/>
                <w:color w:val="000000"/>
                <w:sz w:val="18"/>
                <w:szCs w:val="18"/>
                <w:highlight w:val="none"/>
              </w:rPr>
              <w:t>点要分别留20%的余量，保证设备以后的扩展或升级。模拟量模块通道数不大于8个，数字量模块通道数不大于16个。</w:t>
            </w:r>
          </w:p>
        </w:tc>
      </w:tr>
      <w:tr w14:paraId="7E5E6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 w:type="dxa"/>
          <w:trHeight w:val="548" w:hRule="atLeast"/>
          <w:tblHeader/>
          <w:jc w:val="center"/>
        </w:trPr>
        <w:tc>
          <w:tcPr>
            <w:tcW w:w="590" w:type="dxa"/>
            <w:noWrap w:val="0"/>
            <w:vAlign w:val="center"/>
          </w:tcPr>
          <w:p w14:paraId="796F2374">
            <w:pPr>
              <w:spacing w:line="360" w:lineRule="auto"/>
              <w:jc w:val="center"/>
              <w:rPr>
                <w:rFonts w:hint="default" w:ascii="宋体" w:hAnsi="宋体" w:eastAsia="宋体" w:cs="宋体"/>
                <w:color w:val="000000"/>
                <w:sz w:val="18"/>
                <w:szCs w:val="18"/>
                <w:highlight w:val="none"/>
                <w:lang w:val="en-US" w:eastAsia="zh-CN"/>
              </w:rPr>
            </w:pPr>
          </w:p>
        </w:tc>
        <w:tc>
          <w:tcPr>
            <w:tcW w:w="743" w:type="dxa"/>
            <w:noWrap w:val="0"/>
            <w:vAlign w:val="center"/>
          </w:tcPr>
          <w:p w14:paraId="54FE1BED">
            <w:pPr>
              <w:spacing w:line="360" w:lineRule="auto"/>
              <w:jc w:val="center"/>
              <w:rPr>
                <w:rFonts w:hint="default" w:ascii="宋体" w:hAnsi="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21</w:t>
            </w:r>
          </w:p>
        </w:tc>
        <w:tc>
          <w:tcPr>
            <w:tcW w:w="8629" w:type="dxa"/>
            <w:noWrap w:val="0"/>
            <w:vAlign w:val="top"/>
          </w:tcPr>
          <w:p w14:paraId="0D07737E">
            <w:pPr>
              <w:spacing w:line="400" w:lineRule="exact"/>
              <w:jc w:val="left"/>
              <w:rPr>
                <w:rFonts w:hint="eastAsia" w:ascii="宋体" w:hAnsi="宋体" w:cs="宋体"/>
                <w:color w:val="000000"/>
                <w:sz w:val="18"/>
                <w:szCs w:val="18"/>
                <w:highlight w:val="none"/>
              </w:rPr>
            </w:pPr>
            <w:r>
              <w:rPr>
                <w:rFonts w:hint="eastAsia" w:ascii="宋体" w:hAnsi="宋体" w:eastAsia="宋体" w:cs="宋体"/>
                <w:color w:val="000000"/>
                <w:sz w:val="18"/>
                <w:szCs w:val="18"/>
                <w:highlight w:val="none"/>
              </w:rPr>
              <w:t>弱电电源、模拟量接线端子带保险及指示灯，可选用国产优质端子。</w:t>
            </w:r>
          </w:p>
        </w:tc>
      </w:tr>
      <w:tr w14:paraId="435DF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 w:type="dxa"/>
          <w:trHeight w:val="548" w:hRule="atLeast"/>
          <w:tblHeader/>
          <w:jc w:val="center"/>
        </w:trPr>
        <w:tc>
          <w:tcPr>
            <w:tcW w:w="590" w:type="dxa"/>
            <w:noWrap w:val="0"/>
            <w:vAlign w:val="center"/>
          </w:tcPr>
          <w:p w14:paraId="748FCE00">
            <w:pPr>
              <w:spacing w:line="360" w:lineRule="auto"/>
              <w:jc w:val="center"/>
              <w:rPr>
                <w:rFonts w:hint="default" w:ascii="宋体" w:eastAsia="宋体"/>
                <w:color w:val="000000"/>
                <w:sz w:val="18"/>
                <w:szCs w:val="18"/>
                <w:highlight w:val="none"/>
                <w:lang w:val="en-US" w:eastAsia="zh-CN"/>
              </w:rPr>
            </w:pPr>
          </w:p>
        </w:tc>
        <w:tc>
          <w:tcPr>
            <w:tcW w:w="743" w:type="dxa"/>
            <w:noWrap w:val="0"/>
            <w:vAlign w:val="center"/>
          </w:tcPr>
          <w:p w14:paraId="1A0A23ED">
            <w:pPr>
              <w:spacing w:line="360" w:lineRule="auto"/>
              <w:jc w:val="center"/>
              <w:rPr>
                <w:rFonts w:hint="default"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22</w:t>
            </w:r>
          </w:p>
        </w:tc>
        <w:tc>
          <w:tcPr>
            <w:tcW w:w="8629" w:type="dxa"/>
            <w:noWrap w:val="0"/>
            <w:vAlign w:val="center"/>
          </w:tcPr>
          <w:p w14:paraId="0B6D3833">
            <w:pPr>
              <w:spacing w:line="400" w:lineRule="exact"/>
              <w:rPr>
                <w:rFonts w:ascii="宋体"/>
                <w:caps/>
                <w:color w:val="000000"/>
                <w:sz w:val="18"/>
                <w:szCs w:val="18"/>
                <w:highlight w:val="none"/>
              </w:rPr>
            </w:pPr>
            <w:r>
              <w:rPr>
                <w:rFonts w:hint="eastAsia" w:ascii="宋体" w:hAnsi="宋体"/>
                <w:caps/>
                <w:color w:val="000000"/>
                <w:sz w:val="18"/>
                <w:szCs w:val="18"/>
                <w:highlight w:val="none"/>
              </w:rPr>
              <w:t>控制机柜和低压配电柜颜色、高度等规格要统一，静电喷塑，结构稳固，要预留日后扩展空间，线缆配机打标记管，要求字体清楚、易辨识。控制机柜采用上进线方式。</w:t>
            </w:r>
          </w:p>
        </w:tc>
      </w:tr>
      <w:tr w14:paraId="75CDD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 w:type="dxa"/>
          <w:trHeight w:val="1434" w:hRule="atLeast"/>
          <w:tblHeader/>
          <w:jc w:val="center"/>
        </w:trPr>
        <w:tc>
          <w:tcPr>
            <w:tcW w:w="590" w:type="dxa"/>
            <w:noWrap w:val="0"/>
            <w:vAlign w:val="center"/>
          </w:tcPr>
          <w:p w14:paraId="68CDCF26">
            <w:pPr>
              <w:spacing w:line="360" w:lineRule="auto"/>
              <w:jc w:val="center"/>
              <w:rPr>
                <w:rFonts w:hint="default" w:ascii="宋体" w:hAnsi="宋体" w:eastAsia="宋体"/>
                <w:color w:val="000000"/>
                <w:sz w:val="18"/>
                <w:szCs w:val="18"/>
                <w:highlight w:val="none"/>
                <w:lang w:val="en-US" w:eastAsia="zh-CN"/>
              </w:rPr>
            </w:pPr>
          </w:p>
        </w:tc>
        <w:tc>
          <w:tcPr>
            <w:tcW w:w="743" w:type="dxa"/>
            <w:noWrap w:val="0"/>
            <w:vAlign w:val="center"/>
          </w:tcPr>
          <w:p w14:paraId="20C42940">
            <w:pPr>
              <w:spacing w:line="360" w:lineRule="auto"/>
              <w:jc w:val="center"/>
              <w:rPr>
                <w:rFonts w:hint="default"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23</w:t>
            </w:r>
          </w:p>
        </w:tc>
        <w:tc>
          <w:tcPr>
            <w:tcW w:w="8629" w:type="dxa"/>
            <w:noWrap w:val="0"/>
            <w:vAlign w:val="center"/>
          </w:tcPr>
          <w:p w14:paraId="677E862F">
            <w:pPr>
              <w:spacing w:line="240" w:lineRule="auto"/>
              <w:rPr>
                <w:rFonts w:hint="eastAsia" w:ascii="宋体" w:hAnsi="宋体"/>
                <w:caps/>
                <w:color w:val="000000"/>
                <w:sz w:val="18"/>
                <w:szCs w:val="18"/>
                <w:highlight w:val="none"/>
              </w:rPr>
            </w:pPr>
            <w:r>
              <w:rPr>
                <w:rFonts w:hint="eastAsia" w:ascii="宋体" w:hAnsi="宋体" w:cs="宋体"/>
                <w:color w:val="000000"/>
                <w:sz w:val="18"/>
                <w:szCs w:val="18"/>
                <w:highlight w:val="none"/>
                <w:lang w:val="en-US" w:eastAsia="zh-CN"/>
              </w:rPr>
              <w:t>设备外壳箱体用冷轧钢板制作，表面平整度在1平方米面积内凹凸不能超过1mm。符合电器箱柜有关制造标准。设备外壳箱体表面折角处不能有皱纹、裂纹、毛刺、焊接等痕迹。门与门框的缝隙不超过1.5mm，且四周缝隙均匀。门应开启灵活，不能有卡阻现象。接线端子箱及模块箱需预留不少于30%的安装空间，便于以后扩展。箱体尺寸应紧凑,应按内部设备的实际尺寸决定外型尺寸。箱内控制线应采用汇线槽方式敷设。2.2~11kw变频器，内置EMC滤波器，IP21  远控，变频调节风机，故障旁路切换。</w:t>
            </w:r>
          </w:p>
        </w:tc>
      </w:tr>
    </w:tbl>
    <w:p w14:paraId="0700E46C">
      <w:pPr>
        <w:pStyle w:val="14"/>
        <w:numPr>
          <w:ilvl w:val="0"/>
          <w:numId w:val="0"/>
        </w:numPr>
        <w:rPr>
          <w:rFonts w:hint="default" w:hAnsi="宋体"/>
          <w:bCs/>
          <w:kern w:val="44"/>
          <w:sz w:val="24"/>
          <w:szCs w:val="24"/>
          <w:lang w:val="en-US" w:eastAsia="zh-CN"/>
        </w:rPr>
      </w:pPr>
    </w:p>
    <w:p w14:paraId="6739CAEF">
      <w:pPr>
        <w:pStyle w:val="14"/>
        <w:numPr>
          <w:ilvl w:val="0"/>
          <w:numId w:val="0"/>
        </w:numPr>
        <w:rPr>
          <w:rFonts w:hint="default" w:hAnsi="宋体"/>
          <w:bCs/>
          <w:kern w:val="44"/>
          <w:sz w:val="24"/>
          <w:szCs w:val="24"/>
          <w:lang w:val="en-US" w:eastAsia="zh-CN"/>
        </w:rPr>
      </w:pPr>
    </w:p>
    <w:p w14:paraId="29665ED0">
      <w:pPr>
        <w:pStyle w:val="14"/>
        <w:numPr>
          <w:ilvl w:val="0"/>
          <w:numId w:val="0"/>
        </w:numPr>
        <w:rPr>
          <w:rFonts w:hint="default" w:hAnsi="宋体"/>
          <w:bCs/>
          <w:kern w:val="44"/>
          <w:sz w:val="24"/>
          <w:szCs w:val="24"/>
          <w:lang w:val="en-US" w:eastAsia="zh-CN"/>
        </w:rPr>
      </w:pPr>
    </w:p>
    <w:p w14:paraId="517589A4">
      <w:pPr>
        <w:pStyle w:val="14"/>
        <w:numPr>
          <w:ilvl w:val="0"/>
          <w:numId w:val="0"/>
        </w:numPr>
        <w:rPr>
          <w:rFonts w:hint="default" w:hAnsi="宋体"/>
          <w:bCs/>
          <w:kern w:val="44"/>
          <w:sz w:val="24"/>
          <w:szCs w:val="24"/>
          <w:lang w:val="en-US" w:eastAsia="zh-CN"/>
        </w:rPr>
      </w:pPr>
    </w:p>
    <w:p w14:paraId="5CD2437C">
      <w:pPr>
        <w:pStyle w:val="14"/>
        <w:numPr>
          <w:ilvl w:val="0"/>
          <w:numId w:val="0"/>
        </w:numPr>
        <w:rPr>
          <w:rFonts w:hint="default" w:hAnsi="宋体"/>
          <w:bCs/>
          <w:kern w:val="44"/>
          <w:sz w:val="24"/>
          <w:szCs w:val="24"/>
          <w:lang w:val="en-US" w:eastAsia="zh-CN"/>
        </w:rPr>
      </w:pPr>
    </w:p>
    <w:p w14:paraId="4FA248C5">
      <w:pPr>
        <w:pStyle w:val="14"/>
        <w:numPr>
          <w:ilvl w:val="0"/>
          <w:numId w:val="0"/>
        </w:numPr>
        <w:rPr>
          <w:rFonts w:hint="default" w:hAnsi="宋体"/>
          <w:bCs/>
          <w:kern w:val="44"/>
          <w:sz w:val="24"/>
          <w:szCs w:val="24"/>
          <w:lang w:val="en-US" w:eastAsia="zh-CN"/>
        </w:rPr>
      </w:pPr>
    </w:p>
    <w:p w14:paraId="34831A63">
      <w:pPr>
        <w:pStyle w:val="14"/>
        <w:numPr>
          <w:ilvl w:val="0"/>
          <w:numId w:val="0"/>
        </w:numPr>
        <w:rPr>
          <w:rFonts w:hint="default" w:hAnsi="宋体"/>
          <w:bCs/>
          <w:kern w:val="44"/>
          <w:sz w:val="24"/>
          <w:szCs w:val="24"/>
          <w:lang w:val="en-US" w:eastAsia="zh-CN"/>
        </w:rPr>
      </w:pPr>
    </w:p>
    <w:p w14:paraId="579209FF">
      <w:pPr>
        <w:pStyle w:val="14"/>
        <w:numPr>
          <w:ilvl w:val="0"/>
          <w:numId w:val="0"/>
        </w:numPr>
        <w:rPr>
          <w:rFonts w:hint="default" w:hAnsi="宋体"/>
          <w:bCs/>
          <w:kern w:val="44"/>
          <w:sz w:val="24"/>
          <w:szCs w:val="24"/>
          <w:lang w:val="en-US" w:eastAsia="zh-CN"/>
        </w:rPr>
      </w:pPr>
    </w:p>
    <w:p w14:paraId="683C4371">
      <w:pPr>
        <w:pStyle w:val="14"/>
        <w:numPr>
          <w:ilvl w:val="0"/>
          <w:numId w:val="0"/>
        </w:numPr>
        <w:rPr>
          <w:rFonts w:hint="default" w:hAnsi="宋体"/>
          <w:bCs/>
          <w:kern w:val="44"/>
          <w:sz w:val="24"/>
          <w:szCs w:val="24"/>
          <w:lang w:val="en-US" w:eastAsia="zh-CN"/>
        </w:rPr>
      </w:pPr>
    </w:p>
    <w:p w14:paraId="3CC717BA">
      <w:pPr>
        <w:pStyle w:val="14"/>
        <w:numPr>
          <w:ilvl w:val="0"/>
          <w:numId w:val="0"/>
        </w:numPr>
        <w:rPr>
          <w:rFonts w:hint="default" w:hAnsi="宋体"/>
          <w:bCs/>
          <w:kern w:val="44"/>
          <w:sz w:val="24"/>
          <w:szCs w:val="24"/>
          <w:lang w:val="en-US" w:eastAsia="zh-CN"/>
        </w:rPr>
      </w:pPr>
    </w:p>
    <w:p w14:paraId="4C322F4F">
      <w:pPr>
        <w:pStyle w:val="14"/>
        <w:numPr>
          <w:ilvl w:val="0"/>
          <w:numId w:val="0"/>
        </w:numPr>
        <w:rPr>
          <w:rFonts w:hint="default" w:hAnsi="宋体"/>
          <w:bCs/>
          <w:kern w:val="44"/>
          <w:sz w:val="24"/>
          <w:szCs w:val="24"/>
          <w:lang w:val="en-US" w:eastAsia="zh-CN"/>
        </w:rPr>
      </w:pPr>
    </w:p>
    <w:p w14:paraId="6D29196C">
      <w:pPr>
        <w:pStyle w:val="14"/>
        <w:numPr>
          <w:ilvl w:val="0"/>
          <w:numId w:val="0"/>
        </w:numPr>
        <w:rPr>
          <w:rFonts w:hint="default" w:hAnsi="宋体"/>
          <w:bCs/>
          <w:kern w:val="44"/>
          <w:sz w:val="24"/>
          <w:szCs w:val="24"/>
          <w:lang w:val="en-US" w:eastAsia="zh-CN"/>
        </w:rPr>
      </w:pPr>
    </w:p>
    <w:p w14:paraId="25BE3784">
      <w:pPr>
        <w:pStyle w:val="14"/>
        <w:numPr>
          <w:ilvl w:val="0"/>
          <w:numId w:val="0"/>
        </w:numPr>
        <w:rPr>
          <w:rFonts w:hint="default" w:hAnsi="宋体"/>
          <w:bCs/>
          <w:kern w:val="44"/>
          <w:sz w:val="24"/>
          <w:szCs w:val="24"/>
          <w:lang w:val="en-US" w:eastAsia="zh-CN"/>
        </w:rPr>
      </w:pPr>
    </w:p>
    <w:p w14:paraId="60D2904F">
      <w:pPr>
        <w:pStyle w:val="14"/>
        <w:numPr>
          <w:ilvl w:val="0"/>
          <w:numId w:val="0"/>
        </w:numPr>
        <w:rPr>
          <w:rFonts w:hint="default" w:hAnsi="宋体"/>
          <w:bCs/>
          <w:kern w:val="44"/>
          <w:sz w:val="24"/>
          <w:szCs w:val="24"/>
          <w:lang w:val="en-US" w:eastAsia="zh-CN"/>
        </w:rPr>
      </w:pPr>
    </w:p>
    <w:p w14:paraId="4D76B198">
      <w:pPr>
        <w:pStyle w:val="14"/>
        <w:numPr>
          <w:ilvl w:val="0"/>
          <w:numId w:val="0"/>
        </w:numPr>
        <w:rPr>
          <w:rFonts w:hint="default" w:hAnsi="宋体"/>
          <w:bCs/>
          <w:kern w:val="44"/>
          <w:sz w:val="24"/>
          <w:szCs w:val="24"/>
          <w:lang w:val="en-US" w:eastAsia="zh-CN"/>
        </w:rPr>
      </w:pPr>
    </w:p>
    <w:p w14:paraId="65ED85EB">
      <w:pPr>
        <w:pStyle w:val="14"/>
        <w:numPr>
          <w:ilvl w:val="0"/>
          <w:numId w:val="0"/>
        </w:numPr>
        <w:rPr>
          <w:rFonts w:hint="default" w:hAnsi="宋体"/>
          <w:bCs/>
          <w:kern w:val="44"/>
          <w:sz w:val="24"/>
          <w:szCs w:val="24"/>
          <w:lang w:val="en-US" w:eastAsia="zh-CN"/>
        </w:rPr>
      </w:pPr>
    </w:p>
    <w:p w14:paraId="5EE2B658">
      <w:pPr>
        <w:pStyle w:val="14"/>
        <w:numPr>
          <w:ilvl w:val="0"/>
          <w:numId w:val="0"/>
        </w:numPr>
        <w:rPr>
          <w:rFonts w:hint="default" w:hAnsi="宋体"/>
          <w:bCs/>
          <w:kern w:val="44"/>
          <w:sz w:val="24"/>
          <w:szCs w:val="24"/>
          <w:lang w:val="en-US" w:eastAsia="zh-CN"/>
        </w:rPr>
      </w:pPr>
    </w:p>
    <w:p w14:paraId="718ADD8C">
      <w:pPr>
        <w:pStyle w:val="14"/>
        <w:numPr>
          <w:ilvl w:val="0"/>
          <w:numId w:val="0"/>
        </w:numPr>
        <w:rPr>
          <w:rFonts w:hint="default" w:hAnsi="宋体"/>
          <w:bCs/>
          <w:kern w:val="44"/>
          <w:sz w:val="24"/>
          <w:szCs w:val="24"/>
          <w:lang w:val="en-US" w:eastAsia="zh-CN"/>
        </w:rPr>
      </w:pPr>
    </w:p>
    <w:p w14:paraId="7ACA48CB">
      <w:pPr>
        <w:pStyle w:val="14"/>
        <w:numPr>
          <w:ilvl w:val="0"/>
          <w:numId w:val="0"/>
        </w:numPr>
        <w:rPr>
          <w:rFonts w:hint="default" w:hAnsi="宋体"/>
          <w:bCs/>
          <w:kern w:val="44"/>
          <w:sz w:val="24"/>
          <w:szCs w:val="24"/>
          <w:lang w:val="en-US" w:eastAsia="zh-CN"/>
        </w:rPr>
      </w:pPr>
    </w:p>
    <w:p w14:paraId="35B5202D">
      <w:pPr>
        <w:pStyle w:val="14"/>
        <w:numPr>
          <w:ilvl w:val="0"/>
          <w:numId w:val="0"/>
        </w:numPr>
        <w:rPr>
          <w:rFonts w:hint="default" w:hAnsi="宋体"/>
          <w:bCs/>
          <w:kern w:val="44"/>
          <w:sz w:val="24"/>
          <w:szCs w:val="24"/>
          <w:lang w:val="en-US" w:eastAsia="zh-CN"/>
        </w:rPr>
      </w:pPr>
    </w:p>
    <w:p w14:paraId="2620D1EA">
      <w:pPr>
        <w:pStyle w:val="14"/>
        <w:numPr>
          <w:ilvl w:val="0"/>
          <w:numId w:val="0"/>
        </w:numPr>
        <w:rPr>
          <w:rFonts w:hint="default" w:hAnsi="宋体"/>
          <w:bCs/>
          <w:kern w:val="44"/>
          <w:sz w:val="24"/>
          <w:szCs w:val="24"/>
          <w:lang w:val="en-US" w:eastAsia="zh-CN"/>
        </w:rPr>
      </w:pPr>
    </w:p>
    <w:p w14:paraId="53B064B2">
      <w:pPr>
        <w:pStyle w:val="14"/>
        <w:numPr>
          <w:ilvl w:val="0"/>
          <w:numId w:val="0"/>
        </w:numPr>
        <w:rPr>
          <w:rFonts w:hint="default" w:hAnsi="宋体"/>
          <w:bCs/>
          <w:kern w:val="44"/>
          <w:sz w:val="24"/>
          <w:szCs w:val="24"/>
          <w:lang w:val="en-US" w:eastAsia="zh-CN"/>
        </w:rPr>
      </w:pPr>
    </w:p>
    <w:p w14:paraId="7CA06220">
      <w:pPr>
        <w:pStyle w:val="14"/>
        <w:numPr>
          <w:ilvl w:val="0"/>
          <w:numId w:val="0"/>
        </w:numPr>
        <w:rPr>
          <w:rFonts w:hint="default" w:hAnsi="宋体"/>
          <w:bCs/>
          <w:kern w:val="44"/>
          <w:sz w:val="24"/>
          <w:szCs w:val="24"/>
          <w:lang w:val="en-US" w:eastAsia="zh-CN"/>
        </w:rPr>
      </w:pPr>
    </w:p>
    <w:p w14:paraId="1551EDD3">
      <w:pPr>
        <w:pStyle w:val="14"/>
        <w:numPr>
          <w:ilvl w:val="0"/>
          <w:numId w:val="0"/>
        </w:numPr>
        <w:rPr>
          <w:rFonts w:hint="default" w:hAnsi="宋体"/>
          <w:bCs/>
          <w:kern w:val="44"/>
          <w:sz w:val="24"/>
          <w:szCs w:val="24"/>
          <w:lang w:val="en-US" w:eastAsia="zh-CN"/>
        </w:rPr>
      </w:pPr>
    </w:p>
    <w:p w14:paraId="6682EB67">
      <w:pPr>
        <w:pStyle w:val="14"/>
        <w:numPr>
          <w:ilvl w:val="0"/>
          <w:numId w:val="0"/>
        </w:numPr>
        <w:rPr>
          <w:rFonts w:hint="default" w:hAnsi="宋体"/>
          <w:bCs/>
          <w:kern w:val="44"/>
          <w:sz w:val="24"/>
          <w:szCs w:val="24"/>
          <w:lang w:val="en-US" w:eastAsia="zh-CN"/>
        </w:rPr>
      </w:pPr>
    </w:p>
    <w:p w14:paraId="44A58707">
      <w:pPr>
        <w:pStyle w:val="14"/>
        <w:numPr>
          <w:ilvl w:val="0"/>
          <w:numId w:val="0"/>
        </w:numPr>
        <w:rPr>
          <w:rFonts w:hint="default" w:hAnsi="宋体"/>
          <w:bCs/>
          <w:kern w:val="44"/>
          <w:sz w:val="24"/>
          <w:szCs w:val="24"/>
          <w:lang w:val="en-US" w:eastAsia="zh-CN"/>
        </w:rPr>
      </w:pPr>
    </w:p>
    <w:p w14:paraId="71B0CB90">
      <w:pPr>
        <w:rPr>
          <w:rFonts w:hint="eastAsia"/>
        </w:rPr>
      </w:pPr>
    </w:p>
    <w:p w14:paraId="3C232318">
      <w:pPr>
        <w:numPr>
          <w:ilvl w:val="0"/>
          <w:numId w:val="0"/>
        </w:numPr>
        <w:spacing w:line="360" w:lineRule="auto"/>
        <w:rPr>
          <w:rFonts w:hint="eastAsia" w:asciiTheme="minorEastAsia" w:hAnsiTheme="minorEastAsia"/>
          <w:b/>
          <w:sz w:val="24"/>
          <w:szCs w:val="24"/>
        </w:rPr>
      </w:pPr>
      <w:r>
        <w:rPr>
          <w:rFonts w:hint="eastAsia" w:eastAsia="宋体" w:asciiTheme="minorEastAsia" w:hAnsiTheme="minorEastAsia"/>
          <w:b/>
          <w:sz w:val="24"/>
          <w:szCs w:val="24"/>
          <w:lang w:val="en-US" w:eastAsia="zh-CN"/>
        </w:rPr>
        <w:t>三、表格1  资格审查表</w:t>
      </w:r>
      <w:r>
        <w:rPr>
          <w:rFonts w:hint="eastAsia" w:asciiTheme="minorEastAsia" w:hAnsiTheme="minorEastAsia"/>
          <w:b/>
          <w:sz w:val="24"/>
          <w:szCs w:val="24"/>
        </w:rPr>
        <w:t xml:space="preserve"> </w:t>
      </w:r>
    </w:p>
    <w:tbl>
      <w:tblPr>
        <w:tblStyle w:val="11"/>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审查投标人2022年或2023年度经会计事务所出具的财务审计报告或</w:t>
            </w:r>
            <w:r>
              <w:rPr>
                <w:rFonts w:hint="eastAsia" w:ascii="宋体" w:hAnsi="宋体" w:eastAsia="宋体" w:cs="宋体"/>
                <w:b/>
                <w:bCs/>
                <w:color w:val="FF0000"/>
                <w:sz w:val="21"/>
                <w:szCs w:val="21"/>
                <w:lang w:val="en-US" w:eastAsia="zh-CN"/>
              </w:rPr>
              <w:t>开户许可证</w:t>
            </w:r>
            <w:r>
              <w:rPr>
                <w:rFonts w:hint="eastAsia" w:ascii="宋体" w:hAnsi="宋体" w:eastAsia="宋体" w:cs="宋体"/>
                <w:sz w:val="21"/>
                <w:szCs w:val="21"/>
                <w:lang w:val="en-US" w:eastAsia="zh-CN"/>
              </w:rPr>
              <w:t>及基本开户银行出具的近一年内的银行资信证明。</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例如增值税，个人所得税等，但不包含工会经费</w:t>
            </w:r>
            <w:r>
              <w:rPr>
                <w:rFonts w:hint="eastAsia" w:ascii="宋体" w:hAnsi="宋体" w:eastAsia="宋体" w:cs="宋体"/>
                <w:sz w:val="21"/>
                <w:szCs w:val="21"/>
                <w:lang w:eastAsia="zh-CN"/>
              </w:rPr>
              <w:t>）</w:t>
            </w:r>
            <w:r>
              <w:rPr>
                <w:rFonts w:hint="eastAsia" w:ascii="宋体" w:hAnsi="宋体" w:eastAsia="宋体" w:cs="宋体"/>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71C56696">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31107711">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008B884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E5E5339">
      <w:pPr>
        <w:pStyle w:val="14"/>
        <w:rPr>
          <w:rFonts w:hint="default" w:ascii="宋体" w:hAnsi="宋体" w:eastAsia="宋体" w:cs="宋体"/>
          <w:b/>
          <w:sz w:val="28"/>
          <w:szCs w:val="28"/>
          <w:lang w:val="en-US" w:eastAsia="zh-CN"/>
        </w:rPr>
      </w:pPr>
      <w:r>
        <w:rPr>
          <w:rFonts w:hint="eastAsia" w:hAnsi="宋体" w:cs="宋体"/>
          <w:b/>
          <w:sz w:val="28"/>
          <w:szCs w:val="28"/>
          <w:lang w:val="en-US" w:eastAsia="zh-CN"/>
        </w:rPr>
        <w:t xml:space="preserve">表2  </w:t>
      </w:r>
      <w:r>
        <w:rPr>
          <w:rFonts w:hint="eastAsia"/>
          <w:b/>
          <w:bCs/>
          <w:lang w:val="en-US" w:eastAsia="zh-CN"/>
        </w:rPr>
        <w:t>评审细则</w:t>
      </w:r>
    </w:p>
    <w:tbl>
      <w:tblPr>
        <w:tblStyle w:val="11"/>
        <w:tblW w:w="9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1154"/>
        <w:gridCol w:w="1645"/>
        <w:gridCol w:w="6398"/>
      </w:tblGrid>
      <w:tr w14:paraId="4ECE2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606" w:type="dxa"/>
            <w:vAlign w:val="center"/>
          </w:tcPr>
          <w:p w14:paraId="50139822">
            <w:pPr>
              <w:spacing w:line="240" w:lineRule="auto"/>
              <w:ind w:firstLine="28"/>
              <w:jc w:val="center"/>
              <w:rPr>
                <w:rFonts w:ascii="宋体" w:hAnsi="宋体" w:cs="宋体"/>
                <w:b/>
                <w:sz w:val="21"/>
                <w:szCs w:val="21"/>
              </w:rPr>
            </w:pPr>
            <w:r>
              <w:rPr>
                <w:rFonts w:hint="eastAsia" w:ascii="宋体" w:hAnsi="宋体" w:cs="宋体"/>
                <w:b/>
                <w:sz w:val="21"/>
                <w:szCs w:val="21"/>
              </w:rPr>
              <w:t>序号</w:t>
            </w:r>
          </w:p>
        </w:tc>
        <w:tc>
          <w:tcPr>
            <w:tcW w:w="1154" w:type="dxa"/>
            <w:vAlign w:val="center"/>
          </w:tcPr>
          <w:p w14:paraId="25BEAFE5">
            <w:pPr>
              <w:spacing w:line="240" w:lineRule="auto"/>
              <w:ind w:firstLine="28"/>
              <w:jc w:val="center"/>
              <w:rPr>
                <w:rFonts w:ascii="宋体" w:hAnsi="宋体" w:cs="宋体"/>
                <w:b/>
                <w:sz w:val="21"/>
                <w:szCs w:val="21"/>
              </w:rPr>
            </w:pPr>
            <w:r>
              <w:rPr>
                <w:rFonts w:hint="eastAsia" w:ascii="宋体" w:hAnsi="宋体" w:cs="宋体"/>
                <w:b/>
                <w:sz w:val="21"/>
                <w:szCs w:val="21"/>
              </w:rPr>
              <w:t>评分因素及</w:t>
            </w:r>
            <w:r>
              <w:rPr>
                <w:rFonts w:hint="eastAsia" w:ascii="宋体" w:hAnsi="宋体" w:eastAsia="宋体" w:cs="宋体"/>
                <w:b/>
                <w:sz w:val="21"/>
                <w:szCs w:val="21"/>
                <w:lang w:val="en-US" w:eastAsia="zh-CN"/>
              </w:rPr>
              <w:t>权</w:t>
            </w:r>
            <w:r>
              <w:rPr>
                <w:rFonts w:hint="eastAsia" w:ascii="宋体" w:hAnsi="宋体" w:cs="宋体"/>
                <w:b/>
                <w:sz w:val="21"/>
                <w:szCs w:val="21"/>
              </w:rPr>
              <w:t>重</w:t>
            </w:r>
          </w:p>
        </w:tc>
        <w:tc>
          <w:tcPr>
            <w:tcW w:w="1645" w:type="dxa"/>
            <w:vAlign w:val="center"/>
          </w:tcPr>
          <w:p w14:paraId="50DABAE1">
            <w:pPr>
              <w:spacing w:line="240" w:lineRule="auto"/>
              <w:ind w:firstLine="28"/>
              <w:jc w:val="center"/>
              <w:rPr>
                <w:rFonts w:ascii="宋体" w:hAnsi="宋体" w:cs="宋体"/>
                <w:b/>
                <w:sz w:val="21"/>
                <w:szCs w:val="21"/>
              </w:rPr>
            </w:pPr>
            <w:r>
              <w:rPr>
                <w:rFonts w:hint="eastAsia" w:ascii="宋体" w:hAnsi="宋体" w:cs="宋体"/>
                <w:b/>
                <w:sz w:val="21"/>
                <w:szCs w:val="21"/>
              </w:rPr>
              <w:t>分值</w:t>
            </w:r>
          </w:p>
        </w:tc>
        <w:tc>
          <w:tcPr>
            <w:tcW w:w="6398" w:type="dxa"/>
            <w:vAlign w:val="center"/>
          </w:tcPr>
          <w:p w14:paraId="0C1CE26C">
            <w:pPr>
              <w:spacing w:line="240" w:lineRule="auto"/>
              <w:ind w:firstLine="28"/>
              <w:jc w:val="center"/>
              <w:rPr>
                <w:rFonts w:ascii="宋体" w:hAnsi="宋体" w:cs="宋体"/>
                <w:b/>
                <w:sz w:val="21"/>
                <w:szCs w:val="21"/>
              </w:rPr>
            </w:pPr>
            <w:r>
              <w:rPr>
                <w:rFonts w:hint="eastAsia" w:ascii="宋体" w:hAnsi="宋体" w:cs="宋体"/>
                <w:b/>
                <w:sz w:val="21"/>
                <w:szCs w:val="21"/>
              </w:rPr>
              <w:t>评分标准</w:t>
            </w:r>
          </w:p>
        </w:tc>
      </w:tr>
      <w:tr w14:paraId="4E48D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606" w:type="dxa"/>
            <w:vAlign w:val="center"/>
          </w:tcPr>
          <w:p w14:paraId="6DA8D273">
            <w:pPr>
              <w:spacing w:line="3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1154" w:type="dxa"/>
            <w:vAlign w:val="center"/>
          </w:tcPr>
          <w:p w14:paraId="5E1E1088">
            <w:pPr>
              <w:spacing w:line="3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投标报价</w:t>
            </w:r>
          </w:p>
        </w:tc>
        <w:tc>
          <w:tcPr>
            <w:tcW w:w="1645" w:type="dxa"/>
            <w:vAlign w:val="center"/>
          </w:tcPr>
          <w:p w14:paraId="53588A3B">
            <w:pPr>
              <w:spacing w:line="340" w:lineRule="exact"/>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30</w:t>
            </w:r>
            <w:r>
              <w:rPr>
                <w:rFonts w:hint="eastAsia" w:asciiTheme="minorEastAsia" w:hAnsiTheme="minorEastAsia" w:eastAsiaTheme="minorEastAsia" w:cstheme="minorEastAsia"/>
                <w:kern w:val="0"/>
                <w:sz w:val="21"/>
                <w:szCs w:val="21"/>
                <w:lang w:val="en-US" w:eastAsia="zh-CN"/>
              </w:rPr>
              <w:t>分</w:t>
            </w:r>
          </w:p>
        </w:tc>
        <w:tc>
          <w:tcPr>
            <w:tcW w:w="6398" w:type="dxa"/>
            <w:vAlign w:val="center"/>
          </w:tcPr>
          <w:p w14:paraId="43A72FB8">
            <w:pPr>
              <w:spacing w:line="3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投标报价得分=(评标基准价／投标报价)×100%×30。</w:t>
            </w:r>
          </w:p>
        </w:tc>
      </w:tr>
      <w:tr w14:paraId="3674C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06" w:type="dxa"/>
            <w:vMerge w:val="restart"/>
            <w:vAlign w:val="center"/>
          </w:tcPr>
          <w:p w14:paraId="1171081D">
            <w:pPr>
              <w:spacing w:line="3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1154" w:type="dxa"/>
            <w:vMerge w:val="restart"/>
            <w:vAlign w:val="center"/>
          </w:tcPr>
          <w:p w14:paraId="15511222">
            <w:pPr>
              <w:spacing w:line="3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技术分（60分）</w:t>
            </w:r>
          </w:p>
        </w:tc>
        <w:tc>
          <w:tcPr>
            <w:tcW w:w="1645" w:type="dxa"/>
            <w:vAlign w:val="center"/>
          </w:tcPr>
          <w:p w14:paraId="49514F05">
            <w:pPr>
              <w:spacing w:line="340" w:lineRule="exact"/>
              <w:jc w:val="left"/>
              <w:rPr>
                <w:rFonts w:hint="default" w:asciiTheme="minorEastAsia" w:hAnsiTheme="minorEastAsia" w:eastAsiaTheme="minorEastAsia" w:cstheme="minorEastAsia"/>
                <w:kern w:val="0"/>
                <w:sz w:val="21"/>
                <w:szCs w:val="21"/>
                <w:lang w:val="en-US" w:eastAsia="zh-CN"/>
              </w:rPr>
            </w:pPr>
            <w:r>
              <w:rPr>
                <w:rFonts w:hint="default" w:asciiTheme="minorEastAsia" w:hAnsiTheme="minorEastAsia" w:eastAsiaTheme="minorEastAsia" w:cstheme="minorEastAsia"/>
                <w:kern w:val="0"/>
                <w:sz w:val="21"/>
                <w:szCs w:val="21"/>
                <w:lang w:val="en-US" w:eastAsia="zh-CN"/>
              </w:rPr>
              <w:t>1、技术参数响应（</w:t>
            </w:r>
            <w:r>
              <w:rPr>
                <w:rFonts w:hint="eastAsia" w:asciiTheme="minorEastAsia" w:hAnsiTheme="minorEastAsia" w:eastAsiaTheme="minorEastAsia" w:cstheme="minorEastAsia"/>
                <w:kern w:val="0"/>
                <w:sz w:val="21"/>
                <w:szCs w:val="21"/>
                <w:lang w:val="en-US" w:eastAsia="zh-CN"/>
              </w:rPr>
              <w:t>23</w:t>
            </w:r>
            <w:r>
              <w:rPr>
                <w:rFonts w:hint="default" w:asciiTheme="minorEastAsia" w:hAnsiTheme="minorEastAsia" w:eastAsiaTheme="minorEastAsia" w:cstheme="minorEastAsia"/>
                <w:kern w:val="0"/>
                <w:sz w:val="21"/>
                <w:szCs w:val="21"/>
                <w:lang w:val="en-US" w:eastAsia="zh-CN"/>
              </w:rPr>
              <w:t>分）</w:t>
            </w:r>
          </w:p>
        </w:tc>
        <w:tc>
          <w:tcPr>
            <w:tcW w:w="6398" w:type="dxa"/>
            <w:vAlign w:val="center"/>
          </w:tcPr>
          <w:p w14:paraId="76E726A8">
            <w:pPr>
              <w:spacing w:line="340" w:lineRule="exact"/>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一般技术参数要求完全</w:t>
            </w:r>
            <w:r>
              <w:rPr>
                <w:rFonts w:hint="eastAsia" w:asciiTheme="minorEastAsia" w:hAnsiTheme="minorEastAsia" w:eastAsiaTheme="minorEastAsia" w:cstheme="minorEastAsia"/>
                <w:kern w:val="0"/>
                <w:sz w:val="21"/>
                <w:szCs w:val="21"/>
                <w:lang w:val="en-US" w:eastAsia="zh-CN"/>
              </w:rPr>
              <w:t>响应</w:t>
            </w:r>
            <w:r>
              <w:rPr>
                <w:rFonts w:hint="eastAsia" w:asciiTheme="minorEastAsia" w:hAnsiTheme="minorEastAsia" w:eastAsiaTheme="minorEastAsia" w:cstheme="minorEastAsia"/>
                <w:kern w:val="0"/>
                <w:sz w:val="21"/>
                <w:szCs w:val="21"/>
                <w:lang w:eastAsia="zh-CN"/>
              </w:rPr>
              <w:t>招标文件中要求的得</w:t>
            </w: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lang w:eastAsia="zh-CN"/>
              </w:rPr>
              <w:t xml:space="preserve"> 分，</w:t>
            </w:r>
            <w:r>
              <w:rPr>
                <w:rFonts w:hint="eastAsia" w:asciiTheme="minorEastAsia" w:hAnsiTheme="minorEastAsia" w:eastAsiaTheme="minorEastAsia" w:cstheme="minorEastAsia"/>
                <w:kern w:val="0"/>
                <w:sz w:val="21"/>
                <w:szCs w:val="21"/>
                <w:lang w:val="en-US" w:eastAsia="zh-CN"/>
              </w:rPr>
              <w:t>每有1项不满足扣1分，分值扣完为止。</w:t>
            </w:r>
          </w:p>
        </w:tc>
      </w:tr>
      <w:tr w14:paraId="2D6CF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0" w:hRule="atLeast"/>
          <w:jc w:val="center"/>
        </w:trPr>
        <w:tc>
          <w:tcPr>
            <w:tcW w:w="606" w:type="dxa"/>
            <w:vMerge w:val="continue"/>
            <w:vAlign w:val="center"/>
          </w:tcPr>
          <w:p w14:paraId="1EAB683D">
            <w:pPr>
              <w:spacing w:line="340" w:lineRule="exact"/>
              <w:jc w:val="left"/>
              <w:rPr>
                <w:rFonts w:hint="eastAsia" w:asciiTheme="minorEastAsia" w:hAnsiTheme="minorEastAsia" w:eastAsiaTheme="minorEastAsia" w:cstheme="minorEastAsia"/>
                <w:kern w:val="0"/>
                <w:sz w:val="21"/>
                <w:szCs w:val="21"/>
              </w:rPr>
            </w:pPr>
          </w:p>
        </w:tc>
        <w:tc>
          <w:tcPr>
            <w:tcW w:w="1154" w:type="dxa"/>
            <w:vMerge w:val="continue"/>
            <w:vAlign w:val="center"/>
          </w:tcPr>
          <w:p w14:paraId="02A59A00">
            <w:pPr>
              <w:spacing w:line="340" w:lineRule="exact"/>
              <w:jc w:val="left"/>
              <w:rPr>
                <w:rFonts w:hint="eastAsia" w:asciiTheme="minorEastAsia" w:hAnsiTheme="minorEastAsia" w:eastAsiaTheme="minorEastAsia" w:cstheme="minorEastAsia"/>
                <w:kern w:val="0"/>
                <w:sz w:val="21"/>
                <w:szCs w:val="21"/>
              </w:rPr>
            </w:pPr>
          </w:p>
        </w:tc>
        <w:tc>
          <w:tcPr>
            <w:tcW w:w="1645" w:type="dxa"/>
            <w:vAlign w:val="center"/>
          </w:tcPr>
          <w:p w14:paraId="56C4F9B4">
            <w:pPr>
              <w:spacing w:line="340" w:lineRule="exact"/>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2、供货运输方案（9分）</w:t>
            </w:r>
          </w:p>
          <w:p w14:paraId="56956C79">
            <w:pPr>
              <w:spacing w:line="340" w:lineRule="exact"/>
              <w:jc w:val="left"/>
              <w:rPr>
                <w:rFonts w:hint="eastAsia" w:asciiTheme="minorEastAsia" w:hAnsiTheme="minorEastAsia" w:eastAsiaTheme="minorEastAsia" w:cstheme="minorEastAsia"/>
                <w:kern w:val="0"/>
                <w:sz w:val="21"/>
                <w:szCs w:val="21"/>
                <w:lang w:val="en-US" w:eastAsia="zh-CN"/>
              </w:rPr>
            </w:pPr>
          </w:p>
        </w:tc>
        <w:tc>
          <w:tcPr>
            <w:tcW w:w="6398" w:type="dxa"/>
            <w:vAlign w:val="center"/>
          </w:tcPr>
          <w:p w14:paraId="77071B0B">
            <w:pPr>
              <w:spacing w:line="3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投标人编制的</w:t>
            </w:r>
            <w:r>
              <w:rPr>
                <w:rFonts w:hint="eastAsia" w:asciiTheme="minorEastAsia" w:hAnsiTheme="minorEastAsia" w:eastAsiaTheme="minorEastAsia" w:cstheme="minorEastAsia"/>
                <w:kern w:val="0"/>
                <w:sz w:val="21"/>
                <w:szCs w:val="21"/>
                <w:lang w:eastAsia="zh-CN"/>
              </w:rPr>
              <w:t>供货运输</w:t>
            </w:r>
            <w:r>
              <w:rPr>
                <w:rFonts w:hint="eastAsia" w:asciiTheme="minorEastAsia" w:hAnsiTheme="minorEastAsia" w:eastAsiaTheme="minorEastAsia" w:cstheme="minorEastAsia"/>
                <w:kern w:val="0"/>
                <w:sz w:val="21"/>
                <w:szCs w:val="21"/>
              </w:rPr>
              <w:t>方案应包括但不限于以下内容①</w:t>
            </w:r>
            <w:r>
              <w:rPr>
                <w:rFonts w:hint="eastAsia" w:asciiTheme="minorEastAsia" w:hAnsiTheme="minorEastAsia" w:eastAsiaTheme="minorEastAsia" w:cstheme="minorEastAsia"/>
                <w:kern w:val="0"/>
                <w:sz w:val="21"/>
                <w:szCs w:val="21"/>
                <w:lang w:val="en-US" w:eastAsia="zh-CN"/>
              </w:rPr>
              <w:t>设备</w:t>
            </w:r>
            <w:r>
              <w:rPr>
                <w:rFonts w:hint="eastAsia" w:asciiTheme="minorEastAsia" w:hAnsiTheme="minorEastAsia" w:eastAsiaTheme="minorEastAsia" w:cstheme="minorEastAsia"/>
                <w:kern w:val="0"/>
                <w:sz w:val="21"/>
                <w:szCs w:val="21"/>
              </w:rPr>
              <w:t>配置方案②方案设计③原材料购置方案；④供应、生产组装方案 ⑤运输安装方案⑥供货方案。</w:t>
            </w:r>
          </w:p>
          <w:p w14:paraId="067BE8B3">
            <w:pPr>
              <w:spacing w:line="3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所提供方案应包括以上内容但不限于以上内容并且编制完整合理，实施效果可行的，得</w:t>
            </w:r>
            <w:r>
              <w:rPr>
                <w:rFonts w:hint="eastAsia" w:asciiTheme="minorEastAsia" w:hAnsiTheme="minorEastAsia" w:eastAsiaTheme="minorEastAsia" w:cstheme="minorEastAsia"/>
                <w:kern w:val="0"/>
                <w:sz w:val="21"/>
                <w:szCs w:val="21"/>
                <w:lang w:val="en-US" w:eastAsia="zh-CN"/>
              </w:rPr>
              <w:t>9</w:t>
            </w:r>
            <w:r>
              <w:rPr>
                <w:rFonts w:hint="eastAsia" w:asciiTheme="minorEastAsia" w:hAnsiTheme="minorEastAsia" w:eastAsiaTheme="minorEastAsia" w:cstheme="minorEastAsia"/>
                <w:kern w:val="0"/>
                <w:sz w:val="21"/>
                <w:szCs w:val="21"/>
              </w:rPr>
              <w:t xml:space="preserve">分 </w:t>
            </w:r>
          </w:p>
          <w:p w14:paraId="7E3B7EC3">
            <w:pPr>
              <w:spacing w:line="3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所提供方案包括以上内容但不限于以上内容编制完整程度一般，实施效果一般的，得</w:t>
            </w: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rPr>
              <w:t xml:space="preserve">分 </w:t>
            </w:r>
          </w:p>
          <w:p w14:paraId="0A7B38DD">
            <w:pPr>
              <w:spacing w:line="340" w:lineRule="exact"/>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3.所提供方案包括以上内容但不限于以上内容并且编制完整程度较差，实施效果较差的，得</w:t>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分，未提供不得分。</w:t>
            </w:r>
          </w:p>
        </w:tc>
      </w:tr>
      <w:tr w14:paraId="36747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606" w:type="dxa"/>
            <w:vMerge w:val="continue"/>
            <w:vAlign w:val="center"/>
          </w:tcPr>
          <w:p w14:paraId="3BC83542">
            <w:pPr>
              <w:spacing w:line="340" w:lineRule="exact"/>
              <w:jc w:val="left"/>
              <w:rPr>
                <w:rFonts w:hint="eastAsia" w:asciiTheme="minorEastAsia" w:hAnsiTheme="minorEastAsia" w:eastAsiaTheme="minorEastAsia" w:cstheme="minorEastAsia"/>
                <w:kern w:val="0"/>
                <w:sz w:val="21"/>
                <w:szCs w:val="21"/>
              </w:rPr>
            </w:pPr>
          </w:p>
        </w:tc>
        <w:tc>
          <w:tcPr>
            <w:tcW w:w="1154" w:type="dxa"/>
            <w:vMerge w:val="continue"/>
            <w:vAlign w:val="center"/>
          </w:tcPr>
          <w:p w14:paraId="1447F35C">
            <w:pPr>
              <w:spacing w:line="340" w:lineRule="exact"/>
              <w:jc w:val="left"/>
              <w:rPr>
                <w:rFonts w:hint="eastAsia" w:asciiTheme="minorEastAsia" w:hAnsiTheme="minorEastAsia" w:eastAsiaTheme="minorEastAsia" w:cstheme="minorEastAsia"/>
                <w:kern w:val="0"/>
                <w:sz w:val="21"/>
                <w:szCs w:val="21"/>
              </w:rPr>
            </w:pPr>
          </w:p>
        </w:tc>
        <w:tc>
          <w:tcPr>
            <w:tcW w:w="1645" w:type="dxa"/>
            <w:vAlign w:val="center"/>
          </w:tcPr>
          <w:p w14:paraId="12463B19">
            <w:pPr>
              <w:spacing w:line="340" w:lineRule="exact"/>
              <w:jc w:val="left"/>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3、验收方案（10分）</w:t>
            </w:r>
          </w:p>
          <w:p w14:paraId="1339F625">
            <w:pPr>
              <w:spacing w:line="340" w:lineRule="exact"/>
              <w:jc w:val="left"/>
              <w:rPr>
                <w:rFonts w:hint="eastAsia" w:asciiTheme="minorEastAsia" w:hAnsiTheme="minorEastAsia" w:eastAsiaTheme="minorEastAsia" w:cstheme="minorEastAsia"/>
                <w:kern w:val="0"/>
                <w:sz w:val="21"/>
                <w:szCs w:val="21"/>
                <w:lang w:val="en-US" w:eastAsia="zh-CN"/>
              </w:rPr>
            </w:pPr>
          </w:p>
        </w:tc>
        <w:tc>
          <w:tcPr>
            <w:tcW w:w="6398" w:type="dxa"/>
            <w:vAlign w:val="center"/>
          </w:tcPr>
          <w:p w14:paraId="0BB476DC">
            <w:pPr>
              <w:spacing w:line="340" w:lineRule="exact"/>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投标人</w:t>
            </w:r>
            <w:r>
              <w:rPr>
                <w:rFonts w:hint="eastAsia" w:asciiTheme="minorEastAsia" w:hAnsiTheme="minorEastAsia" w:eastAsiaTheme="minorEastAsia" w:cstheme="minorEastAsia"/>
                <w:kern w:val="0"/>
                <w:sz w:val="21"/>
                <w:szCs w:val="21"/>
                <w:lang w:eastAsia="zh-CN"/>
              </w:rPr>
              <w:t>对产品质量的控制手段和相关措施，</w:t>
            </w:r>
            <w:r>
              <w:rPr>
                <w:rFonts w:hint="eastAsia" w:asciiTheme="minorEastAsia" w:hAnsiTheme="minorEastAsia" w:eastAsiaTheme="minorEastAsia" w:cstheme="minorEastAsia"/>
                <w:kern w:val="0"/>
                <w:sz w:val="21"/>
                <w:szCs w:val="21"/>
              </w:rPr>
              <w:t>投标人</w:t>
            </w:r>
            <w:r>
              <w:rPr>
                <w:rFonts w:hint="eastAsia" w:asciiTheme="minorEastAsia" w:hAnsiTheme="minorEastAsia" w:eastAsiaTheme="minorEastAsia" w:cstheme="minorEastAsia"/>
                <w:kern w:val="0"/>
                <w:sz w:val="21"/>
                <w:szCs w:val="21"/>
                <w:lang w:eastAsia="zh-CN"/>
              </w:rPr>
              <w:t>编制的质量保证及验收方案应包括但不限于以下内容①原材料检测②生产环节质检、成品检测③考察家具成品验收方案（包括初步检验、安装检验、环境检测等）。</w:t>
            </w:r>
          </w:p>
          <w:p w14:paraId="3C89025C">
            <w:pPr>
              <w:spacing w:line="340" w:lineRule="exact"/>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lang w:eastAsia="zh-CN"/>
              </w:rPr>
              <w:t>所提供方案应包括以上内容但不限于以上内容并且编制完整合理，实施效果可行的，得</w:t>
            </w:r>
            <w:r>
              <w:rPr>
                <w:rFonts w:hint="eastAsia" w:asciiTheme="minorEastAsia" w:hAnsiTheme="minorEastAsia" w:eastAsiaTheme="minorEastAsia" w:cstheme="minorEastAsia"/>
                <w:kern w:val="0"/>
                <w:sz w:val="21"/>
                <w:szCs w:val="21"/>
                <w:lang w:val="en-US" w:eastAsia="zh-CN"/>
              </w:rPr>
              <w:t>10</w:t>
            </w:r>
            <w:r>
              <w:rPr>
                <w:rFonts w:hint="eastAsia" w:asciiTheme="minorEastAsia" w:hAnsiTheme="minorEastAsia" w:eastAsiaTheme="minorEastAsia" w:cstheme="minorEastAsia"/>
                <w:kern w:val="0"/>
                <w:sz w:val="21"/>
                <w:szCs w:val="21"/>
                <w:lang w:eastAsia="zh-CN"/>
              </w:rPr>
              <w:t>分；</w:t>
            </w:r>
          </w:p>
          <w:p w14:paraId="139A1231">
            <w:pPr>
              <w:spacing w:line="340" w:lineRule="exact"/>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lang w:eastAsia="zh-CN"/>
              </w:rPr>
              <w:t>所提供方案包括以上内容但不限于以上内容编制完整程度一般，实施效果一般的，得</w:t>
            </w:r>
            <w:r>
              <w:rPr>
                <w:rFonts w:hint="eastAsia" w:asciiTheme="minorEastAsia" w:hAnsiTheme="minorEastAsia" w:eastAsiaTheme="minorEastAsia" w:cstheme="minorEastAsia"/>
                <w:kern w:val="0"/>
                <w:sz w:val="21"/>
                <w:szCs w:val="21"/>
                <w:lang w:val="en-US" w:eastAsia="zh-CN"/>
              </w:rPr>
              <w:t>6</w:t>
            </w:r>
            <w:r>
              <w:rPr>
                <w:rFonts w:hint="eastAsia" w:asciiTheme="minorEastAsia" w:hAnsiTheme="minorEastAsia" w:eastAsiaTheme="minorEastAsia" w:cstheme="minorEastAsia"/>
                <w:kern w:val="0"/>
                <w:sz w:val="21"/>
                <w:szCs w:val="21"/>
                <w:lang w:eastAsia="zh-CN"/>
              </w:rPr>
              <w:t xml:space="preserve">分； </w:t>
            </w:r>
          </w:p>
          <w:p w14:paraId="07ED9390">
            <w:pPr>
              <w:spacing w:line="340" w:lineRule="exact"/>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lang w:eastAsia="zh-CN"/>
              </w:rPr>
              <w:t>所提供方案包括以上内容但不限于以上内容编制完整程度较差，实施效果较差的，得</w:t>
            </w: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lang w:eastAsia="zh-CN"/>
              </w:rPr>
              <w:t>分，未提供不得分。</w:t>
            </w:r>
          </w:p>
        </w:tc>
      </w:tr>
      <w:tr w14:paraId="56537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06" w:type="dxa"/>
            <w:vMerge w:val="continue"/>
            <w:vAlign w:val="center"/>
          </w:tcPr>
          <w:p w14:paraId="741FF835">
            <w:pPr>
              <w:spacing w:line="340" w:lineRule="exact"/>
              <w:jc w:val="left"/>
              <w:rPr>
                <w:rFonts w:hint="eastAsia" w:asciiTheme="minorEastAsia" w:hAnsiTheme="minorEastAsia" w:eastAsiaTheme="minorEastAsia" w:cstheme="minorEastAsia"/>
                <w:kern w:val="0"/>
                <w:sz w:val="21"/>
                <w:szCs w:val="21"/>
              </w:rPr>
            </w:pPr>
          </w:p>
        </w:tc>
        <w:tc>
          <w:tcPr>
            <w:tcW w:w="1154" w:type="dxa"/>
            <w:vMerge w:val="continue"/>
            <w:vAlign w:val="center"/>
          </w:tcPr>
          <w:p w14:paraId="7F836809">
            <w:pPr>
              <w:spacing w:line="340" w:lineRule="exact"/>
              <w:jc w:val="left"/>
              <w:rPr>
                <w:rFonts w:hint="eastAsia" w:asciiTheme="minorEastAsia" w:hAnsiTheme="minorEastAsia" w:eastAsiaTheme="minorEastAsia" w:cstheme="minorEastAsia"/>
                <w:kern w:val="0"/>
                <w:sz w:val="21"/>
                <w:szCs w:val="21"/>
              </w:rPr>
            </w:pPr>
          </w:p>
        </w:tc>
        <w:tc>
          <w:tcPr>
            <w:tcW w:w="1645" w:type="dxa"/>
            <w:vAlign w:val="center"/>
          </w:tcPr>
          <w:p w14:paraId="0D0AD85D">
            <w:pPr>
              <w:spacing w:line="340" w:lineRule="exact"/>
              <w:jc w:val="left"/>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4、交货进度计划和保证措施（10分）</w:t>
            </w:r>
          </w:p>
        </w:tc>
        <w:tc>
          <w:tcPr>
            <w:tcW w:w="6398" w:type="dxa"/>
            <w:vAlign w:val="center"/>
          </w:tcPr>
          <w:p w14:paraId="79E8BC88">
            <w:pPr>
              <w:spacing w:line="340" w:lineRule="exact"/>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交货进度计划内容应包括但不限于①供货进度表</w:t>
            </w:r>
            <w:r>
              <w:rPr>
                <w:rFonts w:hint="default" w:asciiTheme="minorEastAsia" w:hAnsiTheme="minorEastAsia" w:eastAsiaTheme="minorEastAsia" w:cstheme="minorEastAsia"/>
                <w:kern w:val="0"/>
                <w:sz w:val="21"/>
                <w:szCs w:val="21"/>
                <w:lang w:val="en-US" w:eastAsia="zh-CN"/>
              </w:rPr>
              <w:t>②</w:t>
            </w:r>
            <w:r>
              <w:rPr>
                <w:rFonts w:hint="eastAsia" w:asciiTheme="minorEastAsia" w:hAnsiTheme="minorEastAsia" w:eastAsiaTheme="minorEastAsia" w:cstheme="minorEastAsia"/>
                <w:kern w:val="0"/>
                <w:sz w:val="21"/>
                <w:szCs w:val="21"/>
                <w:lang w:val="en-US" w:eastAsia="zh-CN"/>
              </w:rPr>
              <w:t>供货进度安排</w:t>
            </w:r>
            <w:r>
              <w:rPr>
                <w:rFonts w:hint="default" w:asciiTheme="minorEastAsia" w:hAnsiTheme="minorEastAsia" w:eastAsiaTheme="minorEastAsia" w:cstheme="minorEastAsia"/>
                <w:kern w:val="0"/>
                <w:sz w:val="21"/>
                <w:szCs w:val="21"/>
                <w:lang w:val="en-US" w:eastAsia="zh-CN"/>
              </w:rPr>
              <w:t>③</w:t>
            </w:r>
            <w:r>
              <w:rPr>
                <w:rFonts w:hint="eastAsia" w:asciiTheme="minorEastAsia" w:hAnsiTheme="minorEastAsia" w:eastAsiaTheme="minorEastAsia" w:cstheme="minorEastAsia"/>
                <w:kern w:val="0"/>
                <w:sz w:val="21"/>
                <w:szCs w:val="21"/>
                <w:lang w:val="en-US" w:eastAsia="zh-CN"/>
              </w:rPr>
              <w:t xml:space="preserve">发货计 </w:t>
            </w:r>
          </w:p>
          <w:p w14:paraId="0875B905">
            <w:pPr>
              <w:spacing w:line="340" w:lineRule="exact"/>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划等内容；保障措施内容应包括但不限于</w:t>
            </w:r>
            <w:r>
              <w:rPr>
                <w:rFonts w:hint="default" w:asciiTheme="minorEastAsia" w:hAnsiTheme="minorEastAsia" w:eastAsiaTheme="minorEastAsia" w:cstheme="minorEastAsia"/>
                <w:kern w:val="0"/>
                <w:sz w:val="21"/>
                <w:szCs w:val="21"/>
                <w:lang w:val="en-US" w:eastAsia="zh-CN"/>
              </w:rPr>
              <w:t>①</w:t>
            </w:r>
            <w:r>
              <w:rPr>
                <w:rFonts w:hint="eastAsia" w:asciiTheme="minorEastAsia" w:hAnsiTheme="minorEastAsia" w:eastAsiaTheme="minorEastAsia" w:cstheme="minorEastAsia"/>
                <w:kern w:val="0"/>
                <w:sz w:val="21"/>
                <w:szCs w:val="21"/>
                <w:lang w:val="en-US" w:eastAsia="zh-CN"/>
              </w:rPr>
              <w:t>严格执行供货进度计划措施</w:t>
            </w:r>
            <w:r>
              <w:rPr>
                <w:rFonts w:hint="default" w:asciiTheme="minorEastAsia" w:hAnsiTheme="minorEastAsia" w:eastAsiaTheme="minorEastAsia" w:cstheme="minorEastAsia"/>
                <w:kern w:val="0"/>
                <w:sz w:val="21"/>
                <w:szCs w:val="21"/>
                <w:lang w:val="en-US" w:eastAsia="zh-CN"/>
              </w:rPr>
              <w:t xml:space="preserve">② </w:t>
            </w:r>
          </w:p>
          <w:p w14:paraId="2028EFCD">
            <w:pPr>
              <w:spacing w:line="340" w:lineRule="exact"/>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控制进料质量措施</w:t>
            </w:r>
            <w:r>
              <w:rPr>
                <w:rFonts w:hint="default" w:asciiTheme="minorEastAsia" w:hAnsiTheme="minorEastAsia" w:eastAsiaTheme="minorEastAsia" w:cstheme="minorEastAsia"/>
                <w:kern w:val="0"/>
                <w:sz w:val="21"/>
                <w:szCs w:val="21"/>
                <w:lang w:val="en-US" w:eastAsia="zh-CN"/>
              </w:rPr>
              <w:t>③</w:t>
            </w:r>
            <w:r>
              <w:rPr>
                <w:rFonts w:hint="eastAsia" w:asciiTheme="minorEastAsia" w:hAnsiTheme="minorEastAsia" w:eastAsiaTheme="minorEastAsia" w:cstheme="minorEastAsia"/>
                <w:kern w:val="0"/>
                <w:sz w:val="21"/>
                <w:szCs w:val="21"/>
                <w:lang w:val="en-US" w:eastAsia="zh-CN"/>
              </w:rPr>
              <w:t>从时间和质量上保证供货及时质优等保障措施。</w:t>
            </w:r>
          </w:p>
          <w:p w14:paraId="0F5A7635">
            <w:pPr>
              <w:spacing w:line="340" w:lineRule="exact"/>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所提供的交货进度计划以及保障措施包括以上内容但不限于以上内容并且交货进度合理、保证措施完善的，得10分；</w:t>
            </w:r>
          </w:p>
          <w:p w14:paraId="5018AFC2">
            <w:pPr>
              <w:spacing w:line="340" w:lineRule="exact"/>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所提供的交货进度计划以及保障措施包括以上内容但不限于以上内容并且交货进度计划较合理、保证措施较完善的，得6分；</w:t>
            </w:r>
          </w:p>
          <w:p w14:paraId="289AF35D">
            <w:pPr>
              <w:spacing w:line="340" w:lineRule="exact"/>
              <w:jc w:val="left"/>
              <w:rPr>
                <w:rFonts w:hint="eastAsia" w:asciiTheme="minorEastAsia" w:hAnsiTheme="minorEastAsia" w:eastAsiaTheme="minorEastAsia" w:cstheme="minorEastAsia"/>
                <w:kern w:val="0"/>
                <w:sz w:val="21"/>
                <w:szCs w:val="21"/>
                <w:lang w:val="en-US" w:eastAsia="zh-CN"/>
              </w:rPr>
            </w:pPr>
            <w:r>
              <w:rPr>
                <w:rFonts w:hint="default"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lang w:val="en-US" w:eastAsia="zh-CN"/>
              </w:rPr>
              <w:t xml:space="preserve">所提供的交货进度计划以及保障措施包括以上内容但不限于以上内容并且交货进度计划较合理性较差、保证措施较完善度较差的，得3分，未提供不得分。 </w:t>
            </w:r>
          </w:p>
        </w:tc>
      </w:tr>
      <w:tr w14:paraId="3D56C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4" w:hRule="atLeast"/>
          <w:jc w:val="center"/>
        </w:trPr>
        <w:tc>
          <w:tcPr>
            <w:tcW w:w="606" w:type="dxa"/>
            <w:vMerge w:val="continue"/>
            <w:vAlign w:val="center"/>
          </w:tcPr>
          <w:p w14:paraId="7D84E60A">
            <w:pPr>
              <w:spacing w:line="340" w:lineRule="exact"/>
              <w:jc w:val="left"/>
              <w:rPr>
                <w:rFonts w:hint="eastAsia" w:asciiTheme="minorEastAsia" w:hAnsiTheme="minorEastAsia" w:eastAsiaTheme="minorEastAsia" w:cstheme="minorEastAsia"/>
                <w:kern w:val="0"/>
                <w:sz w:val="21"/>
                <w:szCs w:val="21"/>
              </w:rPr>
            </w:pPr>
          </w:p>
        </w:tc>
        <w:tc>
          <w:tcPr>
            <w:tcW w:w="1154" w:type="dxa"/>
            <w:vMerge w:val="continue"/>
            <w:vAlign w:val="center"/>
          </w:tcPr>
          <w:p w14:paraId="3317A02A">
            <w:pPr>
              <w:spacing w:line="340" w:lineRule="exact"/>
              <w:jc w:val="left"/>
              <w:rPr>
                <w:rFonts w:hint="eastAsia" w:asciiTheme="minorEastAsia" w:hAnsiTheme="minorEastAsia" w:eastAsiaTheme="minorEastAsia" w:cstheme="minorEastAsia"/>
                <w:kern w:val="0"/>
                <w:sz w:val="21"/>
                <w:szCs w:val="21"/>
              </w:rPr>
            </w:pPr>
          </w:p>
        </w:tc>
        <w:tc>
          <w:tcPr>
            <w:tcW w:w="1645" w:type="dxa"/>
            <w:vAlign w:val="center"/>
          </w:tcPr>
          <w:p w14:paraId="0C4B37C3">
            <w:pPr>
              <w:spacing w:line="340" w:lineRule="exact"/>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5、售后服务方案（8分）</w:t>
            </w:r>
          </w:p>
          <w:p w14:paraId="1DDDFA24">
            <w:pPr>
              <w:spacing w:line="340" w:lineRule="exact"/>
              <w:jc w:val="left"/>
              <w:rPr>
                <w:rFonts w:hint="eastAsia" w:asciiTheme="minorEastAsia" w:hAnsiTheme="minorEastAsia" w:eastAsiaTheme="minorEastAsia" w:cstheme="minorEastAsia"/>
                <w:kern w:val="0"/>
                <w:sz w:val="21"/>
                <w:szCs w:val="21"/>
                <w:lang w:val="en-US" w:eastAsia="zh-CN"/>
              </w:rPr>
            </w:pPr>
          </w:p>
        </w:tc>
        <w:tc>
          <w:tcPr>
            <w:tcW w:w="6398" w:type="dxa"/>
            <w:vAlign w:val="center"/>
          </w:tcPr>
          <w:p w14:paraId="150730CB">
            <w:pPr>
              <w:spacing w:line="3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投标人对售后服务方案，包含但不限于：制定完整的售后服务计划及售后服务标准；完善的服务保障体系；质保期内的服务措施、解决办法、维修方案等；售后服务承诺（如出现质量问题时的应急措施、维护力量安排、承诺响应时间、上门服务时间、故障排除时限等）；配件耗材和备件支持（如所报产品配件、耗材、备件支持及特殊工具提供情况）；质保期满后的服务措施等进行综合表述，评标委员会根据上述关键点的合理完善程度进行综合评价。</w:t>
            </w:r>
          </w:p>
          <w:p w14:paraId="5CD3A5ED">
            <w:pPr>
              <w:spacing w:line="340" w:lineRule="exact"/>
              <w:jc w:val="left"/>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详细表述且内容完整先进合理有针对性得</w:t>
            </w:r>
            <w:r>
              <w:rPr>
                <w:rFonts w:hint="eastAsia" w:asciiTheme="minorEastAsia" w:hAnsiTheme="minorEastAsia" w:eastAsiaTheme="minorEastAsia" w:cstheme="minorEastAsia"/>
                <w:kern w:val="0"/>
                <w:sz w:val="21"/>
                <w:szCs w:val="21"/>
                <w:lang w:val="en-US" w:eastAsia="zh-CN"/>
              </w:rPr>
              <w:t>8</w:t>
            </w:r>
            <w:r>
              <w:rPr>
                <w:rFonts w:hint="eastAsia" w:asciiTheme="minorEastAsia" w:hAnsiTheme="minorEastAsia" w:eastAsiaTheme="minorEastAsia" w:cstheme="minorEastAsia"/>
                <w:kern w:val="0"/>
                <w:sz w:val="21"/>
                <w:szCs w:val="21"/>
              </w:rPr>
              <w:t>分，表述较完整、较合理、较有针对性得</w:t>
            </w: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分；表述不清或缺项，该项不得分。</w:t>
            </w:r>
          </w:p>
        </w:tc>
      </w:tr>
      <w:tr w14:paraId="03ECF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606" w:type="dxa"/>
            <w:vMerge w:val="restart"/>
            <w:vAlign w:val="center"/>
          </w:tcPr>
          <w:p w14:paraId="4C64C470">
            <w:pPr>
              <w:spacing w:line="3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1154" w:type="dxa"/>
            <w:vMerge w:val="restart"/>
            <w:vAlign w:val="center"/>
          </w:tcPr>
          <w:p w14:paraId="4A676109">
            <w:pPr>
              <w:spacing w:line="3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商务分（10分）</w:t>
            </w:r>
          </w:p>
        </w:tc>
        <w:tc>
          <w:tcPr>
            <w:tcW w:w="1645" w:type="dxa"/>
            <w:vAlign w:val="center"/>
          </w:tcPr>
          <w:p w14:paraId="1F72F515">
            <w:pPr>
              <w:spacing w:line="340" w:lineRule="exact"/>
              <w:jc w:val="left"/>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1、检测报告(6分）</w:t>
            </w:r>
          </w:p>
        </w:tc>
        <w:tc>
          <w:tcPr>
            <w:tcW w:w="6398" w:type="dxa"/>
            <w:vAlign w:val="center"/>
          </w:tcPr>
          <w:p w14:paraId="51E2A00F">
            <w:pPr>
              <w:spacing w:line="340" w:lineRule="exact"/>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供应商或者设备生产厂家提供产品原理图及布局图说明文件加盖公章或者第三方3C检测报告资质扫描件。不提供或提供不符合要求者不得分，满足得6分。</w:t>
            </w:r>
          </w:p>
        </w:tc>
      </w:tr>
      <w:tr w14:paraId="2187B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606" w:type="dxa"/>
            <w:vMerge w:val="continue"/>
            <w:vAlign w:val="center"/>
          </w:tcPr>
          <w:p w14:paraId="5E2CD7CE">
            <w:pPr>
              <w:spacing w:line="340" w:lineRule="exact"/>
              <w:jc w:val="left"/>
              <w:rPr>
                <w:rFonts w:hint="eastAsia" w:asciiTheme="minorEastAsia" w:hAnsiTheme="minorEastAsia" w:eastAsiaTheme="minorEastAsia" w:cstheme="minorEastAsia"/>
                <w:kern w:val="0"/>
                <w:sz w:val="21"/>
                <w:szCs w:val="21"/>
              </w:rPr>
            </w:pPr>
          </w:p>
        </w:tc>
        <w:tc>
          <w:tcPr>
            <w:tcW w:w="1154" w:type="dxa"/>
            <w:vMerge w:val="continue"/>
            <w:vAlign w:val="center"/>
          </w:tcPr>
          <w:p w14:paraId="28E8DD7B">
            <w:pPr>
              <w:spacing w:line="340" w:lineRule="exact"/>
              <w:jc w:val="left"/>
              <w:rPr>
                <w:rFonts w:hint="eastAsia" w:asciiTheme="minorEastAsia" w:hAnsiTheme="minorEastAsia" w:eastAsiaTheme="minorEastAsia" w:cstheme="minorEastAsia"/>
                <w:kern w:val="0"/>
                <w:sz w:val="21"/>
                <w:szCs w:val="21"/>
              </w:rPr>
            </w:pPr>
          </w:p>
        </w:tc>
        <w:tc>
          <w:tcPr>
            <w:tcW w:w="1645" w:type="dxa"/>
            <w:vAlign w:val="center"/>
          </w:tcPr>
          <w:p w14:paraId="7B27F399">
            <w:pPr>
              <w:spacing w:line="3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2、业绩证明（4分）</w:t>
            </w:r>
          </w:p>
          <w:p w14:paraId="0CEFD804">
            <w:pPr>
              <w:spacing w:line="340" w:lineRule="exact"/>
              <w:jc w:val="left"/>
              <w:rPr>
                <w:rFonts w:hint="eastAsia" w:asciiTheme="minorEastAsia" w:hAnsiTheme="minorEastAsia" w:eastAsiaTheme="minorEastAsia" w:cstheme="minorEastAsia"/>
                <w:kern w:val="0"/>
                <w:sz w:val="21"/>
                <w:szCs w:val="21"/>
              </w:rPr>
            </w:pPr>
          </w:p>
        </w:tc>
        <w:tc>
          <w:tcPr>
            <w:tcW w:w="6398" w:type="dxa"/>
            <w:vAlign w:val="center"/>
          </w:tcPr>
          <w:p w14:paraId="451DDB2A">
            <w:pPr>
              <w:spacing w:line="340" w:lineRule="exact"/>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提供2022年1月至今类似项目业绩（医疗或者医用行业）4份。要求时间以合同签订时间为准，投标文件中附有其业绩证明材料，业绩以投标人的销售或服务合同为依据，每提供一个得 1 分，满分 4 分。注：业绩（销售或服务合同）中甲乙双方签章、合同签订时间、合同金额和名称必须清晰，否则不予评分。</w:t>
            </w:r>
          </w:p>
        </w:tc>
      </w:tr>
    </w:tbl>
    <w:p w14:paraId="17E5B414">
      <w:pPr>
        <w:spacing w:line="340" w:lineRule="exact"/>
        <w:jc w:val="left"/>
        <w:rPr>
          <w:rFonts w:hint="eastAsia" w:asciiTheme="minorEastAsia" w:hAnsiTheme="minorEastAsia" w:eastAsiaTheme="minorEastAsia" w:cstheme="minorEastAsia"/>
          <w:kern w:val="0"/>
          <w:sz w:val="21"/>
          <w:szCs w:val="21"/>
          <w:lang w:val="en-US" w:eastAsia="zh-CN"/>
        </w:rPr>
      </w:pPr>
    </w:p>
    <w:p w14:paraId="70D7ED7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03FF3EB0">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3BF9C8DB">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363DA7F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3694483">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6F1AFA7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E6AAD04">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3AED765F">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3EEA3DF6">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bookmarkStart w:id="2" w:name="_GoBack"/>
      <w:bookmarkEnd w:id="2"/>
    </w:p>
    <w:p w14:paraId="2EACD29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01172D88">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145F42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5F2DF6F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报名方式（投标人可选择以下任意一种方式报名）</w:t>
      </w:r>
    </w:p>
    <w:p w14:paraId="5BBFFDC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1、现场报名：报名时提供营业执照复印件，复印件要求加盖公章。法人报名需提供身份证复印件，委托代理的提供委托代理书（见附件模板）。此项目投标报名及开标需为同一人。</w:t>
      </w:r>
    </w:p>
    <w:p w14:paraId="04805F1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2、线上报名：投标人下载附件1，按要求填写报名资料，请在报名时间内将报名资料发送到指定邮箱，开标时将纸质版报名资料同投标文件一起递交（请勿将报名资料装订到投标文件里）。</w:t>
      </w:r>
    </w:p>
    <w:p w14:paraId="3270F476">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i w:val="0"/>
          <w:caps/>
          <w:color w:val="333333"/>
          <w:spacing w:val="0"/>
          <w:sz w:val="24"/>
          <w:szCs w:val="24"/>
          <w:lang w:eastAsia="zh-CN"/>
        </w:rPr>
      </w:pPr>
      <w:r>
        <w:rPr>
          <w:rFonts w:hint="eastAsia" w:ascii="宋体" w:hAnsi="宋体" w:eastAsia="宋体" w:cs="宋体"/>
          <w:b w:val="0"/>
          <w:bCs/>
          <w:sz w:val="24"/>
          <w:szCs w:val="24"/>
          <w:lang w:val="en-US" w:eastAsia="zh-CN"/>
        </w:rPr>
        <w:t>（邮箱地址：zxyyzbb8367192@163.com）</w:t>
      </w:r>
    </w:p>
    <w:p w14:paraId="3CB2C60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3B59A6F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7F8ABE9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5EC9E7F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当正本和副本不一致时，以正本为准。标书每一页均需加盖公章。开标时供应商需将投标所需资料胶印3份（一正两副），并密封携带。</w:t>
      </w:r>
    </w:p>
    <w:p w14:paraId="07721D87">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4CCB082B">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06FD0533">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2E44707A">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1439D001">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6B66AD9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60EB1DC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1E2709F5">
      <w:pPr>
        <w:pageBreakBefore w:val="0"/>
        <w:numPr>
          <w:ilvl w:val="0"/>
          <w:numId w:val="0"/>
        </w:numPr>
        <w:wordWrap w:val="0"/>
        <w:autoSpaceDE/>
        <w:autoSpaceDN/>
        <w:bidi w:val="0"/>
        <w:snapToGrid/>
        <w:spacing w:line="360" w:lineRule="auto"/>
        <w:ind w:left="0" w:leftChars="0" w:right="0"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7C12674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233CACF3">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3D7A8441">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3DFA61">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37F0A7F9">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6AAE202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293234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118650C8">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65B484E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44CE0CDA">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13B6FC2">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54977D4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4307960E">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68FCFBF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3950A1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1CD4DB43">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1924CFAA">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3A3900AE">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545998C0">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118F3A9">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1A0BB62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5315E09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0EE6CD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8D0DB6">
      <w:pPr>
        <w:pageBreakBefore w:val="0"/>
        <w:numPr>
          <w:ilvl w:val="0"/>
          <w:numId w:val="0"/>
        </w:numPr>
        <w:wordWrap w:val="0"/>
        <w:autoSpaceDE/>
        <w:autoSpaceDN/>
        <w:bidi w:val="0"/>
        <w:snapToGrid/>
        <w:spacing w:line="360" w:lineRule="auto"/>
        <w:ind w:leftChars="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EEA4320">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6BFE573D">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4845C19C">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4C45B67E">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531B237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3E09A4C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86A9A56">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F0C316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5B5148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121B273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E2D5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393F5C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7712FB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AE2F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CBA9D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C3BD76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D5FF88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82592B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E0A3E6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18FBC2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D1EE4A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AAAA84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31ED41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44D8CF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5A6F7E1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为规范院内招标采购活动，约束投标供应商行为，保障医院的合法权益，现制定院内招标采购黑名单管理规定。</w:t>
      </w:r>
    </w:p>
    <w:p w14:paraId="31D1521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2A735F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E3BF57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580777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2610924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588E789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4.开标后经采购小组审查招标文件，认定有虚假应标、串标、陪标或者围标行为的（例如呈现规律性报价、等差或者等比排列；报价绑定、建立攻守联盟等）；投标资料格式、内容等雷同的。</w:t>
      </w:r>
    </w:p>
    <w:p w14:paraId="62D45C4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5.中标后不履行招标文件要求，例如不按时完工或交货、不履行质保条款、将项目私自转包等。</w:t>
      </w:r>
    </w:p>
    <w:p w14:paraId="650F440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4C821A6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28F2028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68F616B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1D3C98D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58CF0F7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558231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403190B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16AB593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26E0A72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6809E4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18F293B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93233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278074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357BC47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7FA24C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9B98D82">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D180FA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56652E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3843EC7">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54D90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CE5491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44BF7D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950F6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C2841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F3CF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741B83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A00285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60F99D5">
      <w:pPr>
        <w:numPr>
          <w:ilvl w:val="0"/>
          <w:numId w:val="0"/>
        </w:numPr>
        <w:spacing w:line="360" w:lineRule="auto"/>
        <w:ind w:left="0" w:right="0" w:firstLine="2881" w:firstLineChars="900"/>
        <w:jc w:val="both"/>
      </w:pPr>
      <w:r>
        <w:rPr>
          <w:rFonts w:hint="eastAsia" w:asciiTheme="minorEastAsia" w:hAnsiTheme="minorEastAsia"/>
          <w:b/>
          <w:sz w:val="32"/>
          <w:szCs w:val="32"/>
          <w:lang w:val="en-US" w:eastAsia="zh-CN"/>
        </w:rPr>
        <w:t xml:space="preserve">第三章 </w:t>
      </w: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2DAC74B8">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0DDC55FD">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5F75A8D7">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14:paraId="5134D763">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309D5D2C">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74264BC5">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75182FBA"/>
    <w:p w14:paraId="2CC7C07F"/>
    <w:p w14:paraId="1735BC4B"/>
    <w:p w14:paraId="4066E760"/>
    <w:p w14:paraId="54E87705">
      <w:bookmarkStart w:id="1" w:name="_Toc422403383"/>
    </w:p>
    <w:p w14:paraId="5E5DAE6E"/>
    <w:p w14:paraId="4FC0E8C5"/>
    <w:p w14:paraId="48349738">
      <w:pPr>
        <w:pStyle w:val="4"/>
      </w:pPr>
    </w:p>
    <w:p w14:paraId="02018F48"/>
    <w:p w14:paraId="2FB8C436">
      <w:pPr>
        <w:pStyle w:val="4"/>
      </w:pPr>
    </w:p>
    <w:p w14:paraId="491E421F"/>
    <w:p w14:paraId="1DD13DB8">
      <w:pPr>
        <w:pStyle w:val="4"/>
      </w:pPr>
    </w:p>
    <w:p w14:paraId="0039FDDE"/>
    <w:p w14:paraId="1B7796A7">
      <w:pPr>
        <w:pStyle w:val="4"/>
      </w:pPr>
    </w:p>
    <w:p w14:paraId="4B16A0C9"/>
    <w:p w14:paraId="024B31C4">
      <w:pPr>
        <w:pStyle w:val="4"/>
      </w:pPr>
    </w:p>
    <w:p w14:paraId="77A62162"/>
    <w:p w14:paraId="3F5609A4">
      <w:pPr>
        <w:pStyle w:val="4"/>
      </w:pPr>
    </w:p>
    <w:p w14:paraId="28E7E602"/>
    <w:p w14:paraId="4A9DD466">
      <w:pPr>
        <w:pStyle w:val="4"/>
      </w:pPr>
    </w:p>
    <w:p w14:paraId="4C3E2F87"/>
    <w:p w14:paraId="713246D4">
      <w:pPr>
        <w:pStyle w:val="4"/>
      </w:pPr>
    </w:p>
    <w:p w14:paraId="73181010"/>
    <w:p w14:paraId="6D1591F9">
      <w:pPr>
        <w:pStyle w:val="4"/>
      </w:pPr>
    </w:p>
    <w:p w14:paraId="39185DF5"/>
    <w:p w14:paraId="66AA5FA4">
      <w:pPr>
        <w:pStyle w:val="3"/>
        <w:rPr>
          <w:color w:val="000000"/>
        </w:rPr>
      </w:pPr>
      <w:r>
        <w:rPr>
          <w:rFonts w:hint="eastAsia"/>
          <w:color w:val="000000"/>
        </w:rPr>
        <w:t>（封面）</w:t>
      </w:r>
      <w:bookmarkEnd w:id="1"/>
    </w:p>
    <w:p w14:paraId="2936D735">
      <w:pPr>
        <w:jc w:val="both"/>
        <w:rPr>
          <w:rFonts w:hint="eastAsia" w:ascii="黑体" w:hAnsi="黑体" w:eastAsia="黑体" w:cs="黑体"/>
          <w:b/>
          <w:color w:val="000000"/>
          <w:sz w:val="36"/>
          <w:szCs w:val="36"/>
        </w:rPr>
      </w:pPr>
      <w:r>
        <w:rPr>
          <w:rFonts w:hint="eastAsia" w:ascii="黑体" w:hAnsi="黑体" w:eastAsia="黑体" w:cs="黑体"/>
          <w:b/>
          <w:color w:val="000000"/>
          <w:sz w:val="36"/>
          <w:szCs w:val="36"/>
        </w:rPr>
        <w:t>鄂尔多斯市中心医院</w:t>
      </w:r>
      <w:r>
        <w:rPr>
          <w:rFonts w:hint="eastAsia" w:ascii="黑体" w:hAnsi="黑体" w:eastAsia="黑体" w:cs="黑体"/>
          <w:b/>
          <w:color w:val="000000"/>
          <w:sz w:val="36"/>
          <w:szCs w:val="36"/>
          <w:lang w:eastAsia="zh-CN"/>
        </w:rPr>
        <w:t>院内</w:t>
      </w:r>
      <w:r>
        <w:rPr>
          <w:rFonts w:hint="eastAsia" w:ascii="黑体" w:hAnsi="黑体" w:eastAsia="黑体" w:cs="黑体"/>
          <w:b/>
          <w:color w:val="000000"/>
          <w:sz w:val="36"/>
          <w:szCs w:val="36"/>
        </w:rPr>
        <w:t>采购项目</w:t>
      </w:r>
      <w:r>
        <w:rPr>
          <w:rFonts w:hint="eastAsia" w:ascii="黑体" w:hAnsi="黑体" w:eastAsia="黑体" w:cs="黑体"/>
          <w:b/>
          <w:color w:val="000000"/>
          <w:sz w:val="36"/>
          <w:szCs w:val="36"/>
          <w:lang w:val="en-US" w:eastAsia="zh-CN"/>
        </w:rPr>
        <w:t>投标</w:t>
      </w:r>
      <w:r>
        <w:rPr>
          <w:rFonts w:hint="eastAsia" w:ascii="黑体" w:hAnsi="黑体" w:eastAsia="黑体" w:cs="黑体"/>
          <w:b/>
          <w:color w:val="000000"/>
          <w:sz w:val="36"/>
          <w:szCs w:val="36"/>
        </w:rPr>
        <w:t>文件</w:t>
      </w:r>
    </w:p>
    <w:p w14:paraId="11FB0311">
      <w:pPr>
        <w:rPr>
          <w:rFonts w:hint="eastAsia" w:ascii="黑体" w:hAnsi="黑体" w:eastAsia="黑体" w:cs="黑体"/>
          <w:b/>
          <w:color w:val="000000"/>
          <w:sz w:val="36"/>
          <w:szCs w:val="36"/>
        </w:rPr>
      </w:pPr>
      <w:r>
        <w:rPr>
          <w:rFonts w:hint="eastAsia" w:ascii="黑体" w:hAnsi="黑体" w:eastAsia="黑体" w:cs="黑体"/>
          <w:b/>
          <w:color w:val="000000"/>
          <w:sz w:val="36"/>
          <w:szCs w:val="36"/>
        </w:rPr>
        <w:t xml:space="preserve">          </w:t>
      </w:r>
    </w:p>
    <w:p w14:paraId="27C16144">
      <w:pPr>
        <w:ind w:firstLine="400"/>
        <w:rPr>
          <w:rFonts w:hint="eastAsia" w:ascii="黑体" w:hAnsi="黑体" w:eastAsia="黑体" w:cs="黑体"/>
          <w:b/>
          <w:color w:val="000000"/>
          <w:sz w:val="44"/>
          <w:szCs w:val="44"/>
        </w:rPr>
      </w:pPr>
    </w:p>
    <w:p w14:paraId="02E35AA7">
      <w:pPr>
        <w:jc w:val="center"/>
        <w:rPr>
          <w:rFonts w:hint="eastAsia" w:ascii="黑体" w:hAnsi="黑体" w:eastAsia="黑体" w:cs="黑体"/>
          <w:b/>
          <w:color w:val="000000"/>
          <w:sz w:val="72"/>
          <w:szCs w:val="72"/>
        </w:rPr>
      </w:pPr>
      <w:r>
        <w:rPr>
          <w:rFonts w:hint="eastAsia" w:ascii="黑体" w:hAnsi="黑体" w:eastAsia="黑体" w:cs="黑体"/>
          <w:b/>
          <w:color w:val="000000"/>
          <w:sz w:val="72"/>
          <w:szCs w:val="72"/>
          <w:lang w:val="en-US" w:eastAsia="zh-CN"/>
        </w:rPr>
        <w:t>投标</w:t>
      </w:r>
      <w:r>
        <w:rPr>
          <w:rFonts w:hint="eastAsia" w:ascii="黑体" w:hAnsi="黑体" w:eastAsia="黑体" w:cs="黑体"/>
          <w:b/>
          <w:color w:val="000000"/>
          <w:sz w:val="72"/>
          <w:szCs w:val="72"/>
        </w:rPr>
        <w:t>货物名称</w:t>
      </w:r>
    </w:p>
    <w:p w14:paraId="1D050A64">
      <w:pPr>
        <w:jc w:val="center"/>
        <w:rPr>
          <w:rFonts w:hint="eastAsia" w:ascii="黑体" w:hAnsi="黑体" w:eastAsia="黑体" w:cs="黑体"/>
          <w:b/>
          <w:color w:val="000000"/>
          <w:sz w:val="72"/>
          <w:szCs w:val="72"/>
          <w:lang w:eastAsia="zh-CN"/>
        </w:rPr>
      </w:pPr>
      <w:r>
        <w:rPr>
          <w:rFonts w:hint="eastAsia" w:ascii="黑体" w:hAnsi="黑体" w:eastAsia="黑体" w:cs="黑体"/>
          <w:b/>
          <w:color w:val="000000"/>
          <w:sz w:val="72"/>
          <w:szCs w:val="72"/>
          <w:lang w:eastAsia="zh-CN"/>
        </w:rPr>
        <w:t>（</w:t>
      </w:r>
      <w:r>
        <w:rPr>
          <w:rFonts w:hint="eastAsia" w:ascii="黑体" w:hAnsi="黑体" w:eastAsia="黑体" w:cs="黑体"/>
          <w:b/>
          <w:color w:val="000000"/>
          <w:sz w:val="72"/>
          <w:szCs w:val="72"/>
          <w:lang w:val="en-US" w:eastAsia="zh-CN"/>
        </w:rPr>
        <w:t>正本/副本</w:t>
      </w:r>
      <w:r>
        <w:rPr>
          <w:rFonts w:hint="eastAsia" w:ascii="黑体" w:hAnsi="黑体" w:eastAsia="黑体" w:cs="黑体"/>
          <w:b/>
          <w:color w:val="000000"/>
          <w:sz w:val="72"/>
          <w:szCs w:val="72"/>
          <w:lang w:eastAsia="zh-CN"/>
        </w:rPr>
        <w:t>）</w:t>
      </w:r>
    </w:p>
    <w:p w14:paraId="6C2F2ECF">
      <w:pPr>
        <w:ind w:firstLine="400"/>
        <w:rPr>
          <w:rFonts w:hint="eastAsia" w:ascii="黑体" w:hAnsi="黑体" w:eastAsia="黑体" w:cs="黑体"/>
          <w:b/>
          <w:color w:val="000000"/>
          <w:sz w:val="44"/>
          <w:szCs w:val="44"/>
        </w:rPr>
      </w:pPr>
    </w:p>
    <w:p w14:paraId="16A79735">
      <w:pPr>
        <w:ind w:firstLine="400"/>
        <w:rPr>
          <w:rFonts w:ascii="宋体" w:hAnsi="宋体"/>
          <w:b/>
          <w:color w:val="000000"/>
          <w:sz w:val="44"/>
          <w:szCs w:val="44"/>
        </w:rPr>
      </w:pPr>
    </w:p>
    <w:p w14:paraId="41B17725">
      <w:pPr>
        <w:ind w:firstLine="400"/>
        <w:rPr>
          <w:rFonts w:ascii="宋体" w:hAnsi="宋体"/>
          <w:b/>
          <w:color w:val="000000"/>
          <w:sz w:val="44"/>
          <w:szCs w:val="44"/>
        </w:rPr>
      </w:pPr>
    </w:p>
    <w:p w14:paraId="43F0565E">
      <w:pPr>
        <w:ind w:firstLine="400"/>
        <w:rPr>
          <w:rFonts w:ascii="宋体" w:hAnsi="宋体"/>
          <w:b/>
          <w:color w:val="000000"/>
          <w:sz w:val="44"/>
          <w:szCs w:val="44"/>
        </w:rPr>
      </w:pPr>
    </w:p>
    <w:p w14:paraId="62F0F569">
      <w:pPr>
        <w:ind w:firstLine="400"/>
        <w:rPr>
          <w:rFonts w:hint="eastAsia" w:ascii="宋体" w:hAnsi="宋体" w:cs="宋体"/>
          <w:b/>
          <w:color w:val="000000"/>
          <w:sz w:val="30"/>
          <w:szCs w:val="30"/>
        </w:rPr>
      </w:pPr>
      <w:r>
        <w:rPr>
          <w:rFonts w:hint="eastAsia" w:ascii="宋体" w:hAnsi="宋体" w:cs="宋体"/>
          <w:b/>
          <w:color w:val="000000"/>
          <w:sz w:val="30"/>
          <w:szCs w:val="30"/>
          <w:lang w:eastAsia="zh-CN"/>
        </w:rPr>
        <w:t>报名单位</w:t>
      </w:r>
      <w:r>
        <w:rPr>
          <w:rFonts w:hint="eastAsia" w:ascii="宋体" w:hAnsi="宋体" w:cs="宋体"/>
          <w:b/>
          <w:color w:val="000000"/>
          <w:sz w:val="30"/>
          <w:szCs w:val="30"/>
        </w:rPr>
        <w:t>：</w:t>
      </w:r>
    </w:p>
    <w:p w14:paraId="7037C649">
      <w:pPr>
        <w:ind w:firstLine="400"/>
        <w:rPr>
          <w:rFonts w:hint="eastAsia" w:ascii="宋体" w:hAnsi="宋体" w:cs="宋体"/>
          <w:b/>
          <w:color w:val="000000"/>
          <w:sz w:val="30"/>
          <w:szCs w:val="30"/>
        </w:rPr>
      </w:pPr>
      <w:r>
        <w:rPr>
          <w:rFonts w:hint="eastAsia" w:ascii="宋体" w:hAnsi="宋体" w:cs="宋体"/>
          <w:b/>
          <w:color w:val="000000"/>
          <w:sz w:val="30"/>
          <w:szCs w:val="30"/>
          <w:lang w:val="en-US" w:eastAsia="zh-CN"/>
        </w:rPr>
        <w:t>联系人</w:t>
      </w:r>
      <w:r>
        <w:rPr>
          <w:rFonts w:hint="eastAsia" w:ascii="宋体" w:hAnsi="宋体" w:cs="宋体"/>
          <w:b/>
          <w:color w:val="000000"/>
          <w:sz w:val="30"/>
          <w:szCs w:val="30"/>
        </w:rPr>
        <w:t>:</w:t>
      </w:r>
    </w:p>
    <w:p w14:paraId="6DB6EDBC">
      <w:pPr>
        <w:ind w:firstLine="400"/>
        <w:rPr>
          <w:rFonts w:ascii="宋体" w:hAnsi="宋体" w:cs="宋体"/>
          <w:b/>
          <w:color w:val="000000"/>
          <w:sz w:val="30"/>
          <w:szCs w:val="30"/>
        </w:rPr>
      </w:pPr>
      <w:r>
        <w:rPr>
          <w:rFonts w:hint="eastAsia" w:ascii="宋体" w:hAnsi="宋体" w:cs="宋体"/>
          <w:b/>
          <w:color w:val="000000"/>
          <w:sz w:val="30"/>
          <w:szCs w:val="30"/>
        </w:rPr>
        <w:t>联系电话:</w:t>
      </w:r>
    </w:p>
    <w:p w14:paraId="4E729A37">
      <w:pPr>
        <w:ind w:firstLine="450"/>
        <w:rPr>
          <w:rFonts w:ascii="宋体" w:hAnsi="宋体" w:cs="宋体"/>
          <w:b/>
          <w:color w:val="000000"/>
          <w:sz w:val="30"/>
          <w:szCs w:val="30"/>
        </w:rPr>
      </w:pPr>
      <w:r>
        <w:rPr>
          <w:rFonts w:hint="eastAsia" w:ascii="宋体" w:hAnsi="宋体" w:cs="宋体"/>
          <w:b/>
          <w:color w:val="000000"/>
          <w:sz w:val="30"/>
          <w:szCs w:val="30"/>
        </w:rPr>
        <w:t xml:space="preserve">    </w:t>
      </w:r>
      <w:r>
        <w:rPr>
          <w:rFonts w:ascii="宋体" w:hAnsi="宋体" w:cs="宋体"/>
          <w:b/>
          <w:color w:val="000000"/>
          <w:sz w:val="30"/>
          <w:szCs w:val="30"/>
        </w:rPr>
        <w:t xml:space="preserve"> </w:t>
      </w:r>
      <w:r>
        <w:rPr>
          <w:rFonts w:hint="eastAsia" w:ascii="宋体" w:hAnsi="宋体" w:cs="宋体"/>
          <w:b/>
          <w:color w:val="000000"/>
          <w:sz w:val="30"/>
          <w:szCs w:val="30"/>
        </w:rPr>
        <w:t>年   月   日</w:t>
      </w:r>
    </w:p>
    <w:p w14:paraId="0D778B19">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2189AAC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54377406">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300E1E1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C6D7C3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7C58F5D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6E87A3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67ECEB8C">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B18C995">
      <w:pPr>
        <w:numPr>
          <w:ilvl w:val="0"/>
          <w:numId w:val="0"/>
        </w:numPr>
        <w:spacing w:line="360" w:lineRule="auto"/>
        <w:ind w:left="0" w:right="0" w:firstLine="0"/>
        <w:jc w:val="both"/>
        <w:rPr>
          <w:rFonts w:ascii="黑体" w:hAnsi="黑体" w:eastAsia="黑体" w:cs="黑体"/>
          <w:b w:val="0"/>
          <w:color w:val="000000"/>
          <w:sz w:val="32"/>
          <w:szCs w:val="32"/>
        </w:rPr>
      </w:pPr>
    </w:p>
    <w:p w14:paraId="6905E92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10D87383">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62925CD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43CD73E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四、授权委托书.....................................................</w:t>
      </w:r>
    </w:p>
    <w:p w14:paraId="368103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五、投标人基本情况表...............................................</w:t>
      </w:r>
    </w:p>
    <w:p w14:paraId="0464004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33CE8C8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5ECCEB6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01B4F46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5D5B8DE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十、参加政府采购前三年内在经营活动中无重大违法记录书面声明........ </w:t>
      </w:r>
    </w:p>
    <w:p w14:paraId="3A5610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一</w:t>
      </w:r>
      <w:r>
        <w:rPr>
          <w:rFonts w:ascii="宋体" w:hAnsi="宋体" w:eastAsia="宋体" w:cs="宋体"/>
          <w:b w:val="0"/>
          <w:color w:val="000000"/>
          <w:sz w:val="24"/>
          <w:szCs w:val="24"/>
        </w:rPr>
        <w:t>、主要商务要求承诺书 ...........................................</w:t>
      </w:r>
    </w:p>
    <w:p w14:paraId="23BCBD24">
      <w:pPr>
        <w:pStyle w:val="14"/>
        <w:rPr>
          <w:rFonts w:ascii="宋体" w:hAnsi="宋体" w:eastAsia="宋体" w:cs="宋体"/>
          <w:b w:val="0"/>
          <w:color w:val="000000"/>
          <w:sz w:val="24"/>
          <w:szCs w:val="24"/>
        </w:rPr>
      </w:pPr>
      <w:r>
        <w:rPr>
          <w:rFonts w:hint="eastAsia" w:hAnsi="宋体" w:cs="宋体"/>
          <w:b w:val="0"/>
          <w:color w:val="000000"/>
          <w:sz w:val="24"/>
          <w:szCs w:val="24"/>
          <w:lang w:val="en-US" w:eastAsia="zh-CN"/>
        </w:rPr>
        <w:t>十二、</w:t>
      </w:r>
      <w:r>
        <w:rPr>
          <w:rFonts w:ascii="宋体" w:hAnsi="宋体" w:eastAsia="宋体" w:cs="宋体"/>
          <w:b w:val="0"/>
          <w:color w:val="000000"/>
          <w:sz w:val="24"/>
          <w:szCs w:val="24"/>
        </w:rPr>
        <w:t xml:space="preserve">技术偏离表.................................................... </w:t>
      </w:r>
    </w:p>
    <w:p w14:paraId="07314979">
      <w:pPr>
        <w:pStyle w:val="14"/>
        <w:rPr>
          <w:rFonts w:hint="default" w:ascii="宋体" w:hAnsi="宋体" w:eastAsia="宋体" w:cs="宋体"/>
          <w:b w:val="0"/>
          <w:color w:val="000000"/>
          <w:sz w:val="24"/>
          <w:szCs w:val="24"/>
          <w:lang w:val="en-US" w:eastAsia="zh-CN"/>
        </w:rPr>
      </w:pPr>
      <w:r>
        <w:rPr>
          <w:rFonts w:hint="eastAsia" w:hAnsi="宋体" w:cs="宋体"/>
          <w:b w:val="0"/>
          <w:color w:val="000000"/>
          <w:sz w:val="24"/>
          <w:szCs w:val="24"/>
          <w:lang w:val="en-US" w:eastAsia="zh-CN"/>
        </w:rPr>
        <w:t>十三、评审细则各项要求</w:t>
      </w:r>
      <w:r>
        <w:rPr>
          <w:rFonts w:ascii="宋体" w:hAnsi="宋体" w:eastAsia="宋体" w:cs="宋体"/>
          <w:b w:val="0"/>
          <w:color w:val="000000"/>
          <w:sz w:val="24"/>
          <w:szCs w:val="24"/>
        </w:rPr>
        <w:t xml:space="preserve">........................................... </w:t>
      </w:r>
      <w:r>
        <w:rPr>
          <w:rFonts w:hint="eastAsia" w:ascii="宋体" w:hAnsi="宋体" w:eastAsia="宋体" w:cs="宋体"/>
          <w:b w:val="0"/>
          <w:color w:val="000000"/>
          <w:sz w:val="24"/>
          <w:szCs w:val="24"/>
          <w:lang w:val="en-US" w:eastAsia="zh-CN"/>
        </w:rPr>
        <w:t>..</w:t>
      </w:r>
    </w:p>
    <w:p w14:paraId="062AD4B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四</w:t>
      </w:r>
      <w:r>
        <w:rPr>
          <w:rFonts w:ascii="宋体" w:hAnsi="宋体" w:eastAsia="宋体" w:cs="宋体"/>
          <w:b w:val="0"/>
          <w:color w:val="000000"/>
          <w:sz w:val="24"/>
          <w:szCs w:val="24"/>
        </w:rPr>
        <w:t>、</w:t>
      </w:r>
      <w:r>
        <w:rPr>
          <w:rFonts w:hint="eastAsia" w:ascii="宋体" w:hAnsi="宋体" w:eastAsia="宋体" w:cs="宋体"/>
          <w:b w:val="0"/>
          <w:color w:val="000000"/>
          <w:sz w:val="24"/>
          <w:szCs w:val="24"/>
          <w:lang w:val="en-US" w:eastAsia="zh-CN"/>
        </w:rPr>
        <w:t>其他..............</w:t>
      </w:r>
      <w:r>
        <w:rPr>
          <w:rFonts w:ascii="宋体" w:hAnsi="宋体" w:eastAsia="宋体" w:cs="宋体"/>
          <w:b w:val="0"/>
          <w:color w:val="000000"/>
          <w:sz w:val="24"/>
          <w:szCs w:val="24"/>
        </w:rPr>
        <w:t xml:space="preserve"> ...........................................</w:t>
      </w:r>
    </w:p>
    <w:p w14:paraId="39B159FD">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B6D252C">
      <w:pPr>
        <w:pStyle w:val="14"/>
        <w:rPr>
          <w:rFonts w:hint="eastAsia" w:ascii="宋体" w:hAnsi="宋体" w:eastAsia="宋体" w:cs="宋体"/>
          <w:b w:val="0"/>
          <w:color w:val="000000"/>
          <w:sz w:val="24"/>
          <w:szCs w:val="24"/>
          <w:lang w:val="en-US" w:eastAsia="zh-CN" w:bidi="ar-SA"/>
        </w:rPr>
      </w:pPr>
    </w:p>
    <w:p w14:paraId="10C4CDCE">
      <w:pPr>
        <w:pStyle w:val="14"/>
        <w:rPr>
          <w:rFonts w:hint="eastAsia" w:ascii="宋体" w:hAnsi="宋体" w:eastAsia="宋体" w:cs="宋体"/>
          <w:b w:val="0"/>
          <w:color w:val="000000"/>
          <w:sz w:val="24"/>
          <w:szCs w:val="24"/>
          <w:lang w:val="en-US" w:eastAsia="zh-CN" w:bidi="ar-SA"/>
        </w:rPr>
      </w:pPr>
    </w:p>
    <w:p w14:paraId="1160BE39">
      <w:pPr>
        <w:pStyle w:val="14"/>
        <w:rPr>
          <w:rFonts w:hint="eastAsia" w:ascii="宋体" w:hAnsi="宋体" w:eastAsia="宋体" w:cs="宋体"/>
          <w:b w:val="0"/>
          <w:color w:val="000000"/>
          <w:sz w:val="24"/>
          <w:szCs w:val="24"/>
          <w:lang w:val="en-US" w:eastAsia="zh-CN" w:bidi="ar-SA"/>
        </w:rPr>
      </w:pPr>
    </w:p>
    <w:p w14:paraId="14C44CF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71537E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59CBB3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A6DDB4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96E6DDB">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1FEBEC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397279F6">
      <w:pPr>
        <w:pStyle w:val="14"/>
        <w:rPr>
          <w:rFonts w:hint="eastAsia" w:ascii="宋体" w:hAnsi="宋体" w:eastAsia="宋体" w:cs="宋体"/>
          <w:b/>
          <w:i w:val="0"/>
          <w:caps/>
          <w:color w:val="auto"/>
          <w:spacing w:val="0"/>
          <w:sz w:val="36"/>
          <w:szCs w:val="36"/>
          <w:lang w:val="en-US" w:eastAsia="zh-CN"/>
        </w:rPr>
      </w:pPr>
    </w:p>
    <w:p w14:paraId="265C135A">
      <w:pPr>
        <w:pStyle w:val="14"/>
        <w:rPr>
          <w:rFonts w:hint="eastAsia" w:ascii="宋体" w:hAnsi="宋体" w:eastAsia="宋体" w:cs="宋体"/>
          <w:b/>
          <w:i w:val="0"/>
          <w:caps/>
          <w:color w:val="auto"/>
          <w:spacing w:val="0"/>
          <w:sz w:val="36"/>
          <w:szCs w:val="36"/>
          <w:lang w:val="en-US" w:eastAsia="zh-CN"/>
        </w:rPr>
      </w:pPr>
    </w:p>
    <w:p w14:paraId="62918EE4">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007AF580">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229B4555">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05C5DAF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项目招标公告及供应商须知等内容，自愿参加上述项目投标，现就有关事项向招标人郑重承诺如下：</w:t>
      </w:r>
    </w:p>
    <w:p w14:paraId="3105F133">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17128F8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08480F5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6889D8AB">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4、我方承诺在中标后不将招标项目转包、分包。否则，同意被取消中标资格，并愿意承担任何处罚。</w:t>
      </w:r>
    </w:p>
    <w:p w14:paraId="67F659A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5、我方服从招标文件规定的时间安排，遵守招标有关会议现场纪律。否则，同意被废除投标资格并理解处罚。</w:t>
      </w:r>
    </w:p>
    <w:p w14:paraId="2F9AB60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6、保证投标文件不存在低于成本的恶意报价行为，也不存在恶意抬高报价行为。</w:t>
      </w:r>
    </w:p>
    <w:p w14:paraId="37B5AB26">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4DB195FB">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09D641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投标人名称：(盖公章)</w:t>
      </w:r>
    </w:p>
    <w:p w14:paraId="00DA6B2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0614A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法定代表人(或授权代理人)：(签字)</w:t>
      </w:r>
    </w:p>
    <w:p w14:paraId="223CF9AC">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578BB785">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578522DF">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ECD095E">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2464D44">
      <w:pPr>
        <w:numPr>
          <w:ilvl w:val="0"/>
          <w:numId w:val="3"/>
        </w:numPr>
        <w:spacing w:line="360" w:lineRule="auto"/>
        <w:jc w:val="both"/>
        <w:rPr>
          <w:rFonts w:hint="eastAsia" w:ascii="黑体" w:hAnsi="黑体" w:eastAsia="黑体" w:cs="黑体"/>
          <w:b w:val="0"/>
          <w:color w:val="000000"/>
          <w:sz w:val="32"/>
          <w:szCs w:val="32"/>
          <w:lang w:val="en-US" w:eastAsia="zh-CN" w:bidi="ar-SA"/>
        </w:rPr>
      </w:pPr>
      <w:r>
        <w:rPr>
          <w:rFonts w:hint="eastAsia" w:ascii="黑体" w:hAnsi="黑体" w:eastAsia="黑体" w:cs="黑体"/>
          <w:b w:val="0"/>
          <w:color w:val="000000"/>
          <w:sz w:val="32"/>
          <w:szCs w:val="32"/>
          <w:lang w:val="en-US" w:eastAsia="zh-CN" w:bidi="ar-SA"/>
        </w:rPr>
        <w:t>开标一览表</w:t>
      </w:r>
    </w:p>
    <w:p w14:paraId="22023056">
      <w:pPr>
        <w:spacing w:line="360" w:lineRule="auto"/>
        <w:rPr>
          <w:rFonts w:hint="eastAsia" w:asciiTheme="majorHAnsi" w:hAnsiTheme="majorHAnsi" w:eastAsiaTheme="majorEastAsia" w:cstheme="minorBidi"/>
          <w:b/>
          <w:color w:val="000000"/>
          <w:sz w:val="32"/>
          <w:szCs w:val="32"/>
          <w:lang w:val="en-US" w:eastAsia="zh-CN" w:bidi="ar-SA"/>
        </w:rPr>
      </w:pPr>
    </w:p>
    <w:p w14:paraId="75438262">
      <w:pPr>
        <w:pStyle w:val="14"/>
        <w:rPr>
          <w:rFonts w:hint="eastAsia"/>
          <w:lang w:val="en-US" w:eastAsia="zh-CN"/>
        </w:rPr>
      </w:pPr>
    </w:p>
    <w:p w14:paraId="07A0A069">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投标人名称：</w:t>
      </w:r>
    </w:p>
    <w:p w14:paraId="3DE686B3">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4DE5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358B4A54">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6DA0C7A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6D6F344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w:t>
            </w:r>
          </w:p>
        </w:tc>
      </w:tr>
      <w:tr w14:paraId="66BE2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136DB600">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20F657C6">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4F80BB7C">
            <w:pPr>
              <w:spacing w:line="360" w:lineRule="auto"/>
              <w:jc w:val="center"/>
              <w:rPr>
                <w:rFonts w:hint="eastAsia" w:ascii="宋体" w:hAnsi="宋体" w:eastAsia="宋体" w:cs="宋体"/>
                <w:b w:val="0"/>
                <w:color w:val="000000"/>
                <w:sz w:val="24"/>
                <w:szCs w:val="24"/>
                <w:lang w:val="en-US" w:eastAsia="zh-CN" w:bidi="ar-SA"/>
              </w:rPr>
            </w:pPr>
          </w:p>
        </w:tc>
      </w:tr>
      <w:tr w14:paraId="375C9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3CA9F291">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6F23510E"/>
        </w:tc>
        <w:tc>
          <w:tcPr>
            <w:tcW w:w="2018" w:type="dxa"/>
            <w:vMerge w:val="continue"/>
            <w:vAlign w:val="center"/>
          </w:tcPr>
          <w:p w14:paraId="312D1752"/>
        </w:tc>
      </w:tr>
    </w:tbl>
    <w:p w14:paraId="262CE9B2">
      <w:pPr>
        <w:spacing w:line="360" w:lineRule="auto"/>
        <w:rPr>
          <w:rFonts w:hint="eastAsia" w:asciiTheme="majorHAnsi" w:hAnsiTheme="majorHAnsi" w:eastAsiaTheme="majorEastAsia" w:cstheme="minorBidi"/>
          <w:b/>
          <w:color w:val="000000"/>
          <w:sz w:val="24"/>
          <w:szCs w:val="24"/>
          <w:lang w:val="en-US" w:eastAsia="zh-CN" w:bidi="ar-SA"/>
        </w:rPr>
      </w:pPr>
    </w:p>
    <w:p w14:paraId="5BEEF7AC">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说明：1.所有价格均系用人民币表示，单位为元。</w:t>
      </w:r>
    </w:p>
    <w:p w14:paraId="781D3E8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1849686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1A5BCBC0">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4.《开标一览表》中所填写内容与投标文件中内容不一致的，以开标一览表为准。</w:t>
      </w:r>
    </w:p>
    <w:p w14:paraId="085953FF">
      <w:pPr>
        <w:spacing w:line="360" w:lineRule="auto"/>
        <w:rPr>
          <w:rFonts w:hint="eastAsia" w:asciiTheme="majorHAnsi" w:hAnsiTheme="majorHAnsi" w:eastAsiaTheme="majorEastAsia" w:cstheme="minorBidi"/>
          <w:b/>
          <w:color w:val="000000"/>
          <w:sz w:val="24"/>
          <w:szCs w:val="24"/>
          <w:lang w:val="en-US" w:eastAsia="zh-CN" w:bidi="ar-SA"/>
        </w:rPr>
      </w:pPr>
    </w:p>
    <w:p w14:paraId="55AD85CB">
      <w:pPr>
        <w:spacing w:line="360" w:lineRule="auto"/>
        <w:rPr>
          <w:rFonts w:hint="eastAsia" w:asciiTheme="majorHAnsi" w:hAnsiTheme="majorHAnsi" w:eastAsiaTheme="majorEastAsia" w:cstheme="minorBidi"/>
          <w:b/>
          <w:color w:val="000000"/>
          <w:sz w:val="24"/>
          <w:szCs w:val="24"/>
          <w:lang w:val="en-US" w:eastAsia="zh-CN" w:bidi="ar-SA"/>
        </w:rPr>
      </w:pPr>
    </w:p>
    <w:p w14:paraId="76C1E294">
      <w:pPr>
        <w:spacing w:line="360" w:lineRule="auto"/>
        <w:ind w:firstLine="1400"/>
        <w:rPr>
          <w:rFonts w:hint="eastAsia" w:ascii="宋体" w:hAnsi="宋体" w:eastAsia="宋体" w:cs="宋体"/>
          <w:b w:val="0"/>
          <w:color w:val="000000"/>
          <w:sz w:val="24"/>
          <w:szCs w:val="24"/>
          <w:lang w:val="en-US" w:eastAsia="zh-CN" w:bidi="ar-SA"/>
        </w:rPr>
      </w:pPr>
    </w:p>
    <w:p w14:paraId="55932848">
      <w:pPr>
        <w:spacing w:line="360" w:lineRule="auto"/>
        <w:ind w:firstLine="1400"/>
        <w:rPr>
          <w:rFonts w:hint="eastAsia" w:ascii="宋体" w:hAnsi="宋体" w:eastAsia="宋体" w:cs="宋体"/>
          <w:b w:val="0"/>
          <w:color w:val="000000"/>
          <w:sz w:val="24"/>
          <w:szCs w:val="24"/>
          <w:lang w:val="en-US" w:eastAsia="zh-CN" w:bidi="ar-SA"/>
        </w:rPr>
      </w:pPr>
    </w:p>
    <w:p w14:paraId="3C44B871">
      <w:pPr>
        <w:spacing w:line="360" w:lineRule="auto"/>
        <w:ind w:firstLine="14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法定代表人或法人授权代表（签字）：</w:t>
      </w:r>
    </w:p>
    <w:p w14:paraId="25292675">
      <w:pPr>
        <w:spacing w:line="360" w:lineRule="auto"/>
        <w:ind w:firstLine="600"/>
        <w:rPr>
          <w:rFonts w:hint="eastAsia" w:ascii="宋体" w:hAnsi="宋体" w:eastAsia="宋体" w:cs="宋体"/>
          <w:b w:val="0"/>
          <w:color w:val="000000"/>
          <w:sz w:val="24"/>
          <w:szCs w:val="24"/>
          <w:lang w:val="en-US" w:eastAsia="zh-CN" w:bidi="ar-SA"/>
        </w:rPr>
      </w:pPr>
    </w:p>
    <w:p w14:paraId="062E7B38">
      <w:pPr>
        <w:spacing w:line="360" w:lineRule="auto"/>
        <w:ind w:firstLine="17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24118626">
      <w:pPr>
        <w:spacing w:line="360" w:lineRule="auto"/>
        <w:rPr>
          <w:rFonts w:hint="eastAsia" w:asciiTheme="majorHAnsi" w:hAnsiTheme="majorHAnsi" w:eastAsiaTheme="majorEastAsia" w:cstheme="minorBidi"/>
          <w:b/>
          <w:color w:val="000000"/>
          <w:sz w:val="32"/>
          <w:szCs w:val="32"/>
          <w:lang w:val="en-US" w:eastAsia="zh-CN" w:bidi="ar-SA"/>
        </w:rPr>
      </w:pPr>
    </w:p>
    <w:p w14:paraId="2E7D9C9D">
      <w:pPr>
        <w:spacing w:line="360" w:lineRule="auto"/>
        <w:rPr>
          <w:rFonts w:hint="eastAsia" w:asciiTheme="majorHAnsi" w:hAnsiTheme="majorHAnsi" w:eastAsiaTheme="majorEastAsia" w:cstheme="minorBidi"/>
          <w:b/>
          <w:color w:val="000000"/>
          <w:sz w:val="32"/>
          <w:szCs w:val="32"/>
          <w:lang w:val="en-US" w:eastAsia="zh-CN" w:bidi="ar-SA"/>
        </w:rPr>
      </w:pPr>
    </w:p>
    <w:p w14:paraId="12196A2A">
      <w:pPr>
        <w:pStyle w:val="14"/>
        <w:rPr>
          <w:rFonts w:hint="eastAsia"/>
          <w:lang w:val="en-US" w:eastAsia="zh-CN"/>
        </w:rPr>
      </w:pPr>
    </w:p>
    <w:p w14:paraId="2869C371">
      <w:pPr>
        <w:spacing w:line="360" w:lineRule="auto"/>
        <w:rPr>
          <w:rFonts w:hint="eastAsia" w:asciiTheme="majorHAnsi" w:hAnsiTheme="majorHAnsi" w:eastAsiaTheme="majorEastAsia" w:cstheme="minorBidi"/>
          <w:b/>
          <w:color w:val="000000"/>
          <w:sz w:val="32"/>
          <w:szCs w:val="32"/>
          <w:lang w:val="en-US" w:eastAsia="zh-CN" w:bidi="ar-SA"/>
        </w:rPr>
      </w:pPr>
    </w:p>
    <w:p w14:paraId="16A3956A">
      <w:pPr>
        <w:spacing w:line="360" w:lineRule="auto"/>
        <w:rPr>
          <w:rFonts w:hint="default" w:asciiTheme="majorHAnsi" w:hAnsiTheme="majorHAnsi" w:eastAsiaTheme="majorEastAsia" w:cstheme="minorBidi"/>
          <w:b/>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分项报价表（如有）</w:t>
      </w:r>
    </w:p>
    <w:p w14:paraId="577CAFC6">
      <w:pPr>
        <w:rPr>
          <w:rFonts w:ascii="宋体" w:hAnsi="宋体" w:eastAsia="宋体"/>
          <w:sz w:val="24"/>
          <w:szCs w:val="24"/>
          <w:lang w:val="zh-CN"/>
        </w:rPr>
      </w:pPr>
    </w:p>
    <w:p w14:paraId="4AEFE504">
      <w:pPr>
        <w:rPr>
          <w:rFonts w:ascii="宋体" w:hAnsi="宋体" w:eastAsia="宋体"/>
          <w:sz w:val="24"/>
          <w:szCs w:val="24"/>
          <w:lang w:val="zh-CN"/>
        </w:rPr>
      </w:pPr>
    </w:p>
    <w:p w14:paraId="285BAEEB">
      <w:pPr>
        <w:rPr>
          <w:rFonts w:ascii="宋体" w:hAnsi="宋体" w:eastAsia="宋体"/>
          <w:sz w:val="24"/>
          <w:szCs w:val="24"/>
          <w:lang w:val="zh-CN"/>
        </w:rPr>
      </w:pPr>
    </w:p>
    <w:p w14:paraId="1D27386E">
      <w:pPr>
        <w:rPr>
          <w:rFonts w:ascii="宋体" w:hAnsi="宋体" w:eastAsia="宋体"/>
          <w:sz w:val="24"/>
          <w:szCs w:val="24"/>
          <w:lang w:val="zh-CN"/>
        </w:rPr>
      </w:pPr>
    </w:p>
    <w:p w14:paraId="0EB22ADF">
      <w:pPr>
        <w:rPr>
          <w:rFonts w:ascii="宋体" w:hAnsi="宋体" w:eastAsia="宋体"/>
          <w:sz w:val="24"/>
          <w:szCs w:val="24"/>
          <w:lang w:val="zh-CN"/>
        </w:rPr>
      </w:pPr>
    </w:p>
    <w:p w14:paraId="2350A087">
      <w:pPr>
        <w:rPr>
          <w:rFonts w:ascii="宋体" w:hAnsi="宋体" w:eastAsia="宋体"/>
          <w:sz w:val="24"/>
          <w:szCs w:val="24"/>
          <w:lang w:val="zh-CN"/>
        </w:rPr>
      </w:pPr>
    </w:p>
    <w:p w14:paraId="11665A96">
      <w:pPr>
        <w:rPr>
          <w:rFonts w:ascii="宋体" w:hAnsi="宋体" w:eastAsia="宋体"/>
          <w:sz w:val="24"/>
          <w:szCs w:val="24"/>
          <w:lang w:val="zh-CN"/>
        </w:rPr>
      </w:pPr>
    </w:p>
    <w:p w14:paraId="25E8A962">
      <w:pPr>
        <w:rPr>
          <w:rFonts w:ascii="宋体" w:hAnsi="宋体" w:eastAsia="宋体"/>
          <w:sz w:val="24"/>
          <w:szCs w:val="24"/>
          <w:lang w:val="zh-CN"/>
        </w:rPr>
      </w:pPr>
    </w:p>
    <w:p w14:paraId="52342509">
      <w:pPr>
        <w:rPr>
          <w:rFonts w:ascii="宋体" w:hAnsi="宋体" w:eastAsia="宋体"/>
          <w:sz w:val="24"/>
          <w:szCs w:val="24"/>
          <w:lang w:val="zh-CN"/>
        </w:rPr>
      </w:pPr>
    </w:p>
    <w:p w14:paraId="1017642A">
      <w:pPr>
        <w:rPr>
          <w:rFonts w:ascii="宋体" w:hAnsi="宋体" w:eastAsia="宋体"/>
          <w:sz w:val="24"/>
          <w:szCs w:val="24"/>
          <w:lang w:val="zh-CN"/>
        </w:rPr>
      </w:pPr>
    </w:p>
    <w:p w14:paraId="2A4D65FD">
      <w:pPr>
        <w:rPr>
          <w:rFonts w:ascii="宋体" w:hAnsi="宋体" w:eastAsia="宋体"/>
          <w:sz w:val="24"/>
          <w:szCs w:val="24"/>
          <w:lang w:val="zh-CN"/>
        </w:rPr>
      </w:pPr>
    </w:p>
    <w:p w14:paraId="2AA1F7E9">
      <w:pPr>
        <w:rPr>
          <w:rFonts w:ascii="宋体" w:hAnsi="宋体" w:eastAsia="宋体"/>
          <w:sz w:val="24"/>
          <w:szCs w:val="24"/>
          <w:lang w:val="zh-CN"/>
        </w:rPr>
      </w:pPr>
    </w:p>
    <w:p w14:paraId="454D28C5">
      <w:pPr>
        <w:rPr>
          <w:rFonts w:ascii="宋体" w:hAnsi="宋体" w:eastAsia="宋体"/>
          <w:sz w:val="24"/>
          <w:szCs w:val="24"/>
          <w:lang w:val="zh-CN"/>
        </w:rPr>
      </w:pPr>
    </w:p>
    <w:p w14:paraId="48D5EFD0">
      <w:pPr>
        <w:rPr>
          <w:rFonts w:ascii="宋体" w:hAnsi="宋体" w:eastAsia="宋体"/>
          <w:sz w:val="24"/>
          <w:szCs w:val="24"/>
          <w:lang w:val="zh-CN"/>
        </w:rPr>
      </w:pPr>
    </w:p>
    <w:p w14:paraId="136FBE3F">
      <w:pPr>
        <w:rPr>
          <w:rFonts w:ascii="宋体" w:hAnsi="宋体" w:eastAsia="宋体"/>
          <w:sz w:val="24"/>
          <w:szCs w:val="24"/>
          <w:lang w:val="zh-CN"/>
        </w:rPr>
      </w:pPr>
    </w:p>
    <w:p w14:paraId="60D1398E">
      <w:pPr>
        <w:rPr>
          <w:rFonts w:ascii="宋体" w:hAnsi="宋体" w:eastAsia="宋体"/>
          <w:sz w:val="24"/>
          <w:szCs w:val="24"/>
          <w:lang w:val="zh-CN"/>
        </w:rPr>
      </w:pPr>
    </w:p>
    <w:p w14:paraId="34C98959">
      <w:pPr>
        <w:rPr>
          <w:rFonts w:ascii="宋体" w:hAnsi="宋体" w:eastAsia="宋体"/>
          <w:sz w:val="24"/>
          <w:szCs w:val="24"/>
          <w:lang w:val="zh-CN"/>
        </w:rPr>
      </w:pPr>
    </w:p>
    <w:p w14:paraId="205BE449">
      <w:pPr>
        <w:rPr>
          <w:rFonts w:ascii="宋体" w:hAnsi="宋体" w:eastAsia="宋体"/>
          <w:sz w:val="24"/>
          <w:szCs w:val="24"/>
          <w:lang w:val="zh-CN"/>
        </w:rPr>
      </w:pPr>
    </w:p>
    <w:p w14:paraId="03698BCD">
      <w:pPr>
        <w:rPr>
          <w:rFonts w:ascii="宋体" w:hAnsi="宋体" w:eastAsia="宋体"/>
          <w:sz w:val="24"/>
          <w:szCs w:val="24"/>
          <w:lang w:val="zh-CN"/>
        </w:rPr>
      </w:pPr>
    </w:p>
    <w:p w14:paraId="570C5042">
      <w:pPr>
        <w:rPr>
          <w:rFonts w:ascii="宋体" w:hAnsi="宋体" w:eastAsia="宋体"/>
          <w:sz w:val="24"/>
          <w:szCs w:val="24"/>
          <w:lang w:val="zh-CN"/>
        </w:rPr>
      </w:pPr>
    </w:p>
    <w:p w14:paraId="657D2361">
      <w:pPr>
        <w:rPr>
          <w:rFonts w:ascii="宋体" w:hAnsi="宋体" w:eastAsia="宋体"/>
          <w:sz w:val="24"/>
          <w:szCs w:val="24"/>
          <w:lang w:val="zh-CN"/>
        </w:rPr>
      </w:pPr>
    </w:p>
    <w:p w14:paraId="68E8FA8C">
      <w:pPr>
        <w:rPr>
          <w:rFonts w:ascii="宋体" w:hAnsi="宋体" w:eastAsia="宋体"/>
          <w:sz w:val="24"/>
          <w:szCs w:val="24"/>
          <w:lang w:val="zh-CN"/>
        </w:rPr>
      </w:pPr>
    </w:p>
    <w:p w14:paraId="5F3F758C">
      <w:pPr>
        <w:rPr>
          <w:rFonts w:ascii="宋体" w:hAnsi="宋体" w:eastAsia="宋体"/>
          <w:sz w:val="24"/>
          <w:szCs w:val="24"/>
          <w:lang w:val="zh-CN"/>
        </w:rPr>
      </w:pPr>
    </w:p>
    <w:p w14:paraId="5CDC8512">
      <w:pPr>
        <w:rPr>
          <w:rFonts w:ascii="宋体" w:hAnsi="宋体" w:eastAsia="宋体"/>
          <w:sz w:val="24"/>
          <w:szCs w:val="24"/>
          <w:lang w:val="zh-CN"/>
        </w:rPr>
      </w:pPr>
    </w:p>
    <w:p w14:paraId="6BA30A52">
      <w:pPr>
        <w:rPr>
          <w:rFonts w:ascii="宋体" w:hAnsi="宋体" w:eastAsia="宋体"/>
          <w:sz w:val="24"/>
          <w:szCs w:val="24"/>
          <w:lang w:val="zh-CN"/>
        </w:rPr>
      </w:pPr>
    </w:p>
    <w:p w14:paraId="6B893327">
      <w:pPr>
        <w:rPr>
          <w:rFonts w:ascii="宋体" w:hAnsi="宋体" w:eastAsia="宋体"/>
          <w:sz w:val="24"/>
          <w:szCs w:val="24"/>
          <w:lang w:val="zh-CN"/>
        </w:rPr>
      </w:pPr>
    </w:p>
    <w:p w14:paraId="74A50782">
      <w:pPr>
        <w:rPr>
          <w:rFonts w:ascii="宋体" w:hAnsi="宋体" w:eastAsia="宋体"/>
          <w:sz w:val="24"/>
          <w:szCs w:val="24"/>
          <w:lang w:val="zh-CN"/>
        </w:rPr>
      </w:pPr>
    </w:p>
    <w:p w14:paraId="74FED0F4">
      <w:pPr>
        <w:rPr>
          <w:rFonts w:ascii="宋体" w:hAnsi="宋体" w:eastAsia="宋体"/>
          <w:sz w:val="24"/>
          <w:szCs w:val="24"/>
          <w:lang w:val="zh-CN"/>
        </w:rPr>
      </w:pPr>
    </w:p>
    <w:p w14:paraId="5FD040B6">
      <w:pPr>
        <w:rPr>
          <w:rFonts w:ascii="宋体" w:hAnsi="宋体" w:eastAsia="宋体"/>
          <w:sz w:val="24"/>
          <w:szCs w:val="24"/>
          <w:lang w:val="zh-CN"/>
        </w:rPr>
      </w:pPr>
    </w:p>
    <w:p w14:paraId="3A265F53">
      <w:pPr>
        <w:rPr>
          <w:rFonts w:ascii="宋体" w:hAnsi="宋体" w:eastAsia="宋体"/>
          <w:sz w:val="24"/>
          <w:szCs w:val="24"/>
          <w:lang w:val="zh-CN"/>
        </w:rPr>
      </w:pPr>
    </w:p>
    <w:p w14:paraId="6429663F">
      <w:pPr>
        <w:rPr>
          <w:rFonts w:ascii="宋体" w:hAnsi="宋体" w:eastAsia="宋体"/>
          <w:sz w:val="24"/>
          <w:szCs w:val="24"/>
          <w:lang w:val="zh-CN"/>
        </w:rPr>
      </w:pPr>
    </w:p>
    <w:p w14:paraId="77AEDC32">
      <w:pPr>
        <w:rPr>
          <w:rFonts w:ascii="宋体" w:hAnsi="宋体" w:eastAsia="宋体"/>
          <w:sz w:val="24"/>
          <w:szCs w:val="24"/>
          <w:lang w:val="zh-CN"/>
        </w:rPr>
      </w:pPr>
    </w:p>
    <w:p w14:paraId="7D57CD23">
      <w:pPr>
        <w:rPr>
          <w:rFonts w:ascii="宋体" w:hAnsi="宋体" w:eastAsia="宋体"/>
          <w:sz w:val="24"/>
          <w:szCs w:val="24"/>
          <w:lang w:val="zh-CN"/>
        </w:rPr>
      </w:pPr>
    </w:p>
    <w:p w14:paraId="34B8875F">
      <w:pPr>
        <w:rPr>
          <w:rFonts w:ascii="宋体" w:hAnsi="宋体" w:eastAsia="宋体"/>
          <w:sz w:val="24"/>
          <w:szCs w:val="24"/>
          <w:lang w:val="zh-CN"/>
        </w:rPr>
      </w:pPr>
    </w:p>
    <w:p w14:paraId="7574AA82">
      <w:pPr>
        <w:rPr>
          <w:rFonts w:ascii="宋体" w:hAnsi="宋体" w:eastAsia="宋体"/>
          <w:sz w:val="24"/>
          <w:szCs w:val="24"/>
          <w:lang w:val="zh-CN"/>
        </w:rPr>
      </w:pPr>
    </w:p>
    <w:p w14:paraId="2F6967FA">
      <w:pPr>
        <w:rPr>
          <w:rFonts w:ascii="宋体" w:hAnsi="宋体" w:eastAsia="宋体"/>
          <w:sz w:val="24"/>
          <w:szCs w:val="24"/>
          <w:lang w:val="zh-CN"/>
        </w:rPr>
      </w:pPr>
    </w:p>
    <w:p w14:paraId="56585005">
      <w:pPr>
        <w:rPr>
          <w:rFonts w:ascii="宋体" w:hAnsi="宋体" w:eastAsia="宋体"/>
          <w:sz w:val="24"/>
          <w:szCs w:val="24"/>
          <w:lang w:val="zh-CN"/>
        </w:rPr>
      </w:pPr>
    </w:p>
    <w:p w14:paraId="77BF0A41">
      <w:pPr>
        <w:rPr>
          <w:rFonts w:ascii="宋体" w:hAnsi="宋体" w:eastAsia="宋体"/>
          <w:sz w:val="24"/>
          <w:szCs w:val="24"/>
          <w:lang w:val="zh-CN"/>
        </w:rPr>
      </w:pPr>
    </w:p>
    <w:p w14:paraId="082BB8C1">
      <w:pPr>
        <w:rPr>
          <w:rFonts w:ascii="宋体" w:hAnsi="宋体" w:eastAsia="宋体"/>
          <w:sz w:val="24"/>
          <w:szCs w:val="24"/>
          <w:lang w:val="zh-CN"/>
        </w:rPr>
      </w:pPr>
    </w:p>
    <w:p w14:paraId="13B19757">
      <w:pPr>
        <w:rPr>
          <w:rFonts w:ascii="宋体" w:hAnsi="宋体" w:eastAsia="宋体"/>
          <w:sz w:val="24"/>
          <w:szCs w:val="24"/>
          <w:lang w:val="zh-CN"/>
        </w:rPr>
      </w:pPr>
    </w:p>
    <w:p w14:paraId="79D064B4">
      <w:pPr>
        <w:rPr>
          <w:rFonts w:ascii="宋体" w:hAnsi="宋体" w:eastAsia="宋体"/>
          <w:sz w:val="24"/>
          <w:szCs w:val="24"/>
          <w:lang w:val="zh-CN"/>
        </w:rPr>
      </w:pPr>
    </w:p>
    <w:p w14:paraId="52687D37">
      <w:pPr>
        <w:rPr>
          <w:rFonts w:ascii="宋体" w:hAnsi="宋体" w:eastAsia="宋体"/>
          <w:sz w:val="24"/>
          <w:szCs w:val="24"/>
          <w:lang w:val="zh-CN"/>
        </w:rPr>
      </w:pPr>
    </w:p>
    <w:p w14:paraId="32CA65CE">
      <w:pPr>
        <w:spacing w:line="360" w:lineRule="auto"/>
        <w:jc w:val="left"/>
        <w:rPr>
          <w:rFonts w:hint="eastAsia" w:ascii="宋体" w:hAnsi="宋体" w:eastAsia="宋体"/>
          <w:b/>
          <w:color w:val="000000"/>
          <w:sz w:val="24"/>
          <w:szCs w:val="24"/>
          <w:lang w:eastAsia="zh-CN"/>
        </w:rPr>
      </w:pPr>
      <w:r>
        <w:rPr>
          <w:rFonts w:hint="eastAsia" w:ascii="宋体" w:hAnsi="宋体" w:eastAsia="宋体"/>
          <w:b/>
          <w:color w:val="000000"/>
          <w:sz w:val="24"/>
          <w:szCs w:val="24"/>
          <w:lang w:val="en-US" w:eastAsia="zh-CN"/>
        </w:rPr>
        <w:t>三、</w:t>
      </w:r>
      <w:r>
        <w:rPr>
          <w:rFonts w:hint="eastAsia" w:ascii="宋体" w:hAnsi="宋体" w:eastAsia="宋体"/>
          <w:b/>
          <w:color w:val="000000"/>
          <w:sz w:val="24"/>
          <w:szCs w:val="24"/>
          <w:lang w:eastAsia="zh-CN"/>
        </w:rPr>
        <w:t>报名产品</w:t>
      </w:r>
      <w:r>
        <w:rPr>
          <w:rFonts w:hint="eastAsia" w:ascii="宋体" w:hAnsi="宋体" w:eastAsia="宋体"/>
          <w:b/>
          <w:color w:val="000000"/>
          <w:sz w:val="24"/>
          <w:szCs w:val="24"/>
        </w:rPr>
        <w:t>情况介绍表</w:t>
      </w:r>
      <w:r>
        <w:rPr>
          <w:rFonts w:hint="eastAsia" w:ascii="宋体" w:hAnsi="宋体" w:eastAsia="宋体"/>
          <w:b/>
          <w:color w:val="000000"/>
          <w:sz w:val="24"/>
          <w:szCs w:val="24"/>
          <w:lang w:eastAsia="zh-CN"/>
        </w:rPr>
        <w:t>（</w:t>
      </w:r>
      <w:r>
        <w:rPr>
          <w:rFonts w:hint="eastAsia" w:ascii="宋体" w:hAnsi="宋体" w:eastAsia="宋体"/>
          <w:b/>
          <w:color w:val="000000"/>
          <w:sz w:val="24"/>
          <w:szCs w:val="24"/>
          <w:lang w:val="en-US" w:eastAsia="zh-CN"/>
        </w:rPr>
        <w:t>服务项目除外</w:t>
      </w:r>
      <w:r>
        <w:rPr>
          <w:rFonts w:hint="eastAsia" w:ascii="宋体" w:hAnsi="宋体" w:eastAsia="宋体"/>
          <w:b/>
          <w:color w:val="000000"/>
          <w:sz w:val="24"/>
          <w:szCs w:val="24"/>
          <w:lang w:eastAsia="zh-CN"/>
        </w:rPr>
        <w:t>）</w:t>
      </w:r>
    </w:p>
    <w:p w14:paraId="23B32CB3">
      <w:pPr>
        <w:rPr>
          <w:rFonts w:ascii="宋体" w:hAnsi="宋体" w:eastAsia="宋体"/>
          <w:sz w:val="24"/>
          <w:szCs w:val="24"/>
          <w:lang w:val="zh-CN"/>
        </w:rPr>
      </w:pPr>
    </w:p>
    <w:p w14:paraId="5940EC8A">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tbl>
      <w:tblPr>
        <w:tblStyle w:val="11"/>
        <w:tblpPr w:leftFromText="180" w:rightFromText="180" w:vertAnchor="text" w:horzAnchor="page" w:tblpX="1924" w:tblpY="450"/>
        <w:tblOverlap w:val="never"/>
        <w:tblW w:w="8296" w:type="dxa"/>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3B92C43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575" w:type="dxa"/>
            <w:vAlign w:val="center"/>
          </w:tcPr>
          <w:p w14:paraId="2CB0E77E">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86FDA90">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627BAA49">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0455F3D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0CDCBC66">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14956633">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1685F910">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7EB66BB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575" w:type="dxa"/>
            <w:vAlign w:val="center"/>
          </w:tcPr>
          <w:p w14:paraId="795EEA4B">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2127C577">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5E358B88">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2A7B0654">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5FAA51DF">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694696A9">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658B24C">
            <w:pPr>
              <w:snapToGrid w:val="0"/>
              <w:spacing w:line="360" w:lineRule="auto"/>
              <w:jc w:val="center"/>
              <w:rPr>
                <w:rFonts w:ascii="宋体" w:hAnsi="宋体" w:eastAsia="宋体"/>
                <w:color w:val="000000"/>
                <w:sz w:val="24"/>
                <w:szCs w:val="24"/>
              </w:rPr>
            </w:pPr>
          </w:p>
        </w:tc>
      </w:tr>
      <w:tr w14:paraId="52A91C4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575" w:type="dxa"/>
            <w:vAlign w:val="center"/>
          </w:tcPr>
          <w:p w14:paraId="55844BE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44587B67">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1F0AC857">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4D386CE">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D5158EB">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554F662">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0450A57">
            <w:pPr>
              <w:snapToGrid w:val="0"/>
              <w:spacing w:line="360" w:lineRule="auto"/>
              <w:jc w:val="center"/>
              <w:rPr>
                <w:rFonts w:ascii="宋体" w:hAnsi="宋体" w:eastAsia="宋体"/>
                <w:color w:val="000000"/>
                <w:sz w:val="24"/>
                <w:szCs w:val="24"/>
              </w:rPr>
            </w:pPr>
          </w:p>
        </w:tc>
      </w:tr>
      <w:tr w14:paraId="047C1CD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575" w:type="dxa"/>
            <w:vAlign w:val="center"/>
          </w:tcPr>
          <w:p w14:paraId="64678A39">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0911F371">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B82C9DD">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62674634">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257242B8">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65197D7E">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082F8394">
            <w:pPr>
              <w:snapToGrid w:val="0"/>
              <w:spacing w:line="360" w:lineRule="auto"/>
              <w:jc w:val="center"/>
              <w:rPr>
                <w:rFonts w:ascii="宋体" w:hAnsi="宋体" w:eastAsia="宋体"/>
                <w:color w:val="000000"/>
                <w:sz w:val="24"/>
                <w:szCs w:val="24"/>
              </w:rPr>
            </w:pPr>
          </w:p>
        </w:tc>
      </w:tr>
      <w:tr w14:paraId="3ED04F3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575" w:type="dxa"/>
            <w:vAlign w:val="center"/>
          </w:tcPr>
          <w:p w14:paraId="4663ACD2">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09FA434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719F6F7C">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10A6702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2D09C913">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74C6BACC">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C51A2CF">
            <w:pPr>
              <w:snapToGrid w:val="0"/>
              <w:spacing w:line="360" w:lineRule="auto"/>
              <w:jc w:val="center"/>
              <w:rPr>
                <w:rFonts w:ascii="宋体" w:hAnsi="宋体" w:eastAsia="宋体"/>
                <w:color w:val="000000"/>
                <w:sz w:val="24"/>
                <w:szCs w:val="24"/>
              </w:rPr>
            </w:pPr>
          </w:p>
        </w:tc>
      </w:tr>
      <w:tr w14:paraId="07CB30D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575" w:type="dxa"/>
            <w:vAlign w:val="center"/>
          </w:tcPr>
          <w:p w14:paraId="2492528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20A7D00">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D4A02CF">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6A4248C">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E0DEED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D4C484C">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CDFCD58">
            <w:pPr>
              <w:snapToGrid w:val="0"/>
              <w:spacing w:line="360" w:lineRule="auto"/>
              <w:jc w:val="center"/>
              <w:rPr>
                <w:rFonts w:ascii="宋体" w:hAnsi="宋体" w:eastAsia="宋体"/>
                <w:color w:val="000000"/>
                <w:sz w:val="24"/>
                <w:szCs w:val="24"/>
              </w:rPr>
            </w:pPr>
          </w:p>
        </w:tc>
      </w:tr>
    </w:tbl>
    <w:p w14:paraId="3E432A39">
      <w:pPr>
        <w:spacing w:line="360" w:lineRule="auto"/>
        <w:jc w:val="center"/>
        <w:rPr>
          <w:rFonts w:hint="eastAsia" w:ascii="宋体" w:hAnsi="宋体" w:eastAsia="宋体"/>
          <w:color w:val="000000"/>
          <w:sz w:val="24"/>
          <w:szCs w:val="24"/>
        </w:rPr>
      </w:pPr>
    </w:p>
    <w:p w14:paraId="259FAAD8"/>
    <w:p w14:paraId="156479C3">
      <w:pPr>
        <w:rPr>
          <w:rFonts w:ascii="宋体" w:hAnsi="宋体" w:eastAsia="宋体"/>
          <w:sz w:val="24"/>
          <w:szCs w:val="24"/>
          <w:lang w:val="zh-CN"/>
        </w:rPr>
      </w:pPr>
      <w:r>
        <w:br w:type="page"/>
      </w:r>
    </w:p>
    <w:p w14:paraId="3DAC7D80">
      <w:pPr>
        <w:spacing w:line="360" w:lineRule="auto"/>
        <w:rPr>
          <w:rFonts w:hint="eastAsia" w:ascii="黑体" w:hAnsi="黑体" w:eastAsia="黑体" w:cs="黑体"/>
          <w:b w:val="0"/>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四、</w:t>
      </w:r>
      <w:r>
        <w:rPr>
          <w:rFonts w:hint="eastAsia" w:ascii="黑体" w:hAnsi="黑体" w:eastAsia="黑体" w:cs="黑体"/>
          <w:b w:val="0"/>
          <w:color w:val="000000"/>
          <w:sz w:val="32"/>
          <w:szCs w:val="32"/>
          <w:lang w:val="en-US" w:eastAsia="zh-CN" w:bidi="ar-SA"/>
        </w:rPr>
        <w:t>授权委托人身份证明</w:t>
      </w:r>
    </w:p>
    <w:p w14:paraId="6D856657">
      <w:pPr>
        <w:spacing w:line="360" w:lineRule="auto"/>
        <w:ind w:firstLine="420"/>
        <w:jc w:val="center"/>
        <w:rPr>
          <w:rFonts w:ascii="宋体" w:hAnsi="宋体" w:eastAsia="宋体"/>
          <w:sz w:val="24"/>
          <w:szCs w:val="24"/>
        </w:rPr>
      </w:pPr>
    </w:p>
    <w:p w14:paraId="58655A84">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696163F0">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0811EBE4">
      <w:pPr>
        <w:spacing w:line="360" w:lineRule="auto"/>
        <w:ind w:firstLine="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项目名称),委托人全权代表我单位处理本项目的报名、投标等工作。我单位对委托代理人签署的内容负全部责任。签署的文件等内容不因授权的撤销而失效，委托人无转委托权。特此委托。</w:t>
      </w:r>
    </w:p>
    <w:p w14:paraId="1041B1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168A9E41">
      <w:pPr>
        <w:tabs>
          <w:tab w:val="left" w:pos="5046"/>
        </w:tabs>
        <w:spacing w:line="360" w:lineRule="auto"/>
        <w:rPr>
          <w:rFonts w:hint="eastAsia" w:ascii="宋体" w:hAnsi="宋体" w:eastAsia="宋体"/>
          <w:sz w:val="24"/>
          <w:szCs w:val="24"/>
          <w:lang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23"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1jrBwNYAAAAJAQAADwAAAAAAAAABACAAAAAiAAAAZHJzL2Rvd25yZXYueG1sUEsBAhQA&#10;FAAAAAgAh07iQC4DMNFmAgAAzgQAAA4AAAAAAAAAAQAgAAAAJQEAAGRycy9lMm9Eb2MueG1sUEsF&#10;BgAAAAAGAAYAWQEAAP0FAAAAAA==&#10;">
                <v:fill on="t" focussize="0,0"/>
                <v:stroke weight="0.5pt" color="#000000 [3204]" joinstyle="round"/>
                <v:imagedata o:title=""/>
                <o:lock v:ext="edit" aspectratio="f"/>
                <v:textbo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24"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XCDmvWAAAACAEAAA8AAAAAAAAAAQAgAAAAIgAAAGRycy9kb3ducmV2LnhtbFBLAQIU&#10;ABQAAAAIAIdO4kD0GEqvZwIAAM4EAAAOAAAAAAAAAAEAIAAAACUBAABkcnMvZTJvRG9jLnhtbFBL&#10;BQYAAAAABgAGAFkBAAD+BQAAAAA=&#10;">
                <v:fill on="t" focussize="0,0"/>
                <v:stroke weight="0.5pt" color="#000000 [3204]" joinstyle="round"/>
                <v:imagedata o:title=""/>
                <o:lock v:ext="edit" aspectratio="f"/>
                <v:textbo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v:textbox>
              </v:shape>
            </w:pict>
          </mc:Fallback>
        </mc:AlternateContent>
      </w:r>
      <w:r>
        <w:rPr>
          <w:rFonts w:hint="eastAsia" w:ascii="宋体" w:hAnsi="宋体" w:eastAsia="宋体"/>
          <w:sz w:val="24"/>
          <w:szCs w:val="24"/>
          <w:lang w:eastAsia="zh-CN"/>
        </w:rPr>
        <w:tab/>
      </w:r>
    </w:p>
    <w:p w14:paraId="229D299B">
      <w:pPr>
        <w:spacing w:line="360" w:lineRule="auto"/>
        <w:rPr>
          <w:rFonts w:ascii="宋体" w:hAnsi="宋体" w:eastAsia="宋体"/>
          <w:sz w:val="24"/>
          <w:szCs w:val="24"/>
        </w:rPr>
      </w:pPr>
    </w:p>
    <w:p w14:paraId="7820A942">
      <w:pPr>
        <w:spacing w:line="360" w:lineRule="auto"/>
        <w:rPr>
          <w:rFonts w:hint="eastAsia" w:ascii="宋体" w:hAnsi="宋体" w:eastAsia="宋体"/>
          <w:sz w:val="24"/>
          <w:szCs w:val="24"/>
          <w:lang w:val="en-US" w:eastAsia="zh-CN"/>
        </w:rPr>
      </w:pPr>
    </w:p>
    <w:p w14:paraId="6BD25955">
      <w:pPr>
        <w:spacing w:line="360" w:lineRule="auto"/>
        <w:rPr>
          <w:rFonts w:hint="eastAsia" w:ascii="宋体" w:hAnsi="宋体" w:eastAsia="宋体"/>
          <w:sz w:val="24"/>
          <w:szCs w:val="24"/>
          <w:lang w:val="en-US" w:eastAsia="zh-CN"/>
        </w:rPr>
      </w:pPr>
    </w:p>
    <w:p w14:paraId="3456BDC8">
      <w:pPr>
        <w:spacing w:line="360" w:lineRule="auto"/>
        <w:rPr>
          <w:rFonts w:hint="eastAsia" w:ascii="宋体" w:hAnsi="宋体" w:eastAsia="宋体"/>
          <w:sz w:val="24"/>
          <w:szCs w:val="24"/>
          <w:lang w:val="en-US" w:eastAsia="zh-CN"/>
        </w:rPr>
      </w:pPr>
    </w:p>
    <w:p w14:paraId="6F2EA918">
      <w:pPr>
        <w:spacing w:line="360" w:lineRule="auto"/>
        <w:rPr>
          <w:rFonts w:hint="eastAsia" w:ascii="宋体" w:hAnsi="宋体" w:eastAsia="宋体"/>
          <w:sz w:val="24"/>
          <w:szCs w:val="24"/>
          <w:lang w:val="en-US" w:eastAsia="zh-CN"/>
        </w:rPr>
      </w:pPr>
    </w:p>
    <w:p w14:paraId="14DB2872">
      <w:pPr>
        <w:spacing w:line="360" w:lineRule="auto"/>
        <w:rPr>
          <w:rFonts w:hint="eastAsia" w:ascii="宋体" w:hAnsi="宋体" w:eastAsia="宋体"/>
          <w:sz w:val="24"/>
          <w:szCs w:val="24"/>
          <w:lang w:val="en-US" w:eastAsia="zh-CN"/>
        </w:rPr>
      </w:pPr>
    </w:p>
    <w:p w14:paraId="1EBB0D0B">
      <w:pPr>
        <w:spacing w:line="360" w:lineRule="auto"/>
        <w:rPr>
          <w:rFonts w:hint="eastAsia" w:ascii="宋体" w:hAnsi="宋体" w:eastAsia="宋体"/>
          <w:sz w:val="24"/>
          <w:szCs w:val="24"/>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25"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4"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ke8ozXAAAACQEAAA8AAAAAAAAAAQAgAAAAIgAAAGRycy9kb3ducmV2LnhtbFBLAQIU&#10;ABQAAAAIAIdO4kDTCc5TZgIAAM4EAAAOAAAAAAAAAAEAIAAAACYBAABkcnMvZTJvRG9jLnhtbFBL&#10;BQYAAAAABgAGAFkBAAD+BQAAAAA=&#10;">
                <v:fill on="t" focussize="0,0"/>
                <v:stroke weight="0.5pt" color="#000000 [3204]" joinstyle="round"/>
                <v:imagedata o:title=""/>
                <o:lock v:ext="edit" aspectratio="f"/>
                <v:textbo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6"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9DSozWYCAADO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1nJgJ1QAAAAgBAAAPAAAAAAAAAAEAIAAAACIAAABkcnMvZG93bnJldi54bWxQSwECFAAU&#10;AAAACACHTuJA9DSozWYCAADOBAAADgAAAAAAAAABACAAAAAkAQAAZHJzL2Uyb0RvYy54bWxQSwUG&#10;AAAAAAYABgBZAQAA/AUAAAAA&#10;">
                <v:fill on="t" focussize="0,0"/>
                <v:stroke weight="0.5pt" color="#000000 [3204]" joinstyle="round"/>
                <v:imagedata o:title=""/>
                <o:lock v:ext="edit" aspectratio="f"/>
                <v:textbo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14:paraId="744FE44D">
      <w:pPr>
        <w:spacing w:line="360" w:lineRule="auto"/>
        <w:rPr>
          <w:rFonts w:hint="eastAsia" w:ascii="宋体" w:hAnsi="宋体" w:eastAsia="宋体"/>
          <w:sz w:val="24"/>
          <w:szCs w:val="24"/>
          <w:lang w:val="en-US" w:eastAsia="zh-CN"/>
        </w:rPr>
      </w:pPr>
    </w:p>
    <w:p w14:paraId="1AFE2E01">
      <w:pPr>
        <w:spacing w:line="360" w:lineRule="auto"/>
        <w:rPr>
          <w:rFonts w:hint="eastAsia" w:ascii="宋体" w:hAnsi="宋体" w:eastAsia="宋体"/>
          <w:sz w:val="24"/>
          <w:szCs w:val="24"/>
          <w:lang w:val="en-US" w:eastAsia="zh-CN"/>
        </w:rPr>
      </w:pPr>
    </w:p>
    <w:p w14:paraId="792E3D94">
      <w:pPr>
        <w:spacing w:line="360" w:lineRule="auto"/>
        <w:rPr>
          <w:rFonts w:hint="eastAsia" w:ascii="宋体" w:hAnsi="宋体" w:eastAsia="宋体"/>
          <w:sz w:val="24"/>
          <w:szCs w:val="24"/>
          <w:lang w:val="en-US" w:eastAsia="zh-CN"/>
        </w:rPr>
      </w:pPr>
    </w:p>
    <w:p w14:paraId="6AE972AE">
      <w:pPr>
        <w:spacing w:line="360" w:lineRule="auto"/>
        <w:rPr>
          <w:rFonts w:hint="eastAsia" w:ascii="宋体" w:hAnsi="宋体" w:eastAsia="宋体"/>
          <w:sz w:val="24"/>
          <w:szCs w:val="24"/>
          <w:lang w:val="en-US" w:eastAsia="zh-CN"/>
        </w:rPr>
      </w:pPr>
    </w:p>
    <w:p w14:paraId="169C5B0E">
      <w:pPr>
        <w:spacing w:line="360" w:lineRule="auto"/>
        <w:rPr>
          <w:rFonts w:hint="eastAsia" w:ascii="宋体" w:hAnsi="宋体" w:eastAsia="宋体"/>
          <w:sz w:val="24"/>
          <w:szCs w:val="24"/>
          <w:lang w:val="en-US" w:eastAsia="zh-CN"/>
        </w:rPr>
      </w:pPr>
    </w:p>
    <w:p w14:paraId="4D31FED5">
      <w:pPr>
        <w:spacing w:line="360" w:lineRule="auto"/>
        <w:rPr>
          <w:rFonts w:hint="eastAsia" w:ascii="宋体" w:hAnsi="宋体" w:eastAsia="宋体"/>
          <w:sz w:val="24"/>
          <w:szCs w:val="24"/>
          <w:lang w:val="en-US" w:eastAsia="zh-CN"/>
        </w:rPr>
      </w:pPr>
    </w:p>
    <w:p w14:paraId="2688318B">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14:paraId="3ED4B3FB">
      <w:pPr>
        <w:spacing w:line="360" w:lineRule="auto"/>
        <w:rPr>
          <w:rFonts w:hint="eastAsia" w:ascii="宋体" w:hAnsi="宋体" w:eastAsia="宋体"/>
          <w:sz w:val="24"/>
          <w:szCs w:val="24"/>
          <w:lang w:val="en-US" w:eastAsia="zh-CN"/>
        </w:rPr>
      </w:pPr>
    </w:p>
    <w:p w14:paraId="1C08CAAD">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3BEC1A64">
      <w:pPr>
        <w:spacing w:line="360" w:lineRule="auto"/>
        <w:rPr>
          <w:rFonts w:hint="eastAsia" w:ascii="宋体" w:hAnsi="宋体" w:eastAsia="宋体"/>
          <w:sz w:val="24"/>
          <w:szCs w:val="24"/>
          <w:lang w:val="en-US" w:eastAsia="zh-CN"/>
        </w:rPr>
      </w:pPr>
    </w:p>
    <w:p w14:paraId="65D06A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002F6DD0">
      <w:pPr>
        <w:spacing w:line="360" w:lineRule="auto"/>
        <w:rPr>
          <w:rFonts w:ascii="宋体" w:hAnsi="宋体" w:eastAsia="宋体"/>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24919D99">
      <w:pPr>
        <w:tabs>
          <w:tab w:val="left" w:pos="1326"/>
        </w:tabs>
        <w:bidi w:val="0"/>
        <w:jc w:val="left"/>
        <w:rPr>
          <w:rFonts w:hint="eastAsia" w:ascii="宋体" w:hAnsi="宋体" w:eastAsia="宋体" w:cs="宋体"/>
          <w:sz w:val="24"/>
          <w:szCs w:val="24"/>
          <w:lang w:val="en-US" w:eastAsia="zh-CN"/>
        </w:rPr>
      </w:pPr>
    </w:p>
    <w:p w14:paraId="63EA04C1">
      <w:pPr>
        <w:numPr>
          <w:ilvl w:val="0"/>
          <w:numId w:val="0"/>
        </w:numPr>
        <w:tabs>
          <w:tab w:val="left" w:pos="1326"/>
        </w:tabs>
        <w:bidi w:val="0"/>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五、投标人基本情况表</w:t>
      </w:r>
    </w:p>
    <w:p w14:paraId="5ACCE30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35BB2F1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六、提供具有独立承担民事责任的能力的证明材料 </w:t>
      </w:r>
    </w:p>
    <w:p w14:paraId="7F1CF01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七、 提供具有良好的商业信誉和健全的财务会计制度的证明材料 </w:t>
      </w:r>
    </w:p>
    <w:p w14:paraId="1058C1D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八、 提供依法缴纳税收和社会保障资金的良好记录 </w:t>
      </w:r>
    </w:p>
    <w:p w14:paraId="06133D0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九、 具有履行合同所必须的设备和专业技术能力的声明 </w:t>
      </w:r>
    </w:p>
    <w:p w14:paraId="4427CA2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我公司承诺具备履行本次投标项目合同所必须的设备和专业技术能力。</w:t>
      </w:r>
    </w:p>
    <w:p w14:paraId="139C1DF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特此申明。</w:t>
      </w:r>
    </w:p>
    <w:p w14:paraId="3B89D06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（加盖公章）</w:t>
      </w:r>
    </w:p>
    <w:p w14:paraId="7848412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6B763AB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p>
    <w:p w14:paraId="7DA01C8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p>
    <w:p w14:paraId="550AD40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p>
    <w:p w14:paraId="62F4A2D2">
      <w:pPr>
        <w:pageBreakBefore w:val="0"/>
        <w:numPr>
          <w:ilvl w:val="0"/>
          <w:numId w:val="4"/>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参加政府采购前三年内在经营活动中无重大违法记录书面声明 </w:t>
      </w:r>
    </w:p>
    <w:p w14:paraId="290FDE6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致：＿＿＿＿＿＿＿＿（采购人名称）</w:t>
      </w:r>
    </w:p>
    <w:p w14:paraId="511308F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14:paraId="295E7F0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74996A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16901E8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14:paraId="13E4D2D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14:paraId="4D2837C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7B22AADD">
      <w:pPr>
        <w:pStyle w:val="14"/>
        <w:numPr>
          <w:ilvl w:val="0"/>
          <w:numId w:val="0"/>
        </w:numPr>
        <w:rPr>
          <w:rFonts w:hint="eastAsia"/>
          <w:lang w:val="en-US" w:eastAsia="zh-CN"/>
        </w:rPr>
      </w:pPr>
    </w:p>
    <w:p w14:paraId="17D2A0D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十一、主要商务要求承诺书 </w:t>
      </w:r>
    </w:p>
    <w:p w14:paraId="3CDC6AF7">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2B6F29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如有优于招标文件主要商务要求的请在此承诺书中说明。 </w:t>
      </w:r>
    </w:p>
    <w:p w14:paraId="58E9D41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具体优于内容 （如标的提供的时间、地点，质保期等） 。 </w:t>
      </w:r>
    </w:p>
    <w:p w14:paraId="4B3E0FF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特此承诺。 </w:t>
      </w:r>
    </w:p>
    <w:p w14:paraId="69916798">
      <w:pPr>
        <w:pageBreakBefore w:val="0"/>
        <w:numPr>
          <w:ilvl w:val="0"/>
          <w:numId w:val="0"/>
        </w:numPr>
        <w:tabs>
          <w:tab w:val="left" w:pos="606"/>
        </w:tabs>
        <w:wordWrap w:val="0"/>
        <w:autoSpaceDE/>
        <w:autoSpaceDN/>
        <w:bidi w:val="0"/>
        <w:snapToGrid/>
        <w:spacing w:line="360" w:lineRule="auto"/>
        <w:ind w:left="0" w:right="0" w:firstLine="17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投标人名称：（加盖公章） </w:t>
      </w:r>
    </w:p>
    <w:p w14:paraId="78BD9171">
      <w:pPr>
        <w:pageBreakBefore w:val="0"/>
        <w:numPr>
          <w:ilvl w:val="0"/>
          <w:numId w:val="0"/>
        </w:numPr>
        <w:tabs>
          <w:tab w:val="left" w:pos="606"/>
        </w:tabs>
        <w:wordWrap w:val="0"/>
        <w:autoSpaceDE/>
        <w:autoSpaceDN/>
        <w:bidi w:val="0"/>
        <w:snapToGrid/>
        <w:spacing w:line="360" w:lineRule="auto"/>
        <w:ind w:left="0" w:right="0" w:firstLine="18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年    月   日 </w:t>
      </w:r>
    </w:p>
    <w:p w14:paraId="67F77A60">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hAnsi="宋体" w:cs="宋体"/>
          <w:sz w:val="24"/>
          <w:szCs w:val="24"/>
          <w:lang w:val="en-US" w:eastAsia="zh-CN"/>
        </w:rPr>
        <w:t>十二、技术偏离表</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1827"/>
        <w:gridCol w:w="1241"/>
        <w:gridCol w:w="1527"/>
        <w:gridCol w:w="1254"/>
        <w:gridCol w:w="1855"/>
      </w:tblGrid>
      <w:tr w14:paraId="405F4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0131A12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827" w:type="dxa"/>
            <w:vAlign w:val="top"/>
          </w:tcPr>
          <w:p w14:paraId="2A23CDA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rPr>
              <w:t>*</w:t>
            </w:r>
            <w:r>
              <w:rPr>
                <w:rFonts w:hint="eastAsia" w:ascii="宋体" w:hAnsi="宋体" w:eastAsia="宋体" w:cs="宋体"/>
                <w:sz w:val="24"/>
                <w:szCs w:val="24"/>
                <w:lang w:val="en-US" w:eastAsia="zh-CN"/>
              </w:rPr>
              <w:t>）</w:t>
            </w:r>
          </w:p>
        </w:tc>
        <w:tc>
          <w:tcPr>
            <w:tcW w:w="1241" w:type="dxa"/>
            <w:vAlign w:val="top"/>
          </w:tcPr>
          <w:p w14:paraId="53DB8F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招标技术参数要求</w:t>
            </w:r>
          </w:p>
        </w:tc>
        <w:tc>
          <w:tcPr>
            <w:tcW w:w="1527" w:type="dxa"/>
            <w:vAlign w:val="top"/>
          </w:tcPr>
          <w:p w14:paraId="453E84CA">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投标人提供相应内容</w:t>
            </w:r>
          </w:p>
        </w:tc>
        <w:tc>
          <w:tcPr>
            <w:tcW w:w="1254" w:type="dxa"/>
            <w:vAlign w:val="top"/>
          </w:tcPr>
          <w:p w14:paraId="6BAC41F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855" w:type="dxa"/>
            <w:vAlign w:val="top"/>
          </w:tcPr>
          <w:p w14:paraId="2EC493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响应页码</w:t>
            </w:r>
          </w:p>
        </w:tc>
      </w:tr>
      <w:tr w14:paraId="2EA6F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4DF7C59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827" w:type="dxa"/>
            <w:vAlign w:val="top"/>
          </w:tcPr>
          <w:p w14:paraId="2941F0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41" w:type="dxa"/>
            <w:vAlign w:val="top"/>
          </w:tcPr>
          <w:p w14:paraId="55A8177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527" w:type="dxa"/>
            <w:vAlign w:val="top"/>
          </w:tcPr>
          <w:p w14:paraId="669FD7F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54" w:type="dxa"/>
            <w:vAlign w:val="top"/>
          </w:tcPr>
          <w:p w14:paraId="20BE664E">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855" w:type="dxa"/>
            <w:vAlign w:val="top"/>
          </w:tcPr>
          <w:p w14:paraId="5D187F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7AC05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7AE63E3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827" w:type="dxa"/>
            <w:vAlign w:val="top"/>
          </w:tcPr>
          <w:p w14:paraId="43E965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41" w:type="dxa"/>
            <w:vAlign w:val="top"/>
          </w:tcPr>
          <w:p w14:paraId="08C6E54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527" w:type="dxa"/>
            <w:vAlign w:val="top"/>
          </w:tcPr>
          <w:p w14:paraId="16F6988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54" w:type="dxa"/>
            <w:vAlign w:val="top"/>
          </w:tcPr>
          <w:p w14:paraId="0F42C72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855" w:type="dxa"/>
            <w:vAlign w:val="top"/>
          </w:tcPr>
          <w:p w14:paraId="246C327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F894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0E03EB3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827" w:type="dxa"/>
            <w:vAlign w:val="top"/>
          </w:tcPr>
          <w:p w14:paraId="6D260B5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41" w:type="dxa"/>
            <w:vAlign w:val="top"/>
          </w:tcPr>
          <w:p w14:paraId="19BAB4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527" w:type="dxa"/>
            <w:vAlign w:val="top"/>
          </w:tcPr>
          <w:p w14:paraId="26BEDB7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54" w:type="dxa"/>
            <w:vAlign w:val="top"/>
          </w:tcPr>
          <w:p w14:paraId="764DFF7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855" w:type="dxa"/>
            <w:vAlign w:val="top"/>
          </w:tcPr>
          <w:p w14:paraId="4452AC4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50496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5F623DB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827" w:type="dxa"/>
            <w:vAlign w:val="top"/>
          </w:tcPr>
          <w:p w14:paraId="07C1479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41" w:type="dxa"/>
            <w:vAlign w:val="top"/>
          </w:tcPr>
          <w:p w14:paraId="20AF48B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527" w:type="dxa"/>
            <w:vAlign w:val="top"/>
          </w:tcPr>
          <w:p w14:paraId="33FEF36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54" w:type="dxa"/>
            <w:vAlign w:val="top"/>
          </w:tcPr>
          <w:p w14:paraId="2782BB0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855" w:type="dxa"/>
            <w:vAlign w:val="top"/>
          </w:tcPr>
          <w:p w14:paraId="55FE08FB">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035D78E7">
      <w:pPr>
        <w:pageBreakBefore w:val="0"/>
        <w:wordWrap w:val="0"/>
        <w:autoSpaceDE/>
        <w:autoSpaceDN/>
        <w:bidi w:val="0"/>
        <w:snapToGrid/>
        <w:spacing w:line="360" w:lineRule="auto"/>
        <w:jc w:val="left"/>
        <w:rPr>
          <w:sz w:val="24"/>
          <w:szCs w:val="24"/>
        </w:rPr>
      </w:pPr>
      <w:r>
        <w:rPr>
          <w:rFonts w:hint="eastAsia" w:ascii="宋体" w:hAnsi="宋体" w:eastAsia="宋体" w:cs="宋体"/>
          <w:color w:val="000000"/>
          <w:sz w:val="24"/>
          <w:szCs w:val="24"/>
          <w:lang w:val="en-US" w:eastAsia="zh-CN" w:bidi="zh-CN"/>
        </w:rPr>
        <w:t>说明：</w:t>
      </w:r>
    </w:p>
    <w:p w14:paraId="264CBA43">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1.投标人应当如实填写上表“投标人提供响应内容”处内容，对招标文件提出的要求和条件作出明确响应，并列明具体响应 </w:t>
      </w:r>
    </w:p>
    <w:p w14:paraId="3592CFCE">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数值或内容，只注明符合、满足等无具体内容表述的，将视为未实质性满足招标文件要求。 </w:t>
      </w:r>
    </w:p>
    <w:p w14:paraId="0FD39BFC">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2.“偏离程度”处可填写满足、响应或正偏离、负偏离。 </w:t>
      </w:r>
    </w:p>
    <w:p w14:paraId="1529C68B">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3.“备注”处可填写偏离情况的具体说明。 </w:t>
      </w:r>
    </w:p>
    <w:p w14:paraId="567998E9">
      <w:pPr>
        <w:pageBreakBefore w:val="0"/>
        <w:numPr>
          <w:ilvl w:val="0"/>
          <w:numId w:val="0"/>
        </w:numPr>
        <w:tabs>
          <w:tab w:val="left" w:pos="606"/>
        </w:tabs>
        <w:wordWrap w:val="0"/>
        <w:autoSpaceDE/>
        <w:autoSpaceDN/>
        <w:bidi w:val="0"/>
        <w:snapToGrid/>
        <w:spacing w:line="360" w:lineRule="auto"/>
        <w:ind w:left="0" w:right="0" w:firstLine="0"/>
        <w:jc w:val="left"/>
        <w:rPr>
          <w:rFonts w:hint="default"/>
          <w:lang w:val="en-US" w:eastAsia="zh-CN"/>
        </w:rPr>
      </w:pPr>
      <w:r>
        <w:rPr>
          <w:rFonts w:hint="eastAsia" w:ascii="宋体" w:hAnsi="宋体" w:eastAsia="宋体" w:cs="宋体"/>
          <w:b/>
          <w:sz w:val="28"/>
          <w:szCs w:val="28"/>
          <w:lang w:val="en-US" w:eastAsia="zh-CN"/>
        </w:rPr>
        <w:t>十三、评审细则各项要求</w:t>
      </w:r>
    </w:p>
    <w:p w14:paraId="1A321F14">
      <w:pPr>
        <w:tabs>
          <w:tab w:val="left" w:pos="876"/>
        </w:tabs>
        <w:bidi w:val="0"/>
        <w:jc w:val="left"/>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十四、其他</w:t>
      </w: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CCD4F2"/>
    <w:multiLevelType w:val="singleLevel"/>
    <w:tmpl w:val="15CCD4F2"/>
    <w:lvl w:ilvl="0" w:tentative="0">
      <w:start w:val="10"/>
      <w:numFmt w:val="chineseCounting"/>
      <w:suff w:val="nothing"/>
      <w:lvlText w:val="%1、"/>
      <w:lvlJc w:val="left"/>
      <w:rPr>
        <w:rFonts w:hint="eastAsia"/>
      </w:rPr>
    </w:lvl>
  </w:abstractNum>
  <w:abstractNum w:abstractNumId="1">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2">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3">
    <w:nsid w:val="45085E50"/>
    <w:multiLevelType w:val="singleLevel"/>
    <w:tmpl w:val="45085E50"/>
    <w:lvl w:ilvl="0" w:tentative="0">
      <w:start w:val="2"/>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docVars>
    <w:docVar w:name="commondata" w:val="eyJoZGlkIjoiM2I5YmQyM2VlMzIyNzg3MTM0MjMzMjczYWU0N2U3MTcifQ=="/>
  </w:docVars>
  <w:rsids>
    <w:rsidRoot w:val="00000000"/>
    <w:rsid w:val="002C273F"/>
    <w:rsid w:val="00556401"/>
    <w:rsid w:val="036C2F53"/>
    <w:rsid w:val="05076A5B"/>
    <w:rsid w:val="06B07F83"/>
    <w:rsid w:val="07D41268"/>
    <w:rsid w:val="0DA07F51"/>
    <w:rsid w:val="10D60D02"/>
    <w:rsid w:val="11AB1717"/>
    <w:rsid w:val="11EF4694"/>
    <w:rsid w:val="150E71F6"/>
    <w:rsid w:val="1696735F"/>
    <w:rsid w:val="16E14FBF"/>
    <w:rsid w:val="19545A30"/>
    <w:rsid w:val="198E5E9E"/>
    <w:rsid w:val="19BD2CB7"/>
    <w:rsid w:val="1BB9254A"/>
    <w:rsid w:val="1BCF340C"/>
    <w:rsid w:val="1DCA77EF"/>
    <w:rsid w:val="1ED20D4A"/>
    <w:rsid w:val="20341AF8"/>
    <w:rsid w:val="216D46C6"/>
    <w:rsid w:val="224C6733"/>
    <w:rsid w:val="23507ADC"/>
    <w:rsid w:val="24A7212A"/>
    <w:rsid w:val="25757733"/>
    <w:rsid w:val="26470B4A"/>
    <w:rsid w:val="266437D3"/>
    <w:rsid w:val="267A5F90"/>
    <w:rsid w:val="26915EA6"/>
    <w:rsid w:val="276714E7"/>
    <w:rsid w:val="281659F6"/>
    <w:rsid w:val="293A1937"/>
    <w:rsid w:val="2B28723B"/>
    <w:rsid w:val="2B5C1706"/>
    <w:rsid w:val="2B8A6B32"/>
    <w:rsid w:val="2BAC4D24"/>
    <w:rsid w:val="2D1D3BDB"/>
    <w:rsid w:val="2D833519"/>
    <w:rsid w:val="2DFB03C5"/>
    <w:rsid w:val="2F2F6961"/>
    <w:rsid w:val="2FC378C6"/>
    <w:rsid w:val="2FDF17DF"/>
    <w:rsid w:val="302671DA"/>
    <w:rsid w:val="30D15875"/>
    <w:rsid w:val="32441EA5"/>
    <w:rsid w:val="3281623F"/>
    <w:rsid w:val="32944704"/>
    <w:rsid w:val="34D54377"/>
    <w:rsid w:val="36D82316"/>
    <w:rsid w:val="378A70E6"/>
    <w:rsid w:val="37FC75FC"/>
    <w:rsid w:val="383D56F7"/>
    <w:rsid w:val="393C0F46"/>
    <w:rsid w:val="3D231C81"/>
    <w:rsid w:val="3E650D1D"/>
    <w:rsid w:val="3E9002A8"/>
    <w:rsid w:val="3F552A03"/>
    <w:rsid w:val="4095546C"/>
    <w:rsid w:val="44AA028A"/>
    <w:rsid w:val="4603606C"/>
    <w:rsid w:val="47C04769"/>
    <w:rsid w:val="486160DA"/>
    <w:rsid w:val="489F057B"/>
    <w:rsid w:val="4AED3729"/>
    <w:rsid w:val="4BFD3C3F"/>
    <w:rsid w:val="4E473895"/>
    <w:rsid w:val="50110E80"/>
    <w:rsid w:val="511070DA"/>
    <w:rsid w:val="53560822"/>
    <w:rsid w:val="557D67C8"/>
    <w:rsid w:val="571E5CB6"/>
    <w:rsid w:val="59137211"/>
    <w:rsid w:val="597822D2"/>
    <w:rsid w:val="5AF82ECC"/>
    <w:rsid w:val="5C344BB6"/>
    <w:rsid w:val="5DFF20EB"/>
    <w:rsid w:val="5E1C5429"/>
    <w:rsid w:val="5ED418C8"/>
    <w:rsid w:val="5EF71E76"/>
    <w:rsid w:val="616C33F6"/>
    <w:rsid w:val="62DE1443"/>
    <w:rsid w:val="62E24E32"/>
    <w:rsid w:val="64E47B74"/>
    <w:rsid w:val="6585763E"/>
    <w:rsid w:val="661108EC"/>
    <w:rsid w:val="669049D8"/>
    <w:rsid w:val="67D14995"/>
    <w:rsid w:val="6C0D60E9"/>
    <w:rsid w:val="6D4F63E7"/>
    <w:rsid w:val="6EF0008F"/>
    <w:rsid w:val="6F3911E0"/>
    <w:rsid w:val="6F5104C0"/>
    <w:rsid w:val="719B7B32"/>
    <w:rsid w:val="71DA20A9"/>
    <w:rsid w:val="73607959"/>
    <w:rsid w:val="75080C92"/>
    <w:rsid w:val="76B838A9"/>
    <w:rsid w:val="775A412B"/>
    <w:rsid w:val="78564BB1"/>
    <w:rsid w:val="7A8D5099"/>
    <w:rsid w:val="7BB21433"/>
    <w:rsid w:val="7D582F68"/>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6"/>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character" w:default="1" w:styleId="13">
    <w:name w:val="Default Paragraph Font"/>
    <w:autoRedefine/>
    <w:semiHidden/>
    <w:qFormat/>
    <w:uiPriority w:val="2"/>
  </w:style>
  <w:style w:type="table" w:default="1" w:styleId="11">
    <w:name w:val="Normal Table"/>
    <w:semiHidden/>
    <w:qFormat/>
    <w:uiPriority w:val="3"/>
    <w:tblPr>
      <w:tblCellMar>
        <w:top w:w="0" w:type="dxa"/>
        <w:left w:w="108" w:type="dxa"/>
        <w:bottom w:w="0" w:type="dxa"/>
        <w:right w:w="108" w:type="dxa"/>
      </w:tblCellMar>
    </w:tblPr>
  </w:style>
  <w:style w:type="paragraph" w:styleId="4">
    <w:name w:val="Plain Text"/>
    <w:basedOn w:val="5"/>
    <w:next w:val="1"/>
    <w:qFormat/>
    <w:uiPriority w:val="0"/>
    <w:rPr>
      <w:rFonts w:ascii="宋体" w:hAnsi="Courier New"/>
    </w:rPr>
  </w:style>
  <w:style w:type="paragraph" w:customStyle="1" w:styleId="5">
    <w:name w:val="Normal_6"/>
    <w:next w:val="4"/>
    <w:qFormat/>
    <w:uiPriority w:val="0"/>
    <w:pPr>
      <w:widowControl w:val="0"/>
      <w:jc w:val="both"/>
    </w:pPr>
    <w:rPr>
      <w:rFonts w:ascii="Times New Roman" w:hAnsi="Times New Roman" w:eastAsia="宋体" w:cs="Times New Roman"/>
      <w:kern w:val="2"/>
      <w:sz w:val="21"/>
      <w:lang w:val="en-US" w:eastAsia="zh-CN" w:bidi="ar-SA"/>
    </w:rPr>
  </w:style>
  <w:style w:type="paragraph" w:styleId="6">
    <w:name w:val="footer"/>
    <w:basedOn w:val="1"/>
    <w:qFormat/>
    <w:uiPriority w:val="151"/>
    <w:pPr>
      <w:tabs>
        <w:tab w:val="center" w:pos="4153"/>
        <w:tab w:val="right" w:pos="8306"/>
      </w:tabs>
      <w:snapToGrid w:val="0"/>
      <w:jc w:val="left"/>
    </w:pPr>
    <w:rPr>
      <w:sz w:val="18"/>
      <w:szCs w:val="18"/>
    </w:rPr>
  </w:style>
  <w:style w:type="paragraph" w:styleId="7">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9">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paragraph" w:styleId="10">
    <w:name w:val="Title"/>
    <w:basedOn w:val="1"/>
    <w:next w:val="1"/>
    <w:qFormat/>
    <w:uiPriority w:val="10"/>
    <w:pPr>
      <w:spacing w:before="240" w:after="60"/>
      <w:jc w:val="center"/>
      <w:outlineLvl w:val="0"/>
    </w:pPr>
    <w:rPr>
      <w:rFonts w:ascii="等线 Light" w:hAnsi="等线 Light" w:eastAsia="等线 Light" w:cs="Times New Roman"/>
      <w:b/>
      <w:bCs/>
      <w:sz w:val="32"/>
      <w:szCs w:val="32"/>
    </w:rPr>
  </w:style>
  <w:style w:type="table" w:styleId="12">
    <w:name w:val="Table Grid"/>
    <w:basedOn w:val="11"/>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正文1"/>
    <w:autoRedefine/>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 w:type="paragraph" w:styleId="15">
    <w:name w:val="List Paragraph"/>
    <w:basedOn w:val="1"/>
    <w:qFormat/>
    <w:uiPriority w:val="26"/>
    <w:pPr>
      <w:ind w:firstLine="200"/>
    </w:pPr>
    <w:rPr>
      <w:rFonts w:ascii="Times New Roman" w:hAnsi="Times New Roman" w:eastAsia="宋体" w:cs="Times New Roman"/>
      <w:sz w:val="28"/>
      <w:szCs w:val="28"/>
    </w:rPr>
  </w:style>
  <w:style w:type="character" w:customStyle="1" w:styleId="16">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7">
    <w:name w:val="font11"/>
    <w:basedOn w:val="13"/>
    <w:autoRedefine/>
    <w:qFormat/>
    <w:uiPriority w:val="0"/>
    <w:rPr>
      <w:rFonts w:hint="eastAsia" w:ascii="宋体" w:hAnsi="宋体" w:eastAsia="宋体" w:cs="宋体"/>
      <w:color w:val="000000"/>
      <w:sz w:val="24"/>
      <w:szCs w:val="24"/>
      <w:u w:val="none"/>
    </w:rPr>
  </w:style>
  <w:style w:type="character" w:customStyle="1" w:styleId="18">
    <w:name w:val="font31"/>
    <w:basedOn w:val="13"/>
    <w:autoRedefine/>
    <w:qFormat/>
    <w:uiPriority w:val="0"/>
    <w:rPr>
      <w:rFonts w:hint="eastAsia" w:ascii="宋体" w:hAnsi="宋体" w:eastAsia="宋体" w:cs="宋体"/>
      <w:color w:val="000000"/>
      <w:sz w:val="21"/>
      <w:szCs w:val="21"/>
      <w:u w:val="none"/>
    </w:rPr>
  </w:style>
  <w:style w:type="paragraph" w:customStyle="1" w:styleId="19">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20">
    <w:name w:val="font41"/>
    <w:basedOn w:val="13"/>
    <w:autoRedefine/>
    <w:qFormat/>
    <w:uiPriority w:val="0"/>
    <w:rPr>
      <w:rFonts w:ascii="Calibri" w:hAnsi="Calibri" w:cs="Calibri"/>
      <w:color w:val="000000"/>
      <w:sz w:val="28"/>
      <w:szCs w:val="28"/>
      <w:u w:val="none"/>
    </w:rPr>
  </w:style>
  <w:style w:type="character" w:customStyle="1" w:styleId="21">
    <w:name w:val="font21"/>
    <w:basedOn w:val="13"/>
    <w:autoRedefine/>
    <w:qFormat/>
    <w:uiPriority w:val="0"/>
    <w:rPr>
      <w:rFonts w:hint="eastAsia" w:ascii="宋体" w:hAnsi="宋体" w:eastAsia="宋体" w:cs="宋体"/>
      <w:color w:val="000000"/>
      <w:sz w:val="21"/>
      <w:szCs w:val="21"/>
      <w:u w:val="none"/>
    </w:rPr>
  </w:style>
  <w:style w:type="table" w:customStyle="1" w:styleId="22">
    <w:name w:val="网格型1"/>
    <w:basedOn w:val="23"/>
    <w:qFormat/>
    <w:uiPriority w:val="0"/>
    <w:pPr>
      <w:widowControl w:val="0"/>
      <w:jc w:val="both"/>
    </w:pPr>
  </w:style>
  <w:style w:type="table" w:customStyle="1" w:styleId="23">
    <w:name w:val="普通表格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23</Pages>
  <Words>623</Words>
  <Characters>656</Characters>
  <Lines>0</Lines>
  <Paragraphs>0</Paragraphs>
  <TotalTime>4</TotalTime>
  <ScaleCrop>false</ScaleCrop>
  <LinksUpToDate>false</LinksUpToDate>
  <CharactersWithSpaces>746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刘</cp:lastModifiedBy>
  <dcterms:modified xsi:type="dcterms:W3CDTF">2025-01-03T07:33:02Z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A6617826F6444F2D8E3ECAB2BA1A0C88_13</vt:lpwstr>
  </property>
  <property fmtid="{D5CDD505-2E9C-101B-9397-08002B2CF9AE}" pid="4" name="commondata">
    <vt:lpwstr>eyJoZGlkIjoiM2I5YmQyM2VlMzIyNzg3MTM0MjMzMjczYWU0N2U3MTcifQ==</vt:lpwstr>
  </property>
  <property fmtid="{D5CDD505-2E9C-101B-9397-08002B2CF9AE}" pid="5" name="KSOTemplateDocerSaveRecord">
    <vt:lpwstr>eyJoZGlkIjoiM2I5YmQyM2VlMzIyNzg3MTM0MjMzMjczYWU0N2U3MTciLCJ1c2VySWQiOiI3ODA0NjkwMjMifQ==</vt:lpwstr>
  </property>
</Properties>
</file>