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47A5AF96">
      <w:pPr>
        <w:numPr>
          <w:ilvl w:val="0"/>
          <w:numId w:val="0"/>
        </w:numPr>
        <w:rPr>
          <w:rFonts w:hint="eastAsia"/>
          <w:lang w:val="en-US" w:eastAsia="zh-CN"/>
        </w:rPr>
      </w:pPr>
    </w:p>
    <w:p w14:paraId="60CCB0BD">
      <w:pPr>
        <w:numPr>
          <w:ilvl w:val="0"/>
          <w:numId w:val="0"/>
        </w:numPr>
        <w:rPr>
          <w:rFonts w:hint="eastAsia"/>
          <w:lang w:val="en-US" w:eastAsia="zh-CN"/>
        </w:rPr>
      </w:pPr>
    </w:p>
    <w:p w14:paraId="0BF4768B">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633B8100">
      <w:pPr>
        <w:numPr>
          <w:ilvl w:val="0"/>
          <w:numId w:val="0"/>
        </w:numPr>
        <w:jc w:val="center"/>
        <w:rPr>
          <w:rFonts w:hint="eastAsia" w:ascii="黑体" w:hAnsi="黑体" w:eastAsia="黑体" w:cs="黑体"/>
          <w:b/>
          <w:i w:val="0"/>
          <w:caps/>
          <w:color w:val="333333"/>
          <w:spacing w:val="0"/>
          <w:sz w:val="32"/>
          <w:szCs w:val="32"/>
          <w:lang w:val="en-US" w:eastAsia="zh-CN"/>
        </w:rPr>
      </w:pPr>
      <w:r>
        <w:rPr>
          <w:rFonts w:hint="eastAsia" w:ascii="黑体" w:hAnsi="黑体" w:eastAsia="黑体" w:cs="黑体"/>
          <w:b/>
          <w:i w:val="0"/>
          <w:caps/>
          <w:color w:val="333333"/>
          <w:spacing w:val="0"/>
          <w:sz w:val="32"/>
          <w:szCs w:val="32"/>
          <w:lang w:val="en-US" w:eastAsia="zh-CN"/>
        </w:rPr>
        <w:t>东胜部院区提升</w:t>
      </w:r>
      <w:bookmarkStart w:id="21" w:name="_GoBack"/>
      <w:bookmarkEnd w:id="21"/>
      <w:r>
        <w:rPr>
          <w:rFonts w:hint="eastAsia" w:ascii="黑体" w:hAnsi="黑体" w:eastAsia="黑体" w:cs="黑体"/>
          <w:b/>
          <w:i w:val="0"/>
          <w:caps/>
          <w:color w:val="333333"/>
          <w:spacing w:val="0"/>
          <w:sz w:val="32"/>
          <w:szCs w:val="32"/>
          <w:lang w:val="en-US" w:eastAsia="zh-CN"/>
        </w:rPr>
        <w:t>及康巴什部二期建设项目规划设计咨询服务项目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6"/>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088"/>
        <w:gridCol w:w="1680"/>
        <w:gridCol w:w="826"/>
        <w:gridCol w:w="1338"/>
        <w:gridCol w:w="1596"/>
      </w:tblGrid>
      <w:tr w14:paraId="01983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ABC9D5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088" w:type="dxa"/>
            <w:vAlign w:val="center"/>
          </w:tcPr>
          <w:p w14:paraId="12673B6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1680" w:type="dxa"/>
            <w:vAlign w:val="center"/>
          </w:tcPr>
          <w:p w14:paraId="7F327B5A">
            <w:pPr>
              <w:keepNext w:val="0"/>
              <w:keepLines w:val="0"/>
              <w:suppressLineNumbers w:val="0"/>
              <w:spacing w:before="0" w:beforeAutospacing="0" w:after="0" w:afterAutospacing="0"/>
              <w:ind w:left="0" w:right="0"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F0DF23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1473BDE2">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96" w:type="dxa"/>
            <w:vAlign w:val="center"/>
          </w:tcPr>
          <w:p w14:paraId="1149B99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449F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4C0A293">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088" w:type="dxa"/>
            <w:vAlign w:val="center"/>
          </w:tcPr>
          <w:p w14:paraId="2FD2A9AA">
            <w:pPr>
              <w:keepNext w:val="0"/>
              <w:keepLines w:val="0"/>
              <w:suppressLineNumbers w:val="0"/>
              <w:spacing w:before="0" w:beforeAutospacing="0" w:after="0" w:afterAutospacing="0"/>
              <w:ind w:left="0" w:right="0"/>
              <w:rPr>
                <w:rFonts w:hint="default" w:ascii="宋体" w:hAnsi="宋体" w:eastAsia="宋体" w:cs="宋体"/>
                <w:lang w:val="en-US" w:eastAsia="zh-CN"/>
              </w:rPr>
            </w:pPr>
            <w:r>
              <w:rPr>
                <w:rFonts w:hint="eastAsia" w:ascii="宋体" w:hAnsi="宋体" w:eastAsia="宋体" w:cs="宋体"/>
                <w:kern w:val="0"/>
                <w:sz w:val="21"/>
                <w:szCs w:val="21"/>
                <w:lang w:val="en-US" w:eastAsia="zh-CN"/>
              </w:rPr>
              <w:t>东胜部院区提升项目及康巴什部二期建设项目规划设计咨询服务</w:t>
            </w:r>
          </w:p>
        </w:tc>
        <w:tc>
          <w:tcPr>
            <w:tcW w:w="1680" w:type="dxa"/>
            <w:vAlign w:val="center"/>
          </w:tcPr>
          <w:p w14:paraId="7B0AC3F9">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3D3556B7">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0F9216E3">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400000</w:t>
            </w:r>
          </w:p>
        </w:tc>
        <w:tc>
          <w:tcPr>
            <w:tcW w:w="1596" w:type="dxa"/>
            <w:vAlign w:val="center"/>
          </w:tcPr>
          <w:p w14:paraId="2DA66693">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1"/>
                <w:szCs w:val="21"/>
                <w:lang w:val="en-US" w:eastAsia="zh-CN"/>
              </w:rPr>
              <w:t>400000</w:t>
            </w:r>
          </w:p>
        </w:tc>
      </w:tr>
      <w:tr w14:paraId="2254F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ED9F8CE">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932" w:type="dxa"/>
            <w:gridSpan w:val="4"/>
            <w:vAlign w:val="center"/>
          </w:tcPr>
          <w:p w14:paraId="5C67577F">
            <w:pPr>
              <w:keepNext w:val="0"/>
              <w:keepLines w:val="0"/>
              <w:suppressLineNumbers w:val="0"/>
              <w:spacing w:before="0" w:beforeAutospacing="0" w:after="0" w:afterAutospacing="0"/>
              <w:ind w:left="0" w:right="0"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596" w:type="dxa"/>
            <w:vAlign w:val="center"/>
          </w:tcPr>
          <w:p w14:paraId="22F944B6">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400000</w:t>
            </w:r>
          </w:p>
        </w:tc>
      </w:tr>
      <w:tr w14:paraId="0A694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1DB7E53C">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088" w:type="dxa"/>
            <w:vAlign w:val="center"/>
          </w:tcPr>
          <w:p w14:paraId="55F84784">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交付使用时间</w:t>
            </w:r>
          </w:p>
        </w:tc>
        <w:tc>
          <w:tcPr>
            <w:tcW w:w="5440" w:type="dxa"/>
            <w:gridSpan w:val="4"/>
            <w:vAlign w:val="center"/>
          </w:tcPr>
          <w:p w14:paraId="6E5B40E8">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合同签订后90日内</w:t>
            </w:r>
          </w:p>
        </w:tc>
      </w:tr>
      <w:tr w14:paraId="03D7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1C5ACC">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088" w:type="dxa"/>
            <w:vAlign w:val="center"/>
          </w:tcPr>
          <w:p w14:paraId="3E2029A2">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5440" w:type="dxa"/>
            <w:gridSpan w:val="4"/>
            <w:vAlign w:val="center"/>
          </w:tcPr>
          <w:p w14:paraId="2E7256CB">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合同签订后一次性付款至50%，全部成果文件提供完毕，医院审核无误后支付剩余50%。</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88" w:type="dxa"/>
            <w:vAlign w:val="center"/>
          </w:tcPr>
          <w:p w14:paraId="0FA556C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440" w:type="dxa"/>
            <w:gridSpan w:val="4"/>
            <w:vAlign w:val="center"/>
          </w:tcPr>
          <w:p w14:paraId="27E699D7">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0C1D69DA">
      <w:pPr>
        <w:rPr>
          <w:rFonts w:hint="eastAsia" w:hAnsi="宋体"/>
          <w:sz w:val="24"/>
          <w:szCs w:val="24"/>
        </w:rPr>
      </w:pPr>
    </w:p>
    <w:p w14:paraId="50F64E5E">
      <w:pPr>
        <w:pStyle w:val="5"/>
        <w:ind w:firstLine="480" w:firstLineChars="200"/>
        <w:rPr>
          <w:rFonts w:hint="default" w:hAnsi="宋体" w:eastAsia="微软雅黑"/>
          <w:sz w:val="24"/>
          <w:szCs w:val="24"/>
          <w:lang w:val="en-US" w:eastAsia="zh-CN"/>
        </w:rPr>
      </w:pPr>
      <w:r>
        <w:rPr>
          <w:rFonts w:hint="eastAsia" w:hAnsi="宋体"/>
          <w:sz w:val="24"/>
          <w:szCs w:val="24"/>
          <w:lang w:val="en-US" w:eastAsia="zh-CN"/>
        </w:rPr>
        <w:t>二、项目情况</w:t>
      </w:r>
    </w:p>
    <w:p w14:paraId="1036CD72">
      <w:pPr>
        <w:spacing w:line="360" w:lineRule="auto"/>
        <w:jc w:val="left"/>
        <w:rPr>
          <w:rFonts w:hint="eastAsia" w:ascii="宋体" w:hAnsi="宋体" w:eastAsia="宋体" w:cs="宋体"/>
          <w:sz w:val="32"/>
          <w:szCs w:val="32"/>
        </w:rPr>
      </w:pPr>
      <w:r>
        <w:rPr>
          <w:rFonts w:hint="eastAsia" w:ascii="宋体" w:hAnsi="宋体" w:eastAsia="宋体"/>
          <w:sz w:val="32"/>
          <w:szCs w:val="32"/>
        </w:rPr>
        <w:t>（1）</w:t>
      </w:r>
      <w:r>
        <w:rPr>
          <w:rFonts w:hint="eastAsia" w:ascii="宋体" w:hAnsi="宋体" w:eastAsia="宋体"/>
          <w:sz w:val="32"/>
          <w:szCs w:val="32"/>
          <w:highlight w:val="none"/>
        </w:rPr>
        <w:t>项目基本情况介绍</w:t>
      </w:r>
      <w:r>
        <w:rPr>
          <w:rFonts w:hint="eastAsia" w:ascii="宋体" w:hAnsi="宋体" w:eastAsia="宋体"/>
          <w:sz w:val="32"/>
          <w:szCs w:val="32"/>
        </w:rPr>
        <w:t>：</w:t>
      </w:r>
      <w:r>
        <w:rPr>
          <w:rFonts w:hint="eastAsia" w:ascii="宋体" w:hAnsi="宋体" w:eastAsia="宋体"/>
          <w:sz w:val="32"/>
          <w:szCs w:val="32"/>
          <w:u w:val="single"/>
        </w:rPr>
        <w:t>市中心医院东胜部西住院楼多为上世纪六七十年代建筑，建筑老旧，隐患较多，已经不能满足目前实际工作需要和医疗机构安全生产需求，急需进行拆除重建</w:t>
      </w:r>
      <w:r>
        <w:rPr>
          <w:rFonts w:hint="eastAsia" w:ascii="宋体" w:hAnsi="宋体" w:eastAsia="宋体"/>
          <w:sz w:val="32"/>
          <w:szCs w:val="32"/>
          <w:u w:val="single"/>
          <w:lang w:eastAsia="zh-CN"/>
        </w:rPr>
        <w:t>。</w:t>
      </w:r>
      <w:r>
        <w:rPr>
          <w:rFonts w:hint="eastAsia" w:ascii="宋体" w:hAnsi="宋体" w:eastAsia="宋体"/>
          <w:sz w:val="32"/>
          <w:szCs w:val="32"/>
          <w:u w:val="single"/>
          <w:lang w:val="en-US" w:eastAsia="zh-CN"/>
        </w:rPr>
        <w:t>拟拆除老旧危房，</w:t>
      </w:r>
      <w:bookmarkStart w:id="0" w:name="OLE_LINK3"/>
      <w:r>
        <w:rPr>
          <w:rFonts w:hint="eastAsia" w:ascii="宋体" w:hAnsi="宋体" w:eastAsia="宋体"/>
          <w:sz w:val="32"/>
          <w:szCs w:val="32"/>
          <w:u w:val="single"/>
          <w:lang w:val="en-US" w:eastAsia="zh-CN"/>
        </w:rPr>
        <w:t>新建内科楼、高压氧舱、锅炉房、发热门诊、垃圾站</w:t>
      </w:r>
      <w:bookmarkEnd w:id="0"/>
      <w:bookmarkStart w:id="1" w:name="OLE_LINK5"/>
      <w:r>
        <w:rPr>
          <w:rFonts w:hint="eastAsia" w:ascii="宋体" w:hAnsi="宋体" w:eastAsia="宋体"/>
          <w:sz w:val="32"/>
          <w:szCs w:val="32"/>
          <w:u w:val="single"/>
          <w:lang w:val="en-US" w:eastAsia="zh-CN"/>
        </w:rPr>
        <w:t>、停车场</w:t>
      </w:r>
      <w:bookmarkEnd w:id="1"/>
      <w:r>
        <w:rPr>
          <w:rFonts w:hint="eastAsia" w:ascii="宋体" w:hAnsi="宋体" w:eastAsia="宋体"/>
          <w:sz w:val="32"/>
          <w:szCs w:val="32"/>
          <w:u w:val="single"/>
          <w:lang w:val="en-US" w:eastAsia="zh-CN"/>
        </w:rPr>
        <w:t>。为了指导下一步建设工作科学合理有序进行，同时理清医院发展实际需求，推动东胜部与康巴什部两院区一体化协同发展，希望采购技术咨询服务，</w:t>
      </w:r>
      <w:r>
        <w:rPr>
          <w:rFonts w:hint="eastAsia" w:ascii="宋体" w:hAnsi="宋体" w:eastAsia="宋体"/>
          <w:sz w:val="32"/>
          <w:szCs w:val="32"/>
          <w:u w:val="single"/>
        </w:rPr>
        <w:t>应用科学方法论，对</w:t>
      </w:r>
      <w:r>
        <w:rPr>
          <w:rFonts w:hint="eastAsia" w:ascii="宋体" w:hAnsi="宋体" w:eastAsia="宋体"/>
          <w:sz w:val="32"/>
          <w:szCs w:val="32"/>
          <w:u w:val="single"/>
          <w:lang w:val="en-US" w:eastAsia="zh-CN"/>
        </w:rPr>
        <w:t>东胜院区和康巴什院区</w:t>
      </w:r>
      <w:r>
        <w:rPr>
          <w:rFonts w:hint="eastAsia" w:ascii="宋体" w:hAnsi="宋体" w:eastAsia="宋体"/>
          <w:sz w:val="32"/>
          <w:szCs w:val="32"/>
          <w:u w:val="single"/>
        </w:rPr>
        <w:t>既有医院建筑进行</w:t>
      </w:r>
      <w:r>
        <w:rPr>
          <w:rFonts w:hint="eastAsia" w:ascii="宋体" w:hAnsi="宋体" w:eastAsia="宋体"/>
          <w:sz w:val="32"/>
          <w:szCs w:val="32"/>
          <w:u w:val="single"/>
          <w:lang w:val="en-US" w:eastAsia="zh-CN"/>
        </w:rPr>
        <w:t>总体</w:t>
      </w:r>
      <w:r>
        <w:rPr>
          <w:rFonts w:hint="eastAsia" w:ascii="宋体" w:hAnsi="宋体" w:eastAsia="宋体"/>
          <w:sz w:val="32"/>
          <w:szCs w:val="32"/>
          <w:u w:val="single"/>
        </w:rPr>
        <w:t>策划，对现有建筑</w:t>
      </w:r>
      <w:r>
        <w:rPr>
          <w:rFonts w:hint="eastAsia" w:ascii="宋体" w:hAnsi="宋体" w:eastAsia="宋体"/>
          <w:sz w:val="32"/>
          <w:szCs w:val="32"/>
          <w:u w:val="single"/>
          <w:lang w:val="en-US" w:eastAsia="zh-CN"/>
        </w:rPr>
        <w:t>使用情况</w:t>
      </w:r>
      <w:r>
        <w:rPr>
          <w:rFonts w:hint="eastAsia" w:ascii="宋体" w:hAnsi="宋体" w:eastAsia="宋体"/>
          <w:sz w:val="32"/>
          <w:szCs w:val="32"/>
          <w:u w:val="single"/>
        </w:rPr>
        <w:t>进行调研，诊断分析，</w:t>
      </w:r>
      <w:r>
        <w:rPr>
          <w:rFonts w:hint="eastAsia" w:ascii="宋体" w:hAnsi="宋体" w:eastAsia="宋体"/>
          <w:sz w:val="32"/>
          <w:szCs w:val="32"/>
          <w:u w:val="single"/>
          <w:lang w:val="en-US" w:eastAsia="zh-CN"/>
        </w:rPr>
        <w:t>最终</w:t>
      </w:r>
      <w:r>
        <w:rPr>
          <w:rFonts w:hint="eastAsia" w:ascii="宋体" w:hAnsi="宋体" w:eastAsia="宋体"/>
          <w:sz w:val="32"/>
          <w:szCs w:val="32"/>
          <w:u w:val="single"/>
        </w:rPr>
        <w:t>提出一体化解决方案。针对重大问题——交通停车、消防、环境、功能、医疗流程、整体形象、绿色节能等进行整体改造提升，实现医院高质量</w:t>
      </w:r>
      <w:r>
        <w:rPr>
          <w:rFonts w:hint="eastAsia" w:ascii="宋体" w:hAnsi="宋体" w:eastAsia="宋体"/>
          <w:sz w:val="32"/>
          <w:szCs w:val="32"/>
          <w:u w:val="single"/>
          <w:lang w:val="en-US" w:eastAsia="zh-CN"/>
        </w:rPr>
        <w:t>发展目标</w:t>
      </w:r>
      <w:r>
        <w:rPr>
          <w:rFonts w:hint="eastAsia" w:ascii="宋体" w:hAnsi="宋体" w:eastAsia="宋体"/>
          <w:sz w:val="32"/>
          <w:szCs w:val="32"/>
          <w:u w:val="single"/>
        </w:rPr>
        <w:t>。</w:t>
      </w:r>
      <w:bookmarkStart w:id="2" w:name="OLE_LINK68"/>
    </w:p>
    <w:p w14:paraId="07560254">
      <w:pPr>
        <w:spacing w:line="360" w:lineRule="auto"/>
        <w:jc w:val="left"/>
        <w:rPr>
          <w:rFonts w:hint="eastAsia" w:ascii="宋体" w:hAnsi="宋体" w:eastAsia="宋体" w:cs="宋体"/>
          <w:sz w:val="32"/>
          <w:szCs w:val="32"/>
        </w:rPr>
      </w:pPr>
      <w:r>
        <w:rPr>
          <w:rFonts w:hint="eastAsia" w:ascii="宋体" w:hAnsi="宋体" w:eastAsia="宋体" w:cs="宋体"/>
          <w:sz w:val="32"/>
          <w:szCs w:val="32"/>
        </w:rPr>
        <w:t>（2）</w:t>
      </w:r>
      <w:bookmarkEnd w:id="2"/>
      <w:r>
        <w:rPr>
          <w:rFonts w:hint="eastAsia" w:ascii="宋体" w:hAnsi="宋体" w:eastAsia="宋体" w:cs="宋体"/>
          <w:sz w:val="32"/>
          <w:szCs w:val="32"/>
          <w:highlight w:val="none"/>
        </w:rPr>
        <w:t>技术参数和要求</w:t>
      </w:r>
      <w:r>
        <w:rPr>
          <w:rFonts w:hint="eastAsia" w:ascii="宋体" w:hAnsi="宋体" w:eastAsia="宋体" w:cs="宋体"/>
          <w:sz w:val="32"/>
          <w:szCs w:val="32"/>
        </w:rPr>
        <w:t>（功能和质量）</w:t>
      </w:r>
    </w:p>
    <w:tbl>
      <w:tblPr>
        <w:tblStyle w:val="15"/>
        <w:tblW w:w="9810" w:type="dxa"/>
        <w:jc w:val="center"/>
        <w:tblLayout w:type="fixed"/>
        <w:tblCellMar>
          <w:top w:w="0" w:type="dxa"/>
          <w:left w:w="108" w:type="dxa"/>
          <w:bottom w:w="0" w:type="dxa"/>
          <w:right w:w="108" w:type="dxa"/>
        </w:tblCellMar>
      </w:tblPr>
      <w:tblGrid>
        <w:gridCol w:w="1555"/>
        <w:gridCol w:w="1134"/>
        <w:gridCol w:w="7121"/>
      </w:tblGrid>
      <w:tr w14:paraId="1A42F9A2">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F49F732">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r>
              <w:rPr>
                <w:rFonts w:hint="eastAsia" w:ascii="宋体" w:hAnsi="宋体" w:eastAsia="宋体" w:cs="宋体"/>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AE4E5E9">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r>
              <w:rPr>
                <w:rFonts w:hint="eastAsia" w:ascii="宋体" w:hAnsi="宋体" w:eastAsia="宋体" w:cs="宋体"/>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51C15B94">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r>
              <w:rPr>
                <w:rFonts w:hint="eastAsia" w:ascii="宋体" w:hAnsi="宋体" w:eastAsia="宋体" w:cs="宋体"/>
                <w:sz w:val="32"/>
                <w:szCs w:val="32"/>
              </w:rPr>
              <w:t>技术参数和要求</w:t>
            </w:r>
          </w:p>
        </w:tc>
      </w:tr>
      <w:tr w14:paraId="37B15C4D">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3281E7F">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lang w:val="en-US" w:eastAsia="zh-CN"/>
              </w:rPr>
            </w:pPr>
          </w:p>
        </w:tc>
        <w:tc>
          <w:tcPr>
            <w:tcW w:w="1134" w:type="dxa"/>
            <w:tcBorders>
              <w:top w:val="single" w:color="auto" w:sz="4" w:space="0"/>
              <w:left w:val="nil"/>
              <w:bottom w:val="single" w:color="auto" w:sz="4" w:space="0"/>
              <w:right w:val="single" w:color="auto" w:sz="4" w:space="0"/>
            </w:tcBorders>
            <w:vAlign w:val="center"/>
          </w:tcPr>
          <w:p w14:paraId="04A55B4A">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r>
              <w:rPr>
                <w:rFonts w:hint="eastAsia" w:ascii="宋体" w:hAnsi="宋体" w:eastAsia="宋体" w:cs="宋体"/>
                <w:sz w:val="32"/>
                <w:szCs w:val="32"/>
              </w:rPr>
              <w:t>1</w:t>
            </w:r>
          </w:p>
        </w:tc>
        <w:tc>
          <w:tcPr>
            <w:tcW w:w="7121" w:type="dxa"/>
            <w:tcBorders>
              <w:top w:val="single" w:color="auto" w:sz="4" w:space="0"/>
              <w:left w:val="nil"/>
              <w:bottom w:val="single" w:color="auto" w:sz="4" w:space="0"/>
              <w:right w:val="single" w:color="auto" w:sz="4" w:space="0"/>
            </w:tcBorders>
            <w:vAlign w:val="center"/>
          </w:tcPr>
          <w:p w14:paraId="09957C73">
            <w:pPr>
              <w:keepNext w:val="0"/>
              <w:keepLines w:val="0"/>
              <w:widowControl/>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rPr>
              <w:t>医院基本情况</w:t>
            </w:r>
            <w:r>
              <w:rPr>
                <w:rFonts w:hint="eastAsia" w:ascii="宋体" w:hAnsi="宋体" w:eastAsia="宋体" w:cs="宋体"/>
                <w:sz w:val="24"/>
                <w:szCs w:val="24"/>
                <w:lang w:eastAsia="zh-CN"/>
              </w:rPr>
              <w:t>、项目区位</w:t>
            </w:r>
            <w:r>
              <w:rPr>
                <w:rFonts w:hint="eastAsia" w:ascii="宋体" w:hAnsi="宋体" w:eastAsia="宋体" w:cs="宋体"/>
                <w:sz w:val="24"/>
                <w:szCs w:val="24"/>
                <w:lang w:val="en-US" w:eastAsia="zh-CN"/>
              </w:rPr>
              <w:t>等基本情况分析，</w:t>
            </w:r>
            <w:r>
              <w:rPr>
                <w:rFonts w:hint="eastAsia" w:ascii="宋体" w:hAnsi="宋体" w:eastAsia="宋体" w:cs="宋体"/>
                <w:sz w:val="24"/>
                <w:szCs w:val="24"/>
              </w:rPr>
              <w:t>对</w:t>
            </w:r>
            <w:r>
              <w:rPr>
                <w:rFonts w:hint="eastAsia" w:ascii="宋体" w:hAnsi="宋体" w:eastAsia="宋体" w:cs="宋体"/>
                <w:sz w:val="24"/>
                <w:szCs w:val="24"/>
                <w:lang w:val="en-US" w:eastAsia="zh-CN"/>
              </w:rPr>
              <w:t>两院区</w:t>
            </w:r>
            <w:r>
              <w:rPr>
                <w:rFonts w:hint="eastAsia" w:ascii="宋体" w:hAnsi="宋体" w:eastAsia="宋体" w:cs="宋体"/>
                <w:sz w:val="24"/>
                <w:szCs w:val="24"/>
              </w:rPr>
              <w:t>现有建筑进行</w:t>
            </w:r>
            <w:r>
              <w:rPr>
                <w:rFonts w:hint="eastAsia" w:ascii="宋体" w:hAnsi="宋体" w:eastAsia="宋体" w:cs="宋体"/>
                <w:sz w:val="24"/>
                <w:szCs w:val="24"/>
                <w:lang w:val="en-US" w:eastAsia="zh-CN"/>
              </w:rPr>
              <w:t>问题分析，包括但不限于结构安全、消防隐患、停车困难、环境不佳4项。</w:t>
            </w:r>
          </w:p>
        </w:tc>
      </w:tr>
      <w:tr w14:paraId="5E328CE4">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249B75B">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lang w:val="en-US" w:eastAsia="zh-CN"/>
              </w:rPr>
            </w:pPr>
          </w:p>
        </w:tc>
        <w:tc>
          <w:tcPr>
            <w:tcW w:w="1134" w:type="dxa"/>
            <w:tcBorders>
              <w:top w:val="single" w:color="auto" w:sz="4" w:space="0"/>
              <w:left w:val="nil"/>
              <w:bottom w:val="single" w:color="auto" w:sz="4" w:space="0"/>
              <w:right w:val="single" w:color="auto" w:sz="4" w:space="0"/>
            </w:tcBorders>
            <w:vAlign w:val="center"/>
          </w:tcPr>
          <w:p w14:paraId="53C5F650">
            <w:pPr>
              <w:keepNext w:val="0"/>
              <w:keepLines w:val="0"/>
              <w:widowControl/>
              <w:suppressLineNumbers w:val="0"/>
              <w:spacing w:before="0" w:beforeAutospacing="0" w:after="0" w:afterAutospacing="0"/>
              <w:ind w:left="0" w:right="0"/>
              <w:jc w:val="center"/>
              <w:rPr>
                <w:rFonts w:hint="eastAsia" w:ascii="宋体" w:hAnsi="宋体" w:eastAsia="宋体" w:cs="宋体"/>
                <w:kern w:val="2"/>
                <w:sz w:val="32"/>
                <w:szCs w:val="32"/>
                <w:lang w:val="en-US" w:eastAsia="zh-CN" w:bidi="ar-SA"/>
              </w:rPr>
            </w:pPr>
            <w:r>
              <w:rPr>
                <w:rFonts w:hint="eastAsia" w:ascii="宋体" w:hAnsi="宋体" w:eastAsia="宋体" w:cs="宋体"/>
                <w:sz w:val="32"/>
                <w:szCs w:val="32"/>
              </w:rPr>
              <w:t>2</w:t>
            </w:r>
          </w:p>
        </w:tc>
        <w:tc>
          <w:tcPr>
            <w:tcW w:w="7121" w:type="dxa"/>
            <w:tcBorders>
              <w:top w:val="single" w:color="auto" w:sz="4" w:space="0"/>
              <w:left w:val="nil"/>
              <w:bottom w:val="single" w:color="auto" w:sz="4" w:space="0"/>
              <w:right w:val="single" w:color="auto" w:sz="4" w:space="0"/>
            </w:tcBorders>
            <w:vAlign w:val="center"/>
          </w:tcPr>
          <w:p w14:paraId="012B857C">
            <w:pPr>
              <w:keepNext w:val="0"/>
              <w:keepLines w:val="0"/>
              <w:widowControl/>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rPr>
              <w:t>学科与服务定位</w:t>
            </w:r>
            <w:r>
              <w:rPr>
                <w:rFonts w:hint="eastAsia" w:ascii="宋体" w:hAnsi="宋体" w:eastAsia="宋体" w:cs="宋体"/>
                <w:sz w:val="24"/>
                <w:szCs w:val="24"/>
                <w:lang w:val="en-US" w:eastAsia="zh-CN"/>
              </w:rPr>
              <w:t>的进一步工作方法论与调研计划</w:t>
            </w:r>
          </w:p>
        </w:tc>
      </w:tr>
      <w:tr w14:paraId="7466E867">
        <w:tblPrEx>
          <w:tblCellMar>
            <w:top w:w="0" w:type="dxa"/>
            <w:left w:w="108" w:type="dxa"/>
            <w:bottom w:w="0" w:type="dxa"/>
            <w:right w:w="108" w:type="dxa"/>
          </w:tblCellMar>
        </w:tblPrEx>
        <w:trPr>
          <w:trHeight w:val="600"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DCFCE0F">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lang w:val="en-US" w:eastAsia="zh-CN"/>
              </w:rPr>
            </w:pPr>
          </w:p>
        </w:tc>
        <w:tc>
          <w:tcPr>
            <w:tcW w:w="1134" w:type="dxa"/>
            <w:tcBorders>
              <w:top w:val="single" w:color="auto" w:sz="4" w:space="0"/>
              <w:left w:val="nil"/>
              <w:bottom w:val="single" w:color="auto" w:sz="4" w:space="0"/>
              <w:right w:val="single" w:color="auto" w:sz="4" w:space="0"/>
            </w:tcBorders>
            <w:vAlign w:val="center"/>
          </w:tcPr>
          <w:p w14:paraId="2B82CB28">
            <w:pPr>
              <w:keepNext w:val="0"/>
              <w:keepLines w:val="0"/>
              <w:widowControl/>
              <w:suppressLineNumbers w:val="0"/>
              <w:spacing w:before="0" w:beforeAutospacing="0" w:after="0" w:afterAutospacing="0"/>
              <w:ind w:left="0" w:right="0"/>
              <w:jc w:val="center"/>
              <w:rPr>
                <w:rFonts w:hint="eastAsia" w:ascii="宋体" w:hAnsi="宋体" w:eastAsia="宋体" w:cs="宋体"/>
                <w:kern w:val="2"/>
                <w:sz w:val="32"/>
                <w:szCs w:val="32"/>
                <w:lang w:val="en-US" w:eastAsia="zh-CN" w:bidi="ar-SA"/>
              </w:rPr>
            </w:pPr>
            <w:r>
              <w:rPr>
                <w:rFonts w:hint="eastAsia" w:ascii="宋体" w:hAnsi="宋体" w:eastAsia="宋体" w:cs="宋体"/>
                <w:sz w:val="32"/>
                <w:szCs w:val="32"/>
              </w:rPr>
              <w:t>3</w:t>
            </w:r>
          </w:p>
        </w:tc>
        <w:tc>
          <w:tcPr>
            <w:tcW w:w="7121" w:type="dxa"/>
            <w:tcBorders>
              <w:top w:val="single" w:color="auto" w:sz="4" w:space="0"/>
              <w:left w:val="nil"/>
              <w:bottom w:val="single" w:color="auto" w:sz="4" w:space="0"/>
              <w:right w:val="single" w:color="auto" w:sz="4" w:space="0"/>
            </w:tcBorders>
            <w:vAlign w:val="center"/>
          </w:tcPr>
          <w:p w14:paraId="2A5242BA">
            <w:pPr>
              <w:keepNext w:val="0"/>
              <w:keepLines w:val="0"/>
              <w:widowControl/>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提供新的</w:t>
            </w:r>
            <w:r>
              <w:rPr>
                <w:rFonts w:hint="eastAsia" w:ascii="宋体" w:hAnsi="宋体" w:eastAsia="宋体" w:cs="宋体"/>
                <w:sz w:val="24"/>
                <w:szCs w:val="24"/>
              </w:rPr>
              <w:t>建设理念</w:t>
            </w:r>
            <w:r>
              <w:rPr>
                <w:rFonts w:hint="eastAsia" w:ascii="宋体" w:hAnsi="宋体" w:eastAsia="宋体" w:cs="宋体"/>
                <w:sz w:val="24"/>
                <w:szCs w:val="24"/>
                <w:lang w:val="en-US" w:eastAsia="zh-CN"/>
              </w:rPr>
              <w:t>与原则</w:t>
            </w:r>
          </w:p>
        </w:tc>
      </w:tr>
      <w:tr w14:paraId="2717A14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98CB904">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lang w:val="en-US" w:eastAsia="zh-CN"/>
              </w:rPr>
            </w:pPr>
          </w:p>
        </w:tc>
        <w:tc>
          <w:tcPr>
            <w:tcW w:w="1134" w:type="dxa"/>
            <w:tcBorders>
              <w:top w:val="single" w:color="auto" w:sz="4" w:space="0"/>
              <w:left w:val="nil"/>
              <w:bottom w:val="single" w:color="auto" w:sz="4" w:space="0"/>
              <w:right w:val="single" w:color="auto" w:sz="4" w:space="0"/>
            </w:tcBorders>
            <w:vAlign w:val="center"/>
          </w:tcPr>
          <w:p w14:paraId="2F240780">
            <w:pPr>
              <w:keepNext w:val="0"/>
              <w:keepLines w:val="0"/>
              <w:widowControl/>
              <w:suppressLineNumbers w:val="0"/>
              <w:spacing w:before="0" w:beforeAutospacing="0" w:after="0" w:afterAutospacing="0"/>
              <w:ind w:left="0" w:right="0"/>
              <w:jc w:val="center"/>
              <w:rPr>
                <w:rFonts w:hint="eastAsia"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3905B505">
            <w:pPr>
              <w:keepNext w:val="0"/>
              <w:keepLines w:val="0"/>
              <w:suppressLineNumbers w:val="0"/>
              <w:spacing w:before="0" w:beforeAutospacing="0" w:after="0" w:afterAutospacing="0"/>
              <w:ind w:left="0" w:right="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对两院区功能规划、交通流线、整体形象、绿化景观、消防安全、绿色节能提出提升方案</w:t>
            </w:r>
          </w:p>
        </w:tc>
      </w:tr>
      <w:tr w14:paraId="2F781E5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3EB2CA0">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15C575B1">
            <w:pPr>
              <w:keepNext w:val="0"/>
              <w:keepLines w:val="0"/>
              <w:widowControl/>
              <w:suppressLineNumbers w:val="0"/>
              <w:spacing w:before="0" w:beforeAutospacing="0" w:after="0" w:afterAutospacing="0"/>
              <w:ind w:left="0" w:right="0"/>
              <w:jc w:val="center"/>
              <w:rPr>
                <w:rFonts w:hint="eastAsia"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34692763">
            <w:pPr>
              <w:keepNext w:val="0"/>
              <w:keepLines w:val="0"/>
              <w:suppressLineNumbers w:val="0"/>
              <w:spacing w:before="0" w:beforeAutospacing="0" w:after="0" w:afterAutospacing="0"/>
              <w:ind w:left="0" w:right="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对两院区总面积进行科学测算，对拆除及新建面积指标进行详细梳理</w:t>
            </w:r>
          </w:p>
        </w:tc>
      </w:tr>
      <w:tr w14:paraId="41B057E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88CA372">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39839B6F">
            <w:pPr>
              <w:keepNext w:val="0"/>
              <w:keepLines w:val="0"/>
              <w:widowControl/>
              <w:suppressLineNumbers w:val="0"/>
              <w:spacing w:before="0" w:beforeAutospacing="0" w:after="0" w:afterAutospacing="0"/>
              <w:ind w:left="0" w:right="0"/>
              <w:jc w:val="center"/>
              <w:rPr>
                <w:rFonts w:hint="eastAsia"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0B9718F7">
            <w:pPr>
              <w:keepNext w:val="0"/>
              <w:keepLines w:val="0"/>
              <w:suppressLineNumbers w:val="0"/>
              <w:spacing w:before="0" w:beforeAutospacing="0" w:after="0" w:afterAutospacing="0"/>
              <w:ind w:left="0" w:right="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东胜院区新建项目符合医院发展需要，包括新建内科楼、高压氧舱、锅炉房、发热门诊、垃圾站、停车场，各功能的规划位置、规模合理。</w:t>
            </w:r>
          </w:p>
        </w:tc>
      </w:tr>
      <w:tr w14:paraId="5620B98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A216BF6">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23E3BA2D">
            <w:pPr>
              <w:keepNext w:val="0"/>
              <w:keepLines w:val="0"/>
              <w:widowControl/>
              <w:suppressLineNumbers w:val="0"/>
              <w:spacing w:before="0" w:beforeAutospacing="0" w:after="0" w:afterAutospacing="0"/>
              <w:ind w:left="0" w:right="0"/>
              <w:jc w:val="center"/>
              <w:rPr>
                <w:rFonts w:hint="eastAsia"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7</w:t>
            </w:r>
          </w:p>
        </w:tc>
        <w:tc>
          <w:tcPr>
            <w:tcW w:w="7121" w:type="dxa"/>
            <w:tcBorders>
              <w:top w:val="single" w:color="auto" w:sz="4" w:space="0"/>
              <w:left w:val="nil"/>
              <w:bottom w:val="single" w:color="auto" w:sz="4" w:space="0"/>
              <w:right w:val="single" w:color="auto" w:sz="4" w:space="0"/>
            </w:tcBorders>
            <w:vAlign w:val="center"/>
          </w:tcPr>
          <w:p w14:paraId="35D6338B">
            <w:pPr>
              <w:keepNext w:val="0"/>
              <w:keepLines w:val="0"/>
              <w:suppressLineNumbers w:val="0"/>
              <w:spacing w:before="0" w:beforeAutospacing="0" w:after="0" w:afterAutospacing="0"/>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提供东胜院区整体形象效果图3张，康巴什院区整体形象效果图3张</w:t>
            </w:r>
          </w:p>
        </w:tc>
      </w:tr>
      <w:tr w14:paraId="40E831D6">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FFED195">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11A214D2">
            <w:pPr>
              <w:keepNext w:val="0"/>
              <w:keepLines w:val="0"/>
              <w:widowControl/>
              <w:suppressLineNumbers w:val="0"/>
              <w:spacing w:before="0" w:beforeAutospacing="0" w:after="0" w:afterAutospacing="0"/>
              <w:ind w:left="0" w:right="0"/>
              <w:jc w:val="center"/>
              <w:rPr>
                <w:rFonts w:hint="eastAsia"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8</w:t>
            </w:r>
          </w:p>
        </w:tc>
        <w:tc>
          <w:tcPr>
            <w:tcW w:w="7121" w:type="dxa"/>
            <w:tcBorders>
              <w:top w:val="single" w:color="auto" w:sz="4" w:space="0"/>
              <w:left w:val="nil"/>
              <w:bottom w:val="single" w:color="auto" w:sz="4" w:space="0"/>
              <w:right w:val="single" w:color="auto" w:sz="4" w:space="0"/>
            </w:tcBorders>
            <w:vAlign w:val="center"/>
          </w:tcPr>
          <w:p w14:paraId="46A2D112">
            <w:pPr>
              <w:keepNext w:val="0"/>
              <w:keepLines w:val="0"/>
              <w:suppressLineNumbers w:val="0"/>
              <w:spacing w:before="0" w:beforeAutospacing="0" w:after="0" w:afterAutospacing="0"/>
              <w:ind w:left="0" w:right="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实施步骤科学合理，对医院日常运营影响最小。</w:t>
            </w:r>
          </w:p>
        </w:tc>
      </w:tr>
      <w:tr w14:paraId="7B38344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6470294">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15FEAC01">
            <w:pPr>
              <w:keepNext w:val="0"/>
              <w:keepLines w:val="0"/>
              <w:widowControl/>
              <w:suppressLineNumbers w:val="0"/>
              <w:spacing w:before="0" w:beforeAutospacing="0" w:after="0" w:afterAutospacing="0"/>
              <w:ind w:left="0" w:right="0"/>
              <w:jc w:val="center"/>
              <w:rPr>
                <w:rFonts w:hint="eastAsia"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9</w:t>
            </w:r>
          </w:p>
        </w:tc>
        <w:tc>
          <w:tcPr>
            <w:tcW w:w="7121" w:type="dxa"/>
            <w:tcBorders>
              <w:top w:val="single" w:color="auto" w:sz="4" w:space="0"/>
              <w:left w:val="nil"/>
              <w:bottom w:val="single" w:color="auto" w:sz="4" w:space="0"/>
              <w:right w:val="single" w:color="auto" w:sz="4" w:space="0"/>
            </w:tcBorders>
            <w:vAlign w:val="center"/>
          </w:tcPr>
          <w:p w14:paraId="7C4C4361">
            <w:pPr>
              <w:keepNext w:val="0"/>
              <w:keepLines w:val="0"/>
              <w:suppressLineNumbers w:val="0"/>
              <w:spacing w:before="0" w:beforeAutospacing="0" w:after="0" w:afterAutospacing="0"/>
              <w:ind w:left="0" w:right="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提供成果报告目录，逻辑清晰、内容具体。</w:t>
            </w:r>
          </w:p>
        </w:tc>
      </w:tr>
      <w:tr w14:paraId="04A30D8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4392156">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76C1836A">
            <w:pPr>
              <w:keepNext w:val="0"/>
              <w:keepLines w:val="0"/>
              <w:widowControl/>
              <w:suppressLineNumbers w:val="0"/>
              <w:spacing w:before="0" w:beforeAutospacing="0" w:after="0" w:afterAutospacing="0"/>
              <w:ind w:left="0" w:right="0"/>
              <w:jc w:val="center"/>
              <w:rPr>
                <w:rFonts w:hint="default"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10</w:t>
            </w:r>
          </w:p>
        </w:tc>
        <w:tc>
          <w:tcPr>
            <w:tcW w:w="7121" w:type="dxa"/>
            <w:tcBorders>
              <w:top w:val="single" w:color="auto" w:sz="4" w:space="0"/>
              <w:left w:val="nil"/>
              <w:bottom w:val="single" w:color="auto" w:sz="4" w:space="0"/>
              <w:right w:val="single" w:color="auto" w:sz="4" w:space="0"/>
            </w:tcBorders>
            <w:vAlign w:val="center"/>
          </w:tcPr>
          <w:p w14:paraId="43A07428">
            <w:pPr>
              <w:keepNext w:val="0"/>
              <w:keepLines w:val="0"/>
              <w:suppressLineNumbers w:val="0"/>
              <w:spacing w:before="0" w:beforeAutospacing="0" w:after="0" w:afterAutospacing="0"/>
              <w:ind w:left="0" w:right="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提供工作方法论和工作计划，时间安排合理。</w:t>
            </w:r>
          </w:p>
        </w:tc>
      </w:tr>
      <w:tr w14:paraId="6741165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73CDCB0">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3183FB93">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9</w:t>
            </w:r>
          </w:p>
        </w:tc>
        <w:tc>
          <w:tcPr>
            <w:tcW w:w="7121" w:type="dxa"/>
            <w:tcBorders>
              <w:top w:val="single" w:color="auto" w:sz="4" w:space="0"/>
              <w:left w:val="nil"/>
              <w:bottom w:val="single" w:color="auto" w:sz="4" w:space="0"/>
              <w:right w:val="single" w:color="auto" w:sz="4" w:space="0"/>
            </w:tcBorders>
            <w:vAlign w:val="center"/>
          </w:tcPr>
          <w:p w14:paraId="2E7E804D">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项目的难点、重点分析，分析透彻。</w:t>
            </w:r>
          </w:p>
        </w:tc>
      </w:tr>
      <w:tr w14:paraId="616501B2">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9FB693A">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5BA6850A">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10</w:t>
            </w:r>
          </w:p>
        </w:tc>
        <w:tc>
          <w:tcPr>
            <w:tcW w:w="7121" w:type="dxa"/>
            <w:tcBorders>
              <w:top w:val="single" w:color="auto" w:sz="4" w:space="0"/>
              <w:left w:val="nil"/>
              <w:bottom w:val="single" w:color="auto" w:sz="4" w:space="0"/>
              <w:right w:val="single" w:color="auto" w:sz="4" w:space="0"/>
            </w:tcBorders>
            <w:vAlign w:val="center"/>
          </w:tcPr>
          <w:p w14:paraId="4E296327">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质量保证措施完善，针对性强。</w:t>
            </w:r>
          </w:p>
        </w:tc>
      </w:tr>
      <w:tr w14:paraId="3F36790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9EE9E30">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59245611">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11</w:t>
            </w:r>
          </w:p>
        </w:tc>
        <w:tc>
          <w:tcPr>
            <w:tcW w:w="7121" w:type="dxa"/>
            <w:tcBorders>
              <w:top w:val="single" w:color="auto" w:sz="4" w:space="0"/>
              <w:left w:val="nil"/>
              <w:bottom w:val="single" w:color="auto" w:sz="4" w:space="0"/>
              <w:right w:val="single" w:color="auto" w:sz="4" w:space="0"/>
            </w:tcBorders>
            <w:vAlign w:val="center"/>
          </w:tcPr>
          <w:p w14:paraId="70841D0C">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提供的进度保障组织方案详细完整，科学合理可行，有很强的针对性，完全符合项目特点及要求</w:t>
            </w:r>
          </w:p>
        </w:tc>
      </w:tr>
      <w:tr w14:paraId="7659B14B">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64FCF31">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29CA8D49">
            <w:pPr>
              <w:keepNext w:val="0"/>
              <w:keepLines w:val="0"/>
              <w:widowControl/>
              <w:suppressLineNumbers w:val="0"/>
              <w:spacing w:before="0" w:beforeAutospacing="0" w:after="0" w:afterAutospacing="0"/>
              <w:ind w:left="0" w:right="0"/>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12</w:t>
            </w:r>
          </w:p>
        </w:tc>
        <w:tc>
          <w:tcPr>
            <w:tcW w:w="7121" w:type="dxa"/>
            <w:tcBorders>
              <w:top w:val="single" w:color="auto" w:sz="4" w:space="0"/>
              <w:left w:val="nil"/>
              <w:bottom w:val="single" w:color="auto" w:sz="4" w:space="0"/>
              <w:right w:val="single" w:color="auto" w:sz="4" w:space="0"/>
            </w:tcBorders>
            <w:vAlign w:val="center"/>
          </w:tcPr>
          <w:p w14:paraId="26FD3CF7">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后续服务承诺期的长短、后续服务保体系完善性、可行性程度，以及其他增值服务承诺</w:t>
            </w:r>
          </w:p>
        </w:tc>
      </w:tr>
    </w:tbl>
    <w:p w14:paraId="4BEA2ACC">
      <w:pPr>
        <w:rPr>
          <w:rFonts w:hint="eastAsia"/>
          <w:lang w:val="en-US" w:eastAsia="zh-CN"/>
        </w:rPr>
      </w:pPr>
    </w:p>
    <w:p w14:paraId="734C5BD3">
      <w:pPr>
        <w:rPr>
          <w:rFonts w:hint="eastAsia"/>
          <w:lang w:val="en-US" w:eastAsia="zh-CN"/>
        </w:rPr>
      </w:pPr>
    </w:p>
    <w:p w14:paraId="715EC0A2">
      <w:pPr>
        <w:rPr>
          <w:rFonts w:hint="eastAsia"/>
          <w:lang w:val="en-US" w:eastAsia="zh-CN"/>
        </w:rPr>
      </w:pPr>
    </w:p>
    <w:p w14:paraId="485BDA4C">
      <w:pPr>
        <w:rPr>
          <w:rFonts w:hint="eastAsia"/>
          <w:lang w:val="en-US" w:eastAsia="zh-CN"/>
        </w:rPr>
      </w:pPr>
    </w:p>
    <w:p w14:paraId="701F70F6">
      <w:pPr>
        <w:numPr>
          <w:ilvl w:val="0"/>
          <w:numId w:val="0"/>
        </w:numPr>
        <w:tabs>
          <w:tab w:val="left" w:pos="463"/>
        </w:tabs>
        <w:spacing w:line="360" w:lineRule="auto"/>
        <w:rPr>
          <w:rFonts w:hint="default" w:asciiTheme="minorEastAsia" w:hAnsiTheme="minorEastAsia" w:eastAsiaTheme="minorEastAsia"/>
          <w:b/>
          <w:bCs/>
          <w:color w:val="FF0000"/>
          <w:sz w:val="24"/>
          <w:szCs w:val="24"/>
          <w:lang w:val="en-US" w:eastAsia="zh-CN"/>
        </w:rPr>
      </w:pPr>
      <w:r>
        <w:rPr>
          <w:rFonts w:hint="eastAsia" w:asciiTheme="minorEastAsia" w:hAnsiTheme="minorEastAsia"/>
          <w:b/>
          <w:bCs/>
          <w:sz w:val="24"/>
          <w:szCs w:val="24"/>
          <w:lang w:val="en-US" w:eastAsia="zh-CN"/>
        </w:rPr>
        <w:t>表1  资格性审查表：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F74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0B32108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5DEB33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34C4A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6C35AC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CBFBA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49DD0C3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0F10854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7CC926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44D04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8F8051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370696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2325CE2">
            <w:pPr>
              <w:keepNext w:val="0"/>
              <w:keepLines w:val="0"/>
              <w:numPr>
                <w:ilvl w:val="0"/>
                <w:numId w:val="2"/>
              </w:numPr>
              <w:suppressLineNumbers w:val="0"/>
              <w:spacing w:before="0" w:beforeAutospacing="0" w:after="0" w:afterAutospacing="0"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审查投标人2023年或2024年度经会计事务所出具的财务审计报告；</w:t>
            </w:r>
          </w:p>
          <w:p w14:paraId="22F88721">
            <w:pPr>
              <w:keepNext w:val="0"/>
              <w:keepLines w:val="0"/>
              <w:numPr>
                <w:ilvl w:val="0"/>
                <w:numId w:val="2"/>
              </w:numPr>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val="en-US" w:eastAsia="zh-CN"/>
              </w:rPr>
              <w:t>审查投标人开户许可证（或基本存款账户信息表）</w:t>
            </w:r>
            <w:r>
              <w:rPr>
                <w:rFonts w:hint="eastAsia" w:ascii="宋体" w:hAnsi="宋体" w:eastAsia="宋体" w:cs="宋体"/>
                <w:sz w:val="21"/>
                <w:szCs w:val="21"/>
                <w:lang w:val="en-US" w:eastAsia="zh-CN"/>
              </w:rPr>
              <w:t>及基本开户银行出具的近一年内的银行资信证明。</w:t>
            </w:r>
          </w:p>
          <w:p w14:paraId="1BAE16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以上两项投标人选择其中一项提供即可。</w:t>
            </w:r>
          </w:p>
        </w:tc>
      </w:tr>
      <w:tr w14:paraId="302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0E091F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F4C05E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09EAD99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2230370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4BA53B0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EB73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18E939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3E4470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8CF02A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BB13CE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68873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7020AEF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43B077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7EBEB80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0751A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6F432AC4">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4D1B75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1434361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4E9F1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30227E7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2ECEFD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A2677A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1A0B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400F219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654AF7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25C7B54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A31F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C7A27A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110E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7522D3A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0B36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044047E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9BC194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672A63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7600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7E04398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99729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4B32D98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0AA2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5F23ED5D">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07BBB58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4AFE0A5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36900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472E8C6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081025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4B70B8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1B7F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6156B2D">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B00C514">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7B128CB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12B0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1FCC7B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50719B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7943E1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5EB93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8A54D2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3E2E2C6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545416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72C52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761ACA77">
      <w:pPr>
        <w:pStyle w:val="7"/>
        <w:rPr>
          <w:rFonts w:hint="eastAsia" w:ascii="宋体" w:hAnsi="宋体" w:eastAsia="宋体" w:cs="宋体"/>
          <w:b/>
          <w:bCs/>
          <w:sz w:val="28"/>
          <w:szCs w:val="28"/>
          <w:lang w:val="en-US" w:eastAsia="zh-CN"/>
        </w:rPr>
      </w:pPr>
    </w:p>
    <w:p w14:paraId="250101DA">
      <w:pPr>
        <w:rPr>
          <w:rFonts w:hint="eastAsia" w:ascii="宋体" w:hAnsi="宋体" w:eastAsia="宋体" w:cs="宋体"/>
          <w:b/>
          <w:bCs/>
          <w:sz w:val="28"/>
          <w:szCs w:val="28"/>
          <w:lang w:val="en-US" w:eastAsia="zh-CN"/>
        </w:rPr>
      </w:pPr>
    </w:p>
    <w:p w14:paraId="4EFC58A0">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标2 综合评分表</w:t>
      </w:r>
    </w:p>
    <w:tbl>
      <w:tblPr>
        <w:tblStyle w:val="15"/>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93"/>
        <w:gridCol w:w="974"/>
        <w:gridCol w:w="6512"/>
      </w:tblGrid>
      <w:tr w14:paraId="5CFE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446B3B2B">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000000"/>
                <w:sz w:val="24"/>
                <w:szCs w:val="28"/>
              </w:rPr>
            </w:pPr>
            <w:r>
              <w:rPr>
                <w:rFonts w:hint="eastAsia" w:ascii="宋体" w:hAnsi="宋体" w:eastAsia="宋体" w:cs="宋体"/>
                <w:b/>
                <w:bCs/>
                <w:color w:val="000000"/>
                <w:sz w:val="24"/>
                <w:szCs w:val="28"/>
              </w:rPr>
              <w:t>类型</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50256C7">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000000"/>
                <w:sz w:val="24"/>
                <w:szCs w:val="28"/>
              </w:rPr>
            </w:pPr>
            <w:r>
              <w:rPr>
                <w:rFonts w:hint="eastAsia" w:ascii="宋体" w:hAnsi="宋体" w:eastAsia="宋体" w:cs="宋体"/>
                <w:b/>
                <w:bCs/>
                <w:color w:val="000000"/>
                <w:sz w:val="24"/>
                <w:szCs w:val="28"/>
              </w:rPr>
              <w:t>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638A6587">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000000"/>
                <w:sz w:val="24"/>
                <w:szCs w:val="28"/>
              </w:rPr>
            </w:pPr>
            <w:r>
              <w:rPr>
                <w:rFonts w:hint="eastAsia" w:ascii="宋体" w:hAnsi="宋体" w:eastAsia="宋体" w:cs="宋体"/>
                <w:b/>
                <w:bCs/>
                <w:color w:val="000000"/>
                <w:sz w:val="24"/>
                <w:szCs w:val="28"/>
              </w:rPr>
              <w:t>标准分</w:t>
            </w:r>
          </w:p>
        </w:tc>
        <w:tc>
          <w:tcPr>
            <w:tcW w:w="6512" w:type="dxa"/>
            <w:tcBorders>
              <w:top w:val="single" w:color="auto" w:sz="4" w:space="0"/>
              <w:left w:val="single" w:color="auto" w:sz="4" w:space="0"/>
              <w:bottom w:val="single" w:color="auto" w:sz="4" w:space="0"/>
              <w:right w:val="single" w:color="auto" w:sz="4" w:space="0"/>
            </w:tcBorders>
            <w:noWrap w:val="0"/>
            <w:vAlign w:val="center"/>
          </w:tcPr>
          <w:p w14:paraId="22A8CB5B">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000000"/>
                <w:sz w:val="24"/>
                <w:szCs w:val="28"/>
              </w:rPr>
            </w:pPr>
            <w:r>
              <w:rPr>
                <w:rFonts w:hint="eastAsia" w:ascii="宋体" w:hAnsi="宋体" w:eastAsia="宋体" w:cs="宋体"/>
                <w:b/>
                <w:bCs/>
                <w:color w:val="000000"/>
                <w:sz w:val="24"/>
                <w:szCs w:val="28"/>
              </w:rPr>
              <w:t>评分标准及标准分</w:t>
            </w:r>
          </w:p>
        </w:tc>
      </w:tr>
      <w:tr w14:paraId="0331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215" w:type="dxa"/>
            <w:tcBorders>
              <w:top w:val="single" w:color="auto" w:sz="4" w:space="0"/>
              <w:left w:val="single" w:color="auto" w:sz="4" w:space="0"/>
              <w:right w:val="single" w:color="auto" w:sz="4" w:space="0"/>
            </w:tcBorders>
            <w:noWrap w:val="0"/>
            <w:vAlign w:val="center"/>
          </w:tcPr>
          <w:p w14:paraId="0AA9F9D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价格</w:t>
            </w:r>
          </w:p>
          <w:p w14:paraId="359E1B1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部分</w:t>
            </w:r>
          </w:p>
          <w:p w14:paraId="28C319E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（20分）</w:t>
            </w:r>
          </w:p>
        </w:tc>
        <w:tc>
          <w:tcPr>
            <w:tcW w:w="993" w:type="dxa"/>
            <w:tcBorders>
              <w:top w:val="single" w:color="auto" w:sz="4" w:space="0"/>
              <w:left w:val="single" w:color="auto" w:sz="4" w:space="0"/>
              <w:right w:val="single" w:color="auto" w:sz="4" w:space="0"/>
            </w:tcBorders>
            <w:noWrap w:val="0"/>
            <w:vAlign w:val="center"/>
          </w:tcPr>
          <w:p w14:paraId="500AA93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报价</w:t>
            </w:r>
          </w:p>
        </w:tc>
        <w:tc>
          <w:tcPr>
            <w:tcW w:w="974" w:type="dxa"/>
            <w:tcBorders>
              <w:top w:val="single" w:color="auto" w:sz="4" w:space="0"/>
              <w:left w:val="single" w:color="auto" w:sz="4" w:space="0"/>
              <w:right w:val="single" w:color="auto" w:sz="4" w:space="0"/>
            </w:tcBorders>
            <w:noWrap w:val="0"/>
            <w:vAlign w:val="center"/>
          </w:tcPr>
          <w:p w14:paraId="6BFA744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rPr>
              <w:t>20</w:t>
            </w:r>
            <w:r>
              <w:rPr>
                <w:rFonts w:hint="eastAsia" w:ascii="宋体" w:hAnsi="宋体" w:eastAsia="宋体" w:cs="宋体"/>
                <w:color w:val="000000"/>
                <w:sz w:val="24"/>
                <w:szCs w:val="28"/>
                <w:lang w:val="en-US" w:eastAsia="zh-CN"/>
              </w:rPr>
              <w:t>分</w:t>
            </w:r>
          </w:p>
        </w:tc>
        <w:tc>
          <w:tcPr>
            <w:tcW w:w="6512" w:type="dxa"/>
            <w:tcBorders>
              <w:top w:val="single" w:color="auto" w:sz="4" w:space="0"/>
              <w:left w:val="single" w:color="auto" w:sz="4" w:space="0"/>
              <w:right w:val="single" w:color="auto" w:sz="4" w:space="0"/>
            </w:tcBorders>
            <w:noWrap w:val="0"/>
            <w:vAlign w:val="center"/>
          </w:tcPr>
          <w:p w14:paraId="5789118C">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综合评分法中的价格分统一采用低价优先法计算，即满足比选文件要求，且报价最低的供应商的价格为评分基准价：报价得分=（评分基准价／评审报价）×价格权值×100</w:t>
            </w:r>
          </w:p>
        </w:tc>
      </w:tr>
      <w:tr w14:paraId="72C4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215" w:type="dxa"/>
            <w:vMerge w:val="restart"/>
            <w:tcBorders>
              <w:left w:val="single" w:color="auto" w:sz="4" w:space="0"/>
              <w:right w:val="single" w:color="auto" w:sz="4" w:space="0"/>
            </w:tcBorders>
            <w:noWrap w:val="0"/>
            <w:vAlign w:val="center"/>
          </w:tcPr>
          <w:p w14:paraId="6ED184C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商务</w:t>
            </w:r>
          </w:p>
          <w:p w14:paraId="6F4233B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部分</w:t>
            </w:r>
          </w:p>
          <w:p w14:paraId="05D0D19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（30分）</w:t>
            </w:r>
          </w:p>
        </w:tc>
        <w:tc>
          <w:tcPr>
            <w:tcW w:w="993" w:type="dxa"/>
            <w:tcBorders>
              <w:top w:val="single" w:color="auto" w:sz="4" w:space="0"/>
              <w:left w:val="single" w:color="auto" w:sz="4" w:space="0"/>
              <w:right w:val="single" w:color="auto" w:sz="4" w:space="0"/>
            </w:tcBorders>
            <w:noWrap w:val="0"/>
            <w:vAlign w:val="center"/>
          </w:tcPr>
          <w:p w14:paraId="59F827C4">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类似项目业绩</w:t>
            </w:r>
          </w:p>
        </w:tc>
        <w:tc>
          <w:tcPr>
            <w:tcW w:w="974" w:type="dxa"/>
            <w:tcBorders>
              <w:top w:val="single" w:color="auto" w:sz="4" w:space="0"/>
              <w:left w:val="single" w:color="auto" w:sz="4" w:space="0"/>
              <w:right w:val="single" w:color="auto" w:sz="4" w:space="0"/>
            </w:tcBorders>
            <w:noWrap w:val="0"/>
            <w:vAlign w:val="center"/>
          </w:tcPr>
          <w:p w14:paraId="3B75A85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15分</w:t>
            </w:r>
          </w:p>
        </w:tc>
        <w:tc>
          <w:tcPr>
            <w:tcW w:w="6512" w:type="dxa"/>
            <w:tcBorders>
              <w:top w:val="single" w:color="auto" w:sz="4" w:space="0"/>
              <w:left w:val="single" w:color="auto" w:sz="4" w:space="0"/>
              <w:right w:val="single" w:color="auto" w:sz="4" w:space="0"/>
            </w:tcBorders>
            <w:noWrap w:val="0"/>
            <w:vAlign w:val="center"/>
          </w:tcPr>
          <w:p w14:paraId="612E4AC9">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提供投标人202</w:t>
            </w:r>
            <w:r>
              <w:rPr>
                <w:rFonts w:hint="eastAsia" w:ascii="宋体" w:hAnsi="宋体" w:eastAsia="宋体" w:cs="宋体"/>
                <w:color w:val="000000"/>
                <w:sz w:val="24"/>
                <w:szCs w:val="28"/>
                <w:lang w:val="en-US" w:eastAsia="zh-CN"/>
              </w:rPr>
              <w:t>2</w:t>
            </w:r>
            <w:r>
              <w:rPr>
                <w:rFonts w:hint="eastAsia" w:ascii="宋体" w:hAnsi="宋体" w:eastAsia="宋体" w:cs="宋体"/>
                <w:color w:val="000000"/>
                <w:sz w:val="24"/>
                <w:szCs w:val="28"/>
              </w:rPr>
              <w:t>年</w:t>
            </w:r>
            <w:r>
              <w:rPr>
                <w:rFonts w:hint="eastAsia" w:ascii="宋体" w:hAnsi="宋体" w:eastAsia="宋体" w:cs="宋体"/>
                <w:color w:val="000000"/>
                <w:sz w:val="24"/>
                <w:szCs w:val="28"/>
                <w:lang w:val="en-US" w:eastAsia="zh-CN"/>
              </w:rPr>
              <w:t>5</w:t>
            </w:r>
            <w:r>
              <w:rPr>
                <w:rFonts w:hint="eastAsia" w:ascii="宋体" w:hAnsi="宋体" w:eastAsia="宋体" w:cs="宋体"/>
                <w:color w:val="000000"/>
                <w:sz w:val="24"/>
                <w:szCs w:val="28"/>
              </w:rPr>
              <w:t>月至今类似项目业绩（医院的总体发展建设规划、项目建议书、可行性研究报告或</w:t>
            </w:r>
            <w:r>
              <w:rPr>
                <w:rFonts w:hint="eastAsia" w:ascii="宋体" w:hAnsi="宋体" w:eastAsia="宋体" w:cs="宋体"/>
                <w:color w:val="000000"/>
                <w:sz w:val="24"/>
                <w:szCs w:val="28"/>
                <w:lang w:val="en-US" w:eastAsia="zh-CN"/>
              </w:rPr>
              <w:t>参与</w:t>
            </w:r>
            <w:r>
              <w:rPr>
                <w:rFonts w:hint="eastAsia" w:ascii="宋体" w:hAnsi="宋体" w:eastAsia="宋体" w:cs="宋体"/>
                <w:color w:val="000000"/>
                <w:sz w:val="24"/>
                <w:szCs w:val="28"/>
              </w:rPr>
              <w:t>过类似工程项目</w:t>
            </w:r>
            <w:r>
              <w:rPr>
                <w:rFonts w:hint="eastAsia" w:ascii="宋体" w:hAnsi="宋体" w:eastAsia="宋体" w:cs="宋体"/>
                <w:color w:val="000000"/>
                <w:sz w:val="24"/>
                <w:szCs w:val="28"/>
                <w:lang w:eastAsia="zh-CN"/>
              </w:rPr>
              <w:t>的</w:t>
            </w:r>
            <w:r>
              <w:rPr>
                <w:rFonts w:hint="eastAsia" w:ascii="宋体" w:hAnsi="宋体" w:eastAsia="宋体" w:cs="宋体"/>
                <w:color w:val="000000"/>
                <w:sz w:val="24"/>
                <w:szCs w:val="28"/>
                <w:lang w:val="en-US" w:eastAsia="zh-CN"/>
              </w:rPr>
              <w:t>建筑设计、工艺设计</w:t>
            </w:r>
            <w:r>
              <w:rPr>
                <w:rFonts w:hint="eastAsia" w:ascii="宋体" w:hAnsi="宋体" w:eastAsia="宋体" w:cs="宋体"/>
                <w:color w:val="000000"/>
                <w:sz w:val="24"/>
                <w:szCs w:val="28"/>
              </w:rPr>
              <w:t>）。不提供或提供不符合要求者不得分，每提供1份得5分，最高得15分。</w:t>
            </w:r>
          </w:p>
          <w:p w14:paraId="755784C3">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注：业绩(销售或服务合同)需原件彩色扫描件或中标通知书原件彩色扫描件。合同金额和服务名称必须清晰，否则不予评分。</w:t>
            </w:r>
          </w:p>
        </w:tc>
      </w:tr>
      <w:tr w14:paraId="5998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215" w:type="dxa"/>
            <w:vMerge w:val="continue"/>
            <w:tcBorders>
              <w:left w:val="single" w:color="auto" w:sz="4" w:space="0"/>
              <w:right w:val="single" w:color="auto" w:sz="4" w:space="0"/>
            </w:tcBorders>
            <w:noWrap w:val="0"/>
            <w:vAlign w:val="center"/>
          </w:tcPr>
          <w:p w14:paraId="775F03E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p>
        </w:tc>
        <w:tc>
          <w:tcPr>
            <w:tcW w:w="993" w:type="dxa"/>
            <w:tcBorders>
              <w:top w:val="single" w:color="auto" w:sz="4" w:space="0"/>
              <w:left w:val="single" w:color="auto" w:sz="4" w:space="0"/>
              <w:right w:val="single" w:color="auto" w:sz="4" w:space="0"/>
            </w:tcBorders>
            <w:noWrap w:val="0"/>
            <w:vAlign w:val="center"/>
          </w:tcPr>
          <w:p w14:paraId="1524C42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服务团队人员配备</w:t>
            </w:r>
          </w:p>
        </w:tc>
        <w:tc>
          <w:tcPr>
            <w:tcW w:w="974" w:type="dxa"/>
            <w:tcBorders>
              <w:top w:val="single" w:color="auto" w:sz="4" w:space="0"/>
              <w:left w:val="single" w:color="auto" w:sz="4" w:space="0"/>
              <w:right w:val="single" w:color="auto" w:sz="4" w:space="0"/>
            </w:tcBorders>
            <w:noWrap w:val="0"/>
            <w:vAlign w:val="center"/>
          </w:tcPr>
          <w:p w14:paraId="07F8441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10分</w:t>
            </w:r>
          </w:p>
        </w:tc>
        <w:tc>
          <w:tcPr>
            <w:tcW w:w="6512" w:type="dxa"/>
            <w:tcBorders>
              <w:top w:val="single" w:color="auto" w:sz="4" w:space="0"/>
              <w:left w:val="single" w:color="auto" w:sz="4" w:space="0"/>
              <w:right w:val="single" w:color="auto" w:sz="4" w:space="0"/>
            </w:tcBorders>
            <w:noWrap w:val="0"/>
            <w:vAlign w:val="center"/>
          </w:tcPr>
          <w:p w14:paraId="0603B3DB">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拟投入本项目的服务团队人员不少于8人，专业完善，完全满足或高于项目需求，并提供相应证明文件，得10分；</w:t>
            </w:r>
          </w:p>
          <w:p w14:paraId="07FAC2CC">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拟投入本项目的服务团队人员不少于6人，专业较完善，基本满足项目需求，并提供相应证明文件，得7分；</w:t>
            </w:r>
          </w:p>
          <w:p w14:paraId="33F42A69">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拟投入本项目的服务团队人员数量不少于4人，专业基本完善，能满足项目需求，未提供相应证明文件，得4分；</w:t>
            </w:r>
          </w:p>
          <w:p w14:paraId="7DFFCB80">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拟投入本项目的服务团队人员不少于2人，专业不完善，不能满足项目需求，未提供相应证明文件，得1分；</w:t>
            </w:r>
          </w:p>
          <w:p w14:paraId="4F90CD71">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未提供服务团队人员，得0分。</w:t>
            </w:r>
          </w:p>
          <w:p w14:paraId="5AB7FAB7">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注：服务团队人员相应证明文件</w:t>
            </w:r>
            <w:r>
              <w:rPr>
                <w:rFonts w:hint="eastAsia" w:ascii="宋体" w:hAnsi="宋体" w:eastAsia="宋体" w:cs="宋体"/>
                <w:color w:val="000000"/>
                <w:sz w:val="24"/>
                <w:szCs w:val="28"/>
                <w:lang w:val="en-US" w:eastAsia="zh-CN"/>
              </w:rPr>
              <w:t>包括身份证扫描件，学历证书或资质证书扫描件</w:t>
            </w:r>
            <w:r>
              <w:rPr>
                <w:rFonts w:hint="eastAsia" w:ascii="宋体" w:hAnsi="宋体" w:eastAsia="宋体" w:cs="宋体"/>
                <w:color w:val="000000"/>
                <w:sz w:val="24"/>
                <w:szCs w:val="28"/>
              </w:rPr>
              <w:t>。</w:t>
            </w:r>
          </w:p>
        </w:tc>
      </w:tr>
      <w:tr w14:paraId="1578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15" w:type="dxa"/>
            <w:vMerge w:val="continue"/>
            <w:tcBorders>
              <w:left w:val="single" w:color="auto" w:sz="4" w:space="0"/>
              <w:right w:val="single" w:color="auto" w:sz="4" w:space="0"/>
            </w:tcBorders>
            <w:noWrap w:val="0"/>
            <w:vAlign w:val="center"/>
          </w:tcPr>
          <w:p w14:paraId="116F673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2537BD7">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项目负责人业绩</w:t>
            </w:r>
          </w:p>
        </w:tc>
        <w:tc>
          <w:tcPr>
            <w:tcW w:w="974" w:type="dxa"/>
            <w:tcBorders>
              <w:top w:val="single" w:color="auto" w:sz="4" w:space="0"/>
              <w:left w:val="single" w:color="auto" w:sz="4" w:space="0"/>
              <w:bottom w:val="nil"/>
              <w:right w:val="single" w:color="auto" w:sz="4" w:space="0"/>
            </w:tcBorders>
            <w:noWrap w:val="0"/>
            <w:vAlign w:val="center"/>
          </w:tcPr>
          <w:p w14:paraId="7409285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5分</w:t>
            </w:r>
          </w:p>
        </w:tc>
        <w:tc>
          <w:tcPr>
            <w:tcW w:w="6512" w:type="dxa"/>
            <w:tcBorders>
              <w:top w:val="single" w:color="auto" w:sz="4" w:space="0"/>
              <w:left w:val="single" w:color="auto" w:sz="4" w:space="0"/>
              <w:right w:val="single" w:color="auto" w:sz="4" w:space="0"/>
            </w:tcBorders>
            <w:noWrap w:val="0"/>
            <w:vAlign w:val="center"/>
          </w:tcPr>
          <w:p w14:paraId="3AE3D336">
            <w:pPr>
              <w:keepNext w:val="0"/>
              <w:keepLines w:val="0"/>
              <w:numPr>
                <w:ilvl w:val="0"/>
                <w:numId w:val="3"/>
              </w:numPr>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编制负责人具有高级工程师及以上职称证书，并提供证书复印件、加盖投标单位公章</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得5分。</w:t>
            </w:r>
          </w:p>
          <w:p w14:paraId="3A60D2EA">
            <w:pPr>
              <w:keepNext w:val="0"/>
              <w:keepLines w:val="0"/>
              <w:numPr>
                <w:ilvl w:val="0"/>
                <w:numId w:val="3"/>
              </w:numPr>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编制负责人具有工程师、助理工程师职称证书，并提供证书复印件，加盖投标单位公章</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得3分。</w:t>
            </w:r>
          </w:p>
          <w:p w14:paraId="77F8ED50">
            <w:pPr>
              <w:keepNext w:val="0"/>
              <w:keepLines w:val="0"/>
              <w:numPr>
                <w:ilvl w:val="0"/>
                <w:numId w:val="3"/>
              </w:numPr>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资料不全或</w:t>
            </w:r>
            <w:r>
              <w:rPr>
                <w:rFonts w:hint="eastAsia" w:ascii="宋体" w:hAnsi="宋体" w:eastAsia="宋体" w:cs="宋体"/>
                <w:color w:val="000000"/>
                <w:sz w:val="24"/>
                <w:szCs w:val="28"/>
              </w:rPr>
              <w:t>未提供，得0分。</w:t>
            </w:r>
          </w:p>
        </w:tc>
      </w:tr>
      <w:tr w14:paraId="6B8D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215" w:type="dxa"/>
            <w:vMerge w:val="restart"/>
            <w:tcBorders>
              <w:left w:val="single" w:color="auto" w:sz="4" w:space="0"/>
              <w:right w:val="single" w:color="auto" w:sz="4" w:space="0"/>
            </w:tcBorders>
            <w:noWrap w:val="0"/>
            <w:vAlign w:val="center"/>
          </w:tcPr>
          <w:p w14:paraId="2BB543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bookmarkStart w:id="3" w:name="OLE_LINK14"/>
            <w:r>
              <w:rPr>
                <w:rFonts w:hint="eastAsia" w:ascii="宋体" w:hAnsi="宋体" w:eastAsia="宋体" w:cs="宋体"/>
                <w:color w:val="000000"/>
                <w:sz w:val="24"/>
                <w:szCs w:val="28"/>
              </w:rPr>
              <w:t>技术</w:t>
            </w:r>
          </w:p>
          <w:p w14:paraId="2382D53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部分</w:t>
            </w:r>
          </w:p>
          <w:bookmarkEnd w:id="3"/>
          <w:p w14:paraId="2CC8DDD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（50分）</w:t>
            </w:r>
          </w:p>
        </w:tc>
        <w:tc>
          <w:tcPr>
            <w:tcW w:w="993" w:type="dxa"/>
            <w:tcBorders>
              <w:left w:val="single" w:color="auto" w:sz="4" w:space="0"/>
              <w:right w:val="single" w:color="auto" w:sz="4" w:space="0"/>
            </w:tcBorders>
            <w:noWrap w:val="0"/>
            <w:vAlign w:val="center"/>
          </w:tcPr>
          <w:p w14:paraId="3C108AA9">
            <w:pPr>
              <w:keepNext w:val="0"/>
              <w:keepLines w:val="0"/>
              <w:suppressLineNumbers w:val="0"/>
              <w:snapToGrid w:val="0"/>
              <w:spacing w:before="0" w:beforeAutospacing="0" w:after="0" w:afterAutospacing="0"/>
              <w:ind w:left="0" w:right="0"/>
              <w:jc w:val="left"/>
              <w:rPr>
                <w:rFonts w:hint="eastAsia" w:ascii="宋体" w:hAnsi="宋体" w:eastAsia="宋体" w:cs="宋体"/>
                <w:color w:val="000000"/>
                <w:sz w:val="24"/>
                <w:szCs w:val="28"/>
              </w:rPr>
            </w:pPr>
            <w:r>
              <w:rPr>
                <w:rFonts w:hint="eastAsia" w:ascii="宋体" w:hAnsi="宋体" w:eastAsia="宋体" w:cs="宋体"/>
                <w:color w:val="000000"/>
                <w:sz w:val="24"/>
                <w:szCs w:val="28"/>
              </w:rPr>
              <w:t>综合性能</w:t>
            </w:r>
            <w:bookmarkStart w:id="4" w:name="OLE_LINK1"/>
            <w:r>
              <w:rPr>
                <w:rFonts w:hint="eastAsia" w:ascii="宋体" w:hAnsi="宋体" w:eastAsia="宋体" w:cs="宋体"/>
                <w:color w:val="000000"/>
                <w:sz w:val="24"/>
                <w:szCs w:val="28"/>
              </w:rPr>
              <w:t>提升方案</w:t>
            </w:r>
            <w:bookmarkEnd w:id="4"/>
          </w:p>
        </w:tc>
        <w:tc>
          <w:tcPr>
            <w:tcW w:w="974" w:type="dxa"/>
            <w:tcBorders>
              <w:left w:val="single" w:color="auto" w:sz="4" w:space="0"/>
              <w:right w:val="single" w:color="auto" w:sz="4" w:space="0"/>
            </w:tcBorders>
            <w:noWrap w:val="0"/>
            <w:vAlign w:val="center"/>
          </w:tcPr>
          <w:p w14:paraId="083710C1">
            <w:pPr>
              <w:keepNext w:val="0"/>
              <w:keepLines w:val="0"/>
              <w:suppressLineNumbers w:val="0"/>
              <w:spacing w:before="0" w:beforeAutospacing="0" w:after="0" w:afterAutospacing="0"/>
              <w:ind w:left="0" w:right="58"/>
              <w:jc w:val="center"/>
              <w:rPr>
                <w:rFonts w:hint="eastAsia" w:ascii="宋体" w:hAnsi="宋体" w:eastAsia="宋体" w:cs="宋体"/>
                <w:color w:val="000000"/>
                <w:sz w:val="24"/>
                <w:szCs w:val="28"/>
              </w:rPr>
            </w:pPr>
            <w:r>
              <w:rPr>
                <w:rFonts w:hint="eastAsia" w:ascii="宋体" w:hAnsi="宋体" w:eastAsia="宋体" w:cs="宋体"/>
                <w:color w:val="000000"/>
                <w:sz w:val="24"/>
                <w:szCs w:val="28"/>
              </w:rPr>
              <w:t>12分</w:t>
            </w:r>
          </w:p>
        </w:tc>
        <w:tc>
          <w:tcPr>
            <w:tcW w:w="6512" w:type="dxa"/>
            <w:tcBorders>
              <w:left w:val="single" w:color="auto" w:sz="4" w:space="0"/>
              <w:right w:val="single" w:color="auto" w:sz="4" w:space="0"/>
            </w:tcBorders>
            <w:noWrap w:val="0"/>
            <w:vAlign w:val="center"/>
          </w:tcPr>
          <w:p w14:paraId="7443AA8B">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bookmarkStart w:id="5" w:name="OLE_LINK6"/>
            <w:r>
              <w:rPr>
                <w:rFonts w:hint="eastAsia" w:ascii="宋体" w:hAnsi="宋体" w:eastAsia="宋体" w:cs="宋体"/>
                <w:sz w:val="24"/>
                <w:szCs w:val="24"/>
                <w:lang w:val="en-US" w:eastAsia="zh-CN"/>
              </w:rPr>
              <w:t>应对东胜院区</w:t>
            </w:r>
            <w:r>
              <w:rPr>
                <w:rFonts w:hint="eastAsia" w:ascii="宋体" w:hAnsi="宋体" w:eastAsia="宋体" w:cs="宋体"/>
                <w:sz w:val="24"/>
                <w:szCs w:val="24"/>
              </w:rPr>
              <w:t>现有建筑进行</w:t>
            </w:r>
            <w:r>
              <w:rPr>
                <w:rFonts w:hint="eastAsia" w:ascii="宋体" w:hAnsi="宋体" w:eastAsia="宋体" w:cs="宋体"/>
                <w:sz w:val="24"/>
                <w:szCs w:val="24"/>
                <w:lang w:val="en-US" w:eastAsia="zh-CN"/>
              </w:rPr>
              <w:t>问题分析，并针对性提出</w:t>
            </w:r>
            <w:r>
              <w:rPr>
                <w:rFonts w:hint="eastAsia" w:ascii="宋体" w:hAnsi="宋体" w:eastAsia="宋体" w:cs="宋体"/>
                <w:color w:val="000000"/>
                <w:sz w:val="24"/>
                <w:szCs w:val="28"/>
              </w:rPr>
              <w:t>提升方案</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应至少包括</w:t>
            </w:r>
            <w:r>
              <w:rPr>
                <w:rFonts w:hint="eastAsia" w:ascii="宋体" w:hAnsi="宋体" w:eastAsia="宋体" w:cs="宋体"/>
                <w:color w:val="000000"/>
                <w:sz w:val="24"/>
                <w:szCs w:val="28"/>
              </w:rPr>
              <w:t>功能分析图、交通流线分析图、绿化景观分析图等相关图纸</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切合项目实际、设计合理。</w:t>
            </w:r>
          </w:p>
          <w:p w14:paraId="4F518FE1">
            <w:pPr>
              <w:keepNext w:val="0"/>
              <w:keepLines w:val="0"/>
              <w:numPr>
                <w:ilvl w:val="0"/>
                <w:numId w:val="4"/>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设计合理，得</w:t>
            </w:r>
            <w:r>
              <w:rPr>
                <w:rFonts w:hint="eastAsia" w:ascii="宋体" w:hAnsi="宋体" w:eastAsia="宋体" w:cs="宋体"/>
                <w:color w:val="000000"/>
                <w:sz w:val="24"/>
                <w:szCs w:val="28"/>
                <w:lang w:val="en-US" w:eastAsia="zh-CN"/>
              </w:rPr>
              <w:t>12</w:t>
            </w:r>
            <w:r>
              <w:rPr>
                <w:rFonts w:hint="eastAsia" w:ascii="宋体" w:hAnsi="宋体" w:eastAsia="宋体" w:cs="宋体"/>
                <w:color w:val="000000"/>
                <w:sz w:val="24"/>
                <w:szCs w:val="28"/>
              </w:rPr>
              <w:t>分；</w:t>
            </w:r>
          </w:p>
          <w:p w14:paraId="7527C5C2">
            <w:pPr>
              <w:keepNext w:val="0"/>
              <w:keepLines w:val="0"/>
              <w:numPr>
                <w:ilvl w:val="0"/>
                <w:numId w:val="4"/>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设计较合理</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r>
              <w:rPr>
                <w:rFonts w:hint="eastAsia" w:ascii="宋体" w:hAnsi="宋体" w:eastAsia="宋体" w:cs="宋体"/>
                <w:color w:val="000000"/>
                <w:sz w:val="24"/>
                <w:szCs w:val="28"/>
                <w:lang w:val="en-US" w:eastAsia="zh-CN"/>
              </w:rPr>
              <w:t>8</w:t>
            </w:r>
            <w:r>
              <w:rPr>
                <w:rFonts w:hint="eastAsia" w:ascii="宋体" w:hAnsi="宋体" w:eastAsia="宋体" w:cs="宋体"/>
                <w:color w:val="000000"/>
                <w:sz w:val="24"/>
                <w:szCs w:val="28"/>
              </w:rPr>
              <w:t>分；</w:t>
            </w:r>
          </w:p>
          <w:p w14:paraId="160D7893">
            <w:pPr>
              <w:keepNext w:val="0"/>
              <w:keepLines w:val="0"/>
              <w:numPr>
                <w:ilvl w:val="0"/>
                <w:numId w:val="4"/>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设计欠合理</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r>
              <w:rPr>
                <w:rFonts w:hint="eastAsia" w:ascii="宋体" w:hAnsi="宋体" w:eastAsia="宋体" w:cs="宋体"/>
                <w:color w:val="000000"/>
                <w:sz w:val="24"/>
                <w:szCs w:val="28"/>
                <w:lang w:val="en-US" w:eastAsia="zh-CN"/>
              </w:rPr>
              <w:t>4</w:t>
            </w:r>
            <w:r>
              <w:rPr>
                <w:rFonts w:hint="eastAsia" w:ascii="宋体" w:hAnsi="宋体" w:eastAsia="宋体" w:cs="宋体"/>
                <w:color w:val="000000"/>
                <w:sz w:val="24"/>
                <w:szCs w:val="28"/>
              </w:rPr>
              <w:t>分；</w:t>
            </w:r>
          </w:p>
          <w:p w14:paraId="56AC8227">
            <w:pPr>
              <w:keepNext w:val="0"/>
              <w:keepLines w:val="0"/>
              <w:numPr>
                <w:ilvl w:val="0"/>
                <w:numId w:val="4"/>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未提供相关内容，得0分</w:t>
            </w:r>
            <w:r>
              <w:rPr>
                <w:rFonts w:hint="eastAsia" w:ascii="宋体" w:hAnsi="宋体" w:eastAsia="宋体" w:cs="宋体"/>
                <w:color w:val="000000"/>
                <w:spacing w:val="-6"/>
                <w:sz w:val="24"/>
                <w:szCs w:val="28"/>
              </w:rPr>
              <w:t>。</w:t>
            </w:r>
            <w:bookmarkEnd w:id="5"/>
          </w:p>
        </w:tc>
      </w:tr>
      <w:tr w14:paraId="326C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215" w:type="dxa"/>
            <w:vMerge w:val="continue"/>
            <w:tcBorders>
              <w:left w:val="single" w:color="auto" w:sz="4" w:space="0"/>
              <w:right w:val="single" w:color="auto" w:sz="4" w:space="0"/>
            </w:tcBorders>
            <w:noWrap w:val="0"/>
            <w:vAlign w:val="center"/>
          </w:tcPr>
          <w:p w14:paraId="0E73BA3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p>
        </w:tc>
        <w:tc>
          <w:tcPr>
            <w:tcW w:w="993" w:type="dxa"/>
            <w:tcBorders>
              <w:left w:val="single" w:color="auto" w:sz="4" w:space="0"/>
              <w:right w:val="single" w:color="auto" w:sz="4" w:space="0"/>
            </w:tcBorders>
            <w:noWrap w:val="0"/>
            <w:vAlign w:val="center"/>
          </w:tcPr>
          <w:p w14:paraId="1656D2E5">
            <w:pPr>
              <w:keepNext w:val="0"/>
              <w:keepLines w:val="0"/>
              <w:suppressLineNumbers w:val="0"/>
              <w:snapToGrid w:val="0"/>
              <w:spacing w:before="0" w:beforeAutospacing="0" w:after="0" w:afterAutospacing="0"/>
              <w:ind w:left="0" w:right="0"/>
              <w:jc w:val="left"/>
              <w:rPr>
                <w:rFonts w:hint="eastAsia" w:ascii="宋体" w:hAnsi="宋体" w:eastAsia="宋体" w:cs="宋体"/>
                <w:color w:val="000000"/>
                <w:sz w:val="24"/>
                <w:szCs w:val="28"/>
              </w:rPr>
            </w:pPr>
            <w:bookmarkStart w:id="6" w:name="OLE_LINK4"/>
            <w:r>
              <w:rPr>
                <w:rFonts w:hint="eastAsia" w:ascii="宋体" w:hAnsi="宋体" w:eastAsia="宋体" w:cs="宋体"/>
                <w:color w:val="000000"/>
                <w:sz w:val="24"/>
                <w:szCs w:val="28"/>
              </w:rPr>
              <w:t>总体提升效果图</w:t>
            </w:r>
            <w:bookmarkEnd w:id="6"/>
          </w:p>
        </w:tc>
        <w:tc>
          <w:tcPr>
            <w:tcW w:w="974" w:type="dxa"/>
            <w:tcBorders>
              <w:left w:val="single" w:color="auto" w:sz="4" w:space="0"/>
              <w:right w:val="single" w:color="auto" w:sz="4" w:space="0"/>
            </w:tcBorders>
            <w:noWrap w:val="0"/>
            <w:vAlign w:val="center"/>
          </w:tcPr>
          <w:p w14:paraId="6DCA8992">
            <w:pPr>
              <w:keepNext w:val="0"/>
              <w:keepLines w:val="0"/>
              <w:suppressLineNumbers w:val="0"/>
              <w:spacing w:before="0" w:beforeAutospacing="0" w:after="0" w:afterAutospacing="0"/>
              <w:ind w:left="0" w:right="58"/>
              <w:jc w:val="center"/>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10</w:t>
            </w:r>
            <w:r>
              <w:rPr>
                <w:rFonts w:hint="eastAsia" w:ascii="宋体" w:hAnsi="宋体" w:eastAsia="宋体" w:cs="宋体"/>
                <w:color w:val="000000"/>
                <w:sz w:val="24"/>
                <w:szCs w:val="28"/>
              </w:rPr>
              <w:t>分</w:t>
            </w:r>
          </w:p>
        </w:tc>
        <w:tc>
          <w:tcPr>
            <w:tcW w:w="6512" w:type="dxa"/>
            <w:tcBorders>
              <w:left w:val="single" w:color="auto" w:sz="4" w:space="0"/>
              <w:right w:val="single" w:color="auto" w:sz="4" w:space="0"/>
            </w:tcBorders>
            <w:noWrap w:val="0"/>
            <w:vAlign w:val="center"/>
          </w:tcPr>
          <w:p w14:paraId="721C6E78">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lang w:eastAsia="zh-CN"/>
              </w:rPr>
            </w:pPr>
            <w:r>
              <w:rPr>
                <w:rFonts w:hint="eastAsia" w:ascii="宋体" w:hAnsi="宋体" w:eastAsia="宋体" w:cs="宋体"/>
                <w:color w:val="000000"/>
                <w:sz w:val="24"/>
                <w:szCs w:val="28"/>
              </w:rPr>
              <w:t>总体提升</w:t>
            </w:r>
            <w:r>
              <w:rPr>
                <w:rFonts w:hint="eastAsia" w:ascii="宋体" w:hAnsi="宋体" w:eastAsia="宋体" w:cs="宋体"/>
                <w:color w:val="000000"/>
                <w:sz w:val="24"/>
                <w:szCs w:val="28"/>
                <w:lang w:val="en-US" w:eastAsia="zh-CN"/>
              </w:rPr>
              <w:t>效果</w:t>
            </w:r>
            <w:r>
              <w:rPr>
                <w:rFonts w:hint="eastAsia" w:ascii="宋体" w:hAnsi="宋体" w:eastAsia="宋体" w:cs="宋体"/>
                <w:color w:val="000000"/>
                <w:sz w:val="24"/>
                <w:szCs w:val="28"/>
              </w:rPr>
              <w:t>方案现代、美观，体现</w:t>
            </w:r>
            <w:r>
              <w:rPr>
                <w:rFonts w:hint="eastAsia" w:ascii="宋体" w:hAnsi="宋体" w:eastAsia="宋体" w:cs="宋体"/>
                <w:color w:val="000000"/>
                <w:sz w:val="24"/>
                <w:szCs w:val="28"/>
                <w:lang w:val="en-US" w:eastAsia="zh-CN"/>
              </w:rPr>
              <w:t>东胜院区</w:t>
            </w:r>
            <w:r>
              <w:rPr>
                <w:rFonts w:hint="eastAsia" w:ascii="宋体" w:hAnsi="宋体" w:eastAsia="宋体" w:cs="宋体"/>
                <w:color w:val="000000"/>
                <w:sz w:val="24"/>
                <w:szCs w:val="28"/>
              </w:rPr>
              <w:t>整体风貌</w:t>
            </w:r>
            <w:r>
              <w:rPr>
                <w:rFonts w:hint="eastAsia" w:ascii="宋体" w:hAnsi="宋体" w:eastAsia="宋体" w:cs="宋体"/>
                <w:color w:val="000000"/>
                <w:sz w:val="24"/>
                <w:szCs w:val="28"/>
                <w:lang w:eastAsia="zh-CN"/>
              </w:rPr>
              <w:t>，提供整体形象效果图。</w:t>
            </w:r>
          </w:p>
          <w:p w14:paraId="565CBA80">
            <w:pPr>
              <w:keepNext w:val="0"/>
              <w:keepLines w:val="0"/>
              <w:numPr>
                <w:ilvl w:val="0"/>
                <w:numId w:val="5"/>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bookmarkStart w:id="7" w:name="OLE_LINK45"/>
            <w:r>
              <w:rPr>
                <w:rFonts w:hint="eastAsia" w:ascii="宋体" w:hAnsi="宋体" w:eastAsia="宋体" w:cs="宋体"/>
                <w:color w:val="000000"/>
                <w:sz w:val="24"/>
                <w:szCs w:val="28"/>
                <w:lang w:val="en-US" w:eastAsia="zh-CN"/>
              </w:rPr>
              <w:t>东胜院区</w:t>
            </w:r>
            <w:r>
              <w:rPr>
                <w:rFonts w:hint="eastAsia" w:ascii="宋体" w:hAnsi="宋体" w:eastAsia="宋体" w:cs="宋体"/>
                <w:color w:val="000000"/>
                <w:sz w:val="24"/>
                <w:szCs w:val="28"/>
              </w:rPr>
              <w:t>整体形象效果图</w:t>
            </w:r>
            <w:r>
              <w:rPr>
                <w:rFonts w:hint="eastAsia" w:ascii="宋体" w:hAnsi="宋体" w:eastAsia="宋体" w:cs="宋体"/>
                <w:color w:val="000000"/>
                <w:sz w:val="24"/>
                <w:szCs w:val="28"/>
                <w:lang w:val="en-US" w:eastAsia="zh-CN"/>
              </w:rPr>
              <w:t>美观，数量不少于3张</w:t>
            </w:r>
            <w:r>
              <w:rPr>
                <w:rFonts w:hint="eastAsia" w:ascii="宋体" w:hAnsi="宋体" w:eastAsia="宋体" w:cs="宋体"/>
                <w:color w:val="000000"/>
                <w:sz w:val="24"/>
                <w:szCs w:val="28"/>
              </w:rPr>
              <w:t>，</w:t>
            </w:r>
            <w:bookmarkEnd w:id="7"/>
            <w:r>
              <w:rPr>
                <w:rFonts w:hint="eastAsia" w:ascii="宋体" w:hAnsi="宋体" w:eastAsia="宋体" w:cs="宋体"/>
                <w:color w:val="000000"/>
                <w:sz w:val="24"/>
                <w:szCs w:val="28"/>
              </w:rPr>
              <w:t>得</w:t>
            </w:r>
            <w:r>
              <w:rPr>
                <w:rFonts w:hint="eastAsia" w:ascii="宋体" w:hAnsi="宋体" w:eastAsia="宋体" w:cs="宋体"/>
                <w:color w:val="000000"/>
                <w:sz w:val="24"/>
                <w:szCs w:val="28"/>
                <w:lang w:val="en-US" w:eastAsia="zh-CN"/>
              </w:rPr>
              <w:t>10</w:t>
            </w:r>
            <w:r>
              <w:rPr>
                <w:rFonts w:hint="eastAsia" w:ascii="宋体" w:hAnsi="宋体" w:eastAsia="宋体" w:cs="宋体"/>
                <w:color w:val="000000"/>
                <w:sz w:val="24"/>
                <w:szCs w:val="28"/>
              </w:rPr>
              <w:t>分；</w:t>
            </w:r>
          </w:p>
          <w:p w14:paraId="757160F5">
            <w:pPr>
              <w:keepNext w:val="0"/>
              <w:keepLines w:val="0"/>
              <w:numPr>
                <w:ilvl w:val="0"/>
                <w:numId w:val="5"/>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bookmarkStart w:id="8" w:name="OLE_LINK46"/>
            <w:r>
              <w:rPr>
                <w:rFonts w:hint="eastAsia" w:ascii="宋体" w:hAnsi="宋体" w:eastAsia="宋体" w:cs="宋体"/>
                <w:color w:val="000000"/>
                <w:sz w:val="24"/>
                <w:szCs w:val="28"/>
                <w:lang w:val="en-US" w:eastAsia="zh-CN"/>
              </w:rPr>
              <w:t>东胜院区</w:t>
            </w:r>
            <w:r>
              <w:rPr>
                <w:rFonts w:hint="eastAsia" w:ascii="宋体" w:hAnsi="宋体" w:eastAsia="宋体" w:cs="宋体"/>
                <w:color w:val="000000"/>
                <w:sz w:val="24"/>
                <w:szCs w:val="28"/>
              </w:rPr>
              <w:t>整体形象效果图</w:t>
            </w:r>
            <w:r>
              <w:rPr>
                <w:rFonts w:hint="eastAsia" w:ascii="宋体" w:hAnsi="宋体" w:eastAsia="宋体" w:cs="宋体"/>
                <w:color w:val="000000"/>
                <w:sz w:val="24"/>
                <w:szCs w:val="28"/>
                <w:lang w:val="en-US" w:eastAsia="zh-CN"/>
              </w:rPr>
              <w:t>较美观，数量不少于2张</w:t>
            </w:r>
            <w:r>
              <w:rPr>
                <w:rFonts w:hint="eastAsia" w:ascii="宋体" w:hAnsi="宋体" w:eastAsia="宋体" w:cs="宋体"/>
                <w:color w:val="000000"/>
                <w:sz w:val="24"/>
                <w:szCs w:val="28"/>
                <w:lang w:eastAsia="zh-CN"/>
              </w:rPr>
              <w:t>，</w:t>
            </w:r>
            <w:bookmarkEnd w:id="8"/>
            <w:r>
              <w:rPr>
                <w:rFonts w:hint="eastAsia" w:ascii="宋体" w:hAnsi="宋体" w:eastAsia="宋体" w:cs="宋体"/>
                <w:color w:val="000000"/>
                <w:sz w:val="24"/>
                <w:szCs w:val="28"/>
              </w:rPr>
              <w:t>得</w:t>
            </w:r>
            <w:r>
              <w:rPr>
                <w:rFonts w:hint="eastAsia" w:ascii="宋体" w:hAnsi="宋体" w:eastAsia="宋体" w:cs="宋体"/>
                <w:color w:val="000000"/>
                <w:sz w:val="24"/>
                <w:szCs w:val="28"/>
                <w:lang w:val="en-US" w:eastAsia="zh-CN"/>
              </w:rPr>
              <w:t>6</w:t>
            </w:r>
            <w:r>
              <w:rPr>
                <w:rFonts w:hint="eastAsia" w:ascii="宋体" w:hAnsi="宋体" w:eastAsia="宋体" w:cs="宋体"/>
                <w:color w:val="000000"/>
                <w:sz w:val="24"/>
                <w:szCs w:val="28"/>
              </w:rPr>
              <w:t>分；</w:t>
            </w:r>
          </w:p>
          <w:p w14:paraId="79C943D2">
            <w:pPr>
              <w:keepNext w:val="0"/>
              <w:keepLines w:val="0"/>
              <w:numPr>
                <w:ilvl w:val="0"/>
                <w:numId w:val="5"/>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东胜院区</w:t>
            </w:r>
            <w:r>
              <w:rPr>
                <w:rFonts w:hint="eastAsia" w:ascii="宋体" w:hAnsi="宋体" w:eastAsia="宋体" w:cs="宋体"/>
                <w:color w:val="000000"/>
                <w:sz w:val="24"/>
                <w:szCs w:val="28"/>
              </w:rPr>
              <w:t>整体形象效果图</w:t>
            </w:r>
            <w:r>
              <w:rPr>
                <w:rFonts w:hint="eastAsia" w:ascii="宋体" w:hAnsi="宋体" w:eastAsia="宋体" w:cs="宋体"/>
                <w:color w:val="000000"/>
                <w:sz w:val="24"/>
                <w:szCs w:val="28"/>
                <w:lang w:val="en-US" w:eastAsia="zh-CN"/>
              </w:rPr>
              <w:t>欠美观，数量不少于1张</w:t>
            </w:r>
            <w:bookmarkStart w:id="9" w:name="OLE_LINK15"/>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bookmarkEnd w:id="9"/>
            <w:r>
              <w:rPr>
                <w:rFonts w:hint="eastAsia" w:ascii="宋体" w:hAnsi="宋体" w:eastAsia="宋体" w:cs="宋体"/>
                <w:color w:val="000000"/>
                <w:sz w:val="24"/>
                <w:szCs w:val="28"/>
                <w:lang w:val="en-US" w:eastAsia="zh-CN"/>
              </w:rPr>
              <w:t>3</w:t>
            </w:r>
            <w:r>
              <w:rPr>
                <w:rFonts w:hint="eastAsia" w:ascii="宋体" w:hAnsi="宋体" w:eastAsia="宋体" w:cs="宋体"/>
                <w:color w:val="000000"/>
                <w:sz w:val="24"/>
                <w:szCs w:val="28"/>
              </w:rPr>
              <w:t>分；</w:t>
            </w:r>
          </w:p>
          <w:p w14:paraId="5491F81F">
            <w:pPr>
              <w:keepNext w:val="0"/>
              <w:keepLines w:val="0"/>
              <w:numPr>
                <w:ilvl w:val="0"/>
                <w:numId w:val="5"/>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未提供相关内容，得0分。</w:t>
            </w:r>
          </w:p>
        </w:tc>
      </w:tr>
      <w:tr w14:paraId="289A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15" w:type="dxa"/>
            <w:vMerge w:val="continue"/>
            <w:tcBorders>
              <w:left w:val="single" w:color="auto" w:sz="4" w:space="0"/>
              <w:right w:val="single" w:color="auto" w:sz="4" w:space="0"/>
            </w:tcBorders>
            <w:noWrap w:val="0"/>
            <w:vAlign w:val="center"/>
          </w:tcPr>
          <w:p w14:paraId="5BC43DA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p>
        </w:tc>
        <w:tc>
          <w:tcPr>
            <w:tcW w:w="993" w:type="dxa"/>
            <w:tcBorders>
              <w:left w:val="single" w:color="auto" w:sz="4" w:space="0"/>
              <w:right w:val="single" w:color="auto" w:sz="4" w:space="0"/>
            </w:tcBorders>
            <w:noWrap w:val="0"/>
            <w:vAlign w:val="center"/>
          </w:tcPr>
          <w:p w14:paraId="7C0D6DBA">
            <w:pPr>
              <w:keepNext w:val="0"/>
              <w:keepLines w:val="0"/>
              <w:suppressLineNumbers w:val="0"/>
              <w:snapToGrid w:val="0"/>
              <w:spacing w:before="0" w:beforeAutospacing="0" w:after="0" w:afterAutospacing="0"/>
              <w:ind w:left="0" w:right="0"/>
              <w:jc w:val="left"/>
              <w:rPr>
                <w:rFonts w:hint="eastAsia" w:ascii="宋体" w:hAnsi="宋体" w:eastAsia="宋体" w:cs="宋体"/>
                <w:color w:val="000000"/>
                <w:sz w:val="24"/>
                <w:szCs w:val="28"/>
              </w:rPr>
            </w:pPr>
            <w:r>
              <w:rPr>
                <w:rFonts w:hint="eastAsia" w:ascii="宋体" w:hAnsi="宋体" w:eastAsia="宋体" w:cs="宋体"/>
                <w:color w:val="000000"/>
                <w:sz w:val="24"/>
                <w:szCs w:val="28"/>
              </w:rPr>
              <w:t>项目的难点、重点分析</w:t>
            </w:r>
          </w:p>
        </w:tc>
        <w:tc>
          <w:tcPr>
            <w:tcW w:w="974" w:type="dxa"/>
            <w:tcBorders>
              <w:left w:val="single" w:color="auto" w:sz="4" w:space="0"/>
              <w:right w:val="single" w:color="auto" w:sz="4" w:space="0"/>
            </w:tcBorders>
            <w:noWrap w:val="0"/>
            <w:vAlign w:val="center"/>
          </w:tcPr>
          <w:p w14:paraId="6F8A4693">
            <w:pPr>
              <w:keepNext w:val="0"/>
              <w:keepLines w:val="0"/>
              <w:suppressLineNumbers w:val="0"/>
              <w:spacing w:before="0" w:beforeAutospacing="0" w:after="0" w:afterAutospacing="0"/>
              <w:ind w:left="0" w:right="58"/>
              <w:jc w:val="center"/>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8</w:t>
            </w:r>
            <w:r>
              <w:rPr>
                <w:rFonts w:hint="eastAsia" w:ascii="宋体" w:hAnsi="宋体" w:eastAsia="宋体" w:cs="宋体"/>
                <w:color w:val="000000"/>
                <w:sz w:val="24"/>
                <w:szCs w:val="28"/>
              </w:rPr>
              <w:t>分</w:t>
            </w:r>
          </w:p>
        </w:tc>
        <w:tc>
          <w:tcPr>
            <w:tcW w:w="6512" w:type="dxa"/>
            <w:tcBorders>
              <w:left w:val="single" w:color="auto" w:sz="4" w:space="0"/>
              <w:right w:val="single" w:color="auto" w:sz="4" w:space="0"/>
            </w:tcBorders>
            <w:noWrap w:val="0"/>
            <w:vAlign w:val="center"/>
          </w:tcPr>
          <w:p w14:paraId="6DF5CE05">
            <w:pPr>
              <w:keepNext w:val="0"/>
              <w:keepLines w:val="0"/>
              <w:numPr>
                <w:ilvl w:val="0"/>
                <w:numId w:val="6"/>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pacing w:val="-6"/>
                <w:sz w:val="24"/>
                <w:szCs w:val="28"/>
              </w:rPr>
              <w:t>供应商对</w:t>
            </w:r>
            <w:r>
              <w:rPr>
                <w:rFonts w:hint="eastAsia" w:ascii="宋体" w:hAnsi="宋体" w:eastAsia="宋体" w:cs="宋体"/>
                <w:color w:val="000000"/>
                <w:sz w:val="24"/>
                <w:szCs w:val="28"/>
                <w:lang w:val="en-US" w:eastAsia="zh-CN"/>
              </w:rPr>
              <w:t>东胜院区的</w:t>
            </w:r>
            <w:r>
              <w:rPr>
                <w:rFonts w:hint="eastAsia" w:ascii="宋体" w:hAnsi="宋体" w:eastAsia="宋体" w:cs="宋体"/>
                <w:color w:val="000000"/>
                <w:spacing w:val="-6"/>
                <w:sz w:val="24"/>
                <w:szCs w:val="28"/>
              </w:rPr>
              <w:t>需求有深刻的理解，充分了解项目工作量，切合项目实际情况；对本项目服务内容重、难点分析透彻、合理、完善，切合项目实际情况</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r>
              <w:rPr>
                <w:rFonts w:hint="eastAsia" w:ascii="宋体" w:hAnsi="宋体" w:eastAsia="宋体" w:cs="宋体"/>
                <w:color w:val="000000"/>
                <w:spacing w:val="-6"/>
                <w:sz w:val="24"/>
                <w:szCs w:val="28"/>
                <w:lang w:val="en-US" w:eastAsia="zh-CN"/>
              </w:rPr>
              <w:t>8</w:t>
            </w:r>
            <w:r>
              <w:rPr>
                <w:rFonts w:hint="eastAsia" w:ascii="宋体" w:hAnsi="宋体" w:eastAsia="宋体" w:cs="宋体"/>
                <w:color w:val="000000"/>
                <w:spacing w:val="-6"/>
                <w:sz w:val="24"/>
                <w:szCs w:val="28"/>
              </w:rPr>
              <w:t xml:space="preserve">分； </w:t>
            </w:r>
          </w:p>
          <w:p w14:paraId="64C008DF">
            <w:pPr>
              <w:keepNext w:val="0"/>
              <w:keepLines w:val="0"/>
              <w:numPr>
                <w:ilvl w:val="0"/>
                <w:numId w:val="6"/>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pacing w:val="-6"/>
                <w:sz w:val="24"/>
                <w:szCs w:val="28"/>
              </w:rPr>
              <w:t>供应商对</w:t>
            </w:r>
            <w:r>
              <w:rPr>
                <w:rFonts w:hint="eastAsia" w:ascii="宋体" w:hAnsi="宋体" w:eastAsia="宋体" w:cs="宋体"/>
                <w:color w:val="000000"/>
                <w:sz w:val="24"/>
                <w:szCs w:val="28"/>
                <w:lang w:val="en-US" w:eastAsia="zh-CN"/>
              </w:rPr>
              <w:t>东胜院区的</w:t>
            </w:r>
            <w:r>
              <w:rPr>
                <w:rFonts w:hint="eastAsia" w:ascii="宋体" w:hAnsi="宋体" w:eastAsia="宋体" w:cs="宋体"/>
                <w:color w:val="000000"/>
                <w:spacing w:val="-6"/>
                <w:sz w:val="24"/>
                <w:szCs w:val="28"/>
              </w:rPr>
              <w:t>需求有准确的理解，基本了解项目工作量，比较切合项目实际情况；对本项目服务内容重、难点分析比较透彻、合理、完善，基本切合项目实际情况</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r>
              <w:rPr>
                <w:rFonts w:hint="eastAsia" w:ascii="宋体" w:hAnsi="宋体" w:eastAsia="宋体" w:cs="宋体"/>
                <w:color w:val="000000"/>
                <w:spacing w:val="-6"/>
                <w:sz w:val="24"/>
                <w:szCs w:val="28"/>
                <w:lang w:val="en-US" w:eastAsia="zh-CN"/>
              </w:rPr>
              <w:t>5</w:t>
            </w:r>
            <w:r>
              <w:rPr>
                <w:rFonts w:hint="eastAsia" w:ascii="宋体" w:hAnsi="宋体" w:eastAsia="宋体" w:cs="宋体"/>
                <w:color w:val="000000"/>
                <w:spacing w:val="-6"/>
                <w:sz w:val="24"/>
                <w:szCs w:val="28"/>
              </w:rPr>
              <w:t xml:space="preserve">分； </w:t>
            </w:r>
          </w:p>
          <w:p w14:paraId="730D034E">
            <w:pPr>
              <w:keepNext w:val="0"/>
              <w:keepLines w:val="0"/>
              <w:numPr>
                <w:ilvl w:val="0"/>
                <w:numId w:val="6"/>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pacing w:val="-6"/>
                <w:sz w:val="24"/>
                <w:szCs w:val="28"/>
              </w:rPr>
              <w:t>供应商对</w:t>
            </w:r>
            <w:r>
              <w:rPr>
                <w:rFonts w:hint="eastAsia" w:ascii="宋体" w:hAnsi="宋体" w:eastAsia="宋体" w:cs="宋体"/>
                <w:color w:val="000000"/>
                <w:sz w:val="24"/>
                <w:szCs w:val="28"/>
                <w:lang w:val="en-US" w:eastAsia="zh-CN"/>
              </w:rPr>
              <w:t>东胜院区的</w:t>
            </w:r>
            <w:r>
              <w:rPr>
                <w:rFonts w:hint="eastAsia" w:ascii="宋体" w:hAnsi="宋体" w:eastAsia="宋体" w:cs="宋体"/>
                <w:color w:val="000000"/>
                <w:spacing w:val="-6"/>
                <w:sz w:val="24"/>
                <w:szCs w:val="28"/>
              </w:rPr>
              <w:t>需求理解不准确，无法准确判断工作量；对服务内容的重、难点分析针对性不强，无法充分结合实际情况</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r>
              <w:rPr>
                <w:rFonts w:hint="eastAsia" w:ascii="宋体" w:hAnsi="宋体" w:eastAsia="宋体" w:cs="宋体"/>
                <w:color w:val="000000"/>
                <w:spacing w:val="-6"/>
                <w:sz w:val="24"/>
                <w:szCs w:val="28"/>
                <w:lang w:val="en-US" w:eastAsia="zh-CN"/>
              </w:rPr>
              <w:t>3</w:t>
            </w:r>
            <w:r>
              <w:rPr>
                <w:rFonts w:hint="eastAsia" w:ascii="宋体" w:hAnsi="宋体" w:eastAsia="宋体" w:cs="宋体"/>
                <w:color w:val="000000"/>
                <w:spacing w:val="-6"/>
                <w:sz w:val="24"/>
                <w:szCs w:val="28"/>
              </w:rPr>
              <w:t xml:space="preserve">分； </w:t>
            </w:r>
          </w:p>
          <w:p w14:paraId="3DD5E993">
            <w:pPr>
              <w:keepNext w:val="0"/>
              <w:keepLines w:val="0"/>
              <w:numPr>
                <w:ilvl w:val="0"/>
                <w:numId w:val="6"/>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pacing w:val="-6"/>
                <w:sz w:val="24"/>
                <w:szCs w:val="28"/>
              </w:rPr>
              <w:t>供应商对</w:t>
            </w:r>
            <w:r>
              <w:rPr>
                <w:rFonts w:hint="eastAsia" w:ascii="宋体" w:hAnsi="宋体" w:eastAsia="宋体" w:cs="宋体"/>
                <w:color w:val="000000"/>
                <w:sz w:val="24"/>
                <w:szCs w:val="28"/>
                <w:lang w:val="en-US" w:eastAsia="zh-CN"/>
              </w:rPr>
              <w:t>东胜院区的</w:t>
            </w:r>
            <w:r>
              <w:rPr>
                <w:rFonts w:hint="eastAsia" w:ascii="宋体" w:hAnsi="宋体" w:eastAsia="宋体" w:cs="宋体"/>
                <w:color w:val="000000"/>
                <w:spacing w:val="-6"/>
                <w:sz w:val="24"/>
                <w:szCs w:val="28"/>
              </w:rPr>
              <w:t>需求仅仅是复制招标文件相关内容，对服务内容的重、难点分析不符合实际，没有针对性</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r>
              <w:rPr>
                <w:rFonts w:hint="eastAsia" w:ascii="宋体" w:hAnsi="宋体" w:eastAsia="宋体" w:cs="宋体"/>
                <w:color w:val="000000"/>
                <w:spacing w:val="-6"/>
                <w:sz w:val="24"/>
                <w:szCs w:val="28"/>
              </w:rPr>
              <w:t xml:space="preserve">1分； </w:t>
            </w:r>
          </w:p>
          <w:p w14:paraId="6DAF00DF">
            <w:pPr>
              <w:keepNext w:val="0"/>
              <w:keepLines w:val="0"/>
              <w:numPr>
                <w:ilvl w:val="0"/>
                <w:numId w:val="6"/>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pacing w:val="-6"/>
                <w:sz w:val="24"/>
                <w:szCs w:val="28"/>
              </w:rPr>
              <w:t>未提供具体方案</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r>
              <w:rPr>
                <w:rFonts w:hint="eastAsia" w:ascii="宋体" w:hAnsi="宋体" w:eastAsia="宋体" w:cs="宋体"/>
                <w:color w:val="000000"/>
                <w:spacing w:val="-6"/>
                <w:sz w:val="24"/>
                <w:szCs w:val="28"/>
              </w:rPr>
              <w:t>0分</w:t>
            </w:r>
          </w:p>
        </w:tc>
      </w:tr>
      <w:tr w14:paraId="1632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15" w:type="dxa"/>
            <w:vMerge w:val="continue"/>
            <w:tcBorders>
              <w:left w:val="single" w:color="auto" w:sz="4" w:space="0"/>
              <w:right w:val="single" w:color="auto" w:sz="4" w:space="0"/>
            </w:tcBorders>
            <w:noWrap w:val="0"/>
            <w:vAlign w:val="center"/>
          </w:tcPr>
          <w:p w14:paraId="0DB6964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p>
        </w:tc>
        <w:tc>
          <w:tcPr>
            <w:tcW w:w="993" w:type="dxa"/>
            <w:tcBorders>
              <w:left w:val="single" w:color="auto" w:sz="4" w:space="0"/>
              <w:right w:val="single" w:color="auto" w:sz="4" w:space="0"/>
            </w:tcBorders>
            <w:noWrap w:val="0"/>
            <w:vAlign w:val="center"/>
          </w:tcPr>
          <w:p w14:paraId="5D7FE84E">
            <w:pPr>
              <w:keepNext w:val="0"/>
              <w:keepLines w:val="0"/>
              <w:suppressLineNumbers w:val="0"/>
              <w:snapToGrid w:val="0"/>
              <w:spacing w:before="0" w:beforeAutospacing="0" w:after="0" w:afterAutospacing="0"/>
              <w:ind w:left="0" w:right="0"/>
              <w:jc w:val="left"/>
              <w:rPr>
                <w:rFonts w:hint="eastAsia" w:ascii="宋体" w:hAnsi="宋体" w:eastAsia="宋体" w:cs="宋体"/>
                <w:color w:val="000000"/>
                <w:sz w:val="24"/>
                <w:szCs w:val="28"/>
              </w:rPr>
            </w:pPr>
            <w:r>
              <w:rPr>
                <w:rFonts w:hint="eastAsia" w:ascii="宋体" w:hAnsi="宋体" w:eastAsia="宋体" w:cs="宋体"/>
                <w:color w:val="000000"/>
                <w:sz w:val="24"/>
                <w:szCs w:val="28"/>
              </w:rPr>
              <w:t>编制深度和成果的主要内容</w:t>
            </w:r>
          </w:p>
        </w:tc>
        <w:tc>
          <w:tcPr>
            <w:tcW w:w="974" w:type="dxa"/>
            <w:tcBorders>
              <w:left w:val="single" w:color="auto" w:sz="4" w:space="0"/>
              <w:right w:val="single" w:color="auto" w:sz="4" w:space="0"/>
            </w:tcBorders>
            <w:noWrap w:val="0"/>
            <w:vAlign w:val="center"/>
          </w:tcPr>
          <w:p w14:paraId="36D37F1A">
            <w:pPr>
              <w:keepNext w:val="0"/>
              <w:keepLines w:val="0"/>
              <w:suppressLineNumbers w:val="0"/>
              <w:spacing w:before="0" w:beforeAutospacing="0" w:after="0" w:afterAutospacing="0"/>
              <w:ind w:left="0" w:right="58"/>
              <w:jc w:val="center"/>
              <w:rPr>
                <w:rFonts w:hint="eastAsia" w:ascii="宋体" w:hAnsi="宋体" w:eastAsia="宋体" w:cs="宋体"/>
                <w:color w:val="000000"/>
                <w:sz w:val="24"/>
                <w:szCs w:val="28"/>
              </w:rPr>
            </w:pPr>
            <w:r>
              <w:rPr>
                <w:rFonts w:hint="eastAsia" w:ascii="宋体" w:hAnsi="宋体" w:eastAsia="宋体" w:cs="宋体"/>
                <w:color w:val="000000"/>
                <w:sz w:val="24"/>
                <w:szCs w:val="28"/>
              </w:rPr>
              <w:t>5分</w:t>
            </w:r>
          </w:p>
        </w:tc>
        <w:tc>
          <w:tcPr>
            <w:tcW w:w="6512" w:type="dxa"/>
            <w:tcBorders>
              <w:left w:val="single" w:color="auto" w:sz="4" w:space="0"/>
              <w:right w:val="single" w:color="auto" w:sz="4" w:space="0"/>
            </w:tcBorders>
            <w:noWrap w:val="0"/>
            <w:vAlign w:val="center"/>
          </w:tcPr>
          <w:p w14:paraId="0E82F867">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综合考察供应商的规划内容。</w:t>
            </w:r>
          </w:p>
          <w:p w14:paraId="70378D11">
            <w:pPr>
              <w:keepNext w:val="0"/>
              <w:keepLines w:val="0"/>
              <w:numPr>
                <w:ilvl w:val="0"/>
                <w:numId w:val="7"/>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实施思路与整合规划完善详细，得</w:t>
            </w:r>
            <w:r>
              <w:rPr>
                <w:rFonts w:hint="eastAsia" w:ascii="宋体" w:hAnsi="宋体" w:eastAsia="宋体" w:cs="宋体"/>
                <w:color w:val="000000"/>
                <w:sz w:val="24"/>
                <w:szCs w:val="28"/>
                <w:lang w:val="en-US" w:eastAsia="zh-CN"/>
              </w:rPr>
              <w:t>5</w:t>
            </w:r>
            <w:r>
              <w:rPr>
                <w:rFonts w:hint="eastAsia" w:ascii="宋体" w:hAnsi="宋体" w:eastAsia="宋体" w:cs="宋体"/>
                <w:color w:val="000000"/>
                <w:sz w:val="24"/>
                <w:szCs w:val="28"/>
              </w:rPr>
              <w:t>分；</w:t>
            </w:r>
          </w:p>
          <w:p w14:paraId="6186CB35">
            <w:pPr>
              <w:keepNext w:val="0"/>
              <w:keepLines w:val="0"/>
              <w:numPr>
                <w:ilvl w:val="0"/>
                <w:numId w:val="7"/>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实施思路与整体规划欠完善详细</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r>
              <w:rPr>
                <w:rFonts w:hint="eastAsia" w:ascii="宋体" w:hAnsi="宋体" w:eastAsia="宋体" w:cs="宋体"/>
                <w:color w:val="000000"/>
                <w:sz w:val="24"/>
                <w:szCs w:val="28"/>
                <w:lang w:val="en-US" w:eastAsia="zh-CN"/>
              </w:rPr>
              <w:t>3</w:t>
            </w:r>
            <w:r>
              <w:rPr>
                <w:rFonts w:hint="eastAsia" w:ascii="宋体" w:hAnsi="宋体" w:eastAsia="宋体" w:cs="宋体"/>
                <w:color w:val="000000"/>
                <w:sz w:val="24"/>
                <w:szCs w:val="28"/>
              </w:rPr>
              <w:t>分；</w:t>
            </w:r>
          </w:p>
          <w:p w14:paraId="06B76F94">
            <w:pPr>
              <w:keepNext w:val="0"/>
              <w:keepLines w:val="0"/>
              <w:numPr>
                <w:ilvl w:val="0"/>
                <w:numId w:val="7"/>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实施思路与整体规划不详细、不可行</w:t>
            </w:r>
            <w:bookmarkStart w:id="10" w:name="OLE_LINK17"/>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w:t>
            </w:r>
            <w:bookmarkEnd w:id="10"/>
            <w:r>
              <w:rPr>
                <w:rFonts w:hint="eastAsia" w:ascii="宋体" w:hAnsi="宋体" w:eastAsia="宋体" w:cs="宋体"/>
                <w:color w:val="000000"/>
                <w:sz w:val="24"/>
                <w:szCs w:val="28"/>
                <w:lang w:val="en-US" w:eastAsia="zh-CN"/>
              </w:rPr>
              <w:t>1</w:t>
            </w:r>
            <w:r>
              <w:rPr>
                <w:rFonts w:hint="eastAsia" w:ascii="宋体" w:hAnsi="宋体" w:eastAsia="宋体" w:cs="宋体"/>
                <w:color w:val="000000"/>
                <w:sz w:val="24"/>
                <w:szCs w:val="28"/>
              </w:rPr>
              <w:t>分；</w:t>
            </w:r>
          </w:p>
          <w:p w14:paraId="4984FE0A">
            <w:pPr>
              <w:keepNext w:val="0"/>
              <w:keepLines w:val="0"/>
              <w:numPr>
                <w:ilvl w:val="0"/>
                <w:numId w:val="7"/>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z w:val="24"/>
                <w:szCs w:val="28"/>
              </w:rPr>
              <w:t>未提供相关内容，得0分。</w:t>
            </w:r>
          </w:p>
        </w:tc>
      </w:tr>
      <w:tr w14:paraId="406C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15" w:type="dxa"/>
            <w:vMerge w:val="continue"/>
            <w:tcBorders>
              <w:left w:val="single" w:color="auto" w:sz="4" w:space="0"/>
              <w:right w:val="single" w:color="auto" w:sz="4" w:space="0"/>
            </w:tcBorders>
            <w:noWrap w:val="0"/>
            <w:vAlign w:val="center"/>
          </w:tcPr>
          <w:p w14:paraId="55BEB75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p>
        </w:tc>
        <w:tc>
          <w:tcPr>
            <w:tcW w:w="993" w:type="dxa"/>
            <w:tcBorders>
              <w:left w:val="single" w:color="auto" w:sz="4" w:space="0"/>
              <w:right w:val="single" w:color="auto" w:sz="4" w:space="0"/>
            </w:tcBorders>
            <w:noWrap w:val="0"/>
            <w:vAlign w:val="center"/>
          </w:tcPr>
          <w:p w14:paraId="20994B20">
            <w:pPr>
              <w:keepNext w:val="0"/>
              <w:keepLines w:val="0"/>
              <w:suppressLineNumbers w:val="0"/>
              <w:snapToGrid w:val="0"/>
              <w:spacing w:before="0" w:beforeAutospacing="0" w:after="0" w:afterAutospacing="0"/>
              <w:ind w:left="0" w:right="0"/>
              <w:jc w:val="left"/>
              <w:rPr>
                <w:rFonts w:hint="eastAsia" w:ascii="宋体" w:hAnsi="宋体" w:eastAsia="宋体" w:cs="宋体"/>
                <w:color w:val="000000"/>
                <w:sz w:val="24"/>
                <w:szCs w:val="28"/>
              </w:rPr>
            </w:pPr>
            <w:r>
              <w:rPr>
                <w:rFonts w:hint="eastAsia" w:ascii="宋体" w:hAnsi="宋体" w:eastAsia="宋体" w:cs="宋体"/>
                <w:color w:val="000000"/>
                <w:sz w:val="24"/>
                <w:szCs w:val="28"/>
              </w:rPr>
              <w:t>质量管理措施</w:t>
            </w:r>
          </w:p>
        </w:tc>
        <w:tc>
          <w:tcPr>
            <w:tcW w:w="974" w:type="dxa"/>
            <w:tcBorders>
              <w:left w:val="single" w:color="auto" w:sz="4" w:space="0"/>
              <w:right w:val="single" w:color="auto" w:sz="4" w:space="0"/>
            </w:tcBorders>
            <w:noWrap w:val="0"/>
            <w:vAlign w:val="center"/>
          </w:tcPr>
          <w:p w14:paraId="11D29D4F">
            <w:pPr>
              <w:keepNext w:val="0"/>
              <w:keepLines w:val="0"/>
              <w:suppressLineNumbers w:val="0"/>
              <w:spacing w:before="0" w:beforeAutospacing="0" w:after="0" w:afterAutospacing="0"/>
              <w:ind w:left="0" w:right="58"/>
              <w:jc w:val="center"/>
              <w:rPr>
                <w:rFonts w:hint="eastAsia" w:ascii="宋体" w:hAnsi="宋体" w:eastAsia="宋体" w:cs="宋体"/>
                <w:color w:val="000000"/>
                <w:sz w:val="24"/>
                <w:szCs w:val="28"/>
              </w:rPr>
            </w:pPr>
            <w:r>
              <w:rPr>
                <w:rFonts w:hint="eastAsia" w:ascii="宋体" w:hAnsi="宋体" w:eastAsia="宋体" w:cs="宋体"/>
                <w:color w:val="000000"/>
                <w:sz w:val="24"/>
                <w:szCs w:val="28"/>
              </w:rPr>
              <w:t>5分</w:t>
            </w:r>
          </w:p>
        </w:tc>
        <w:tc>
          <w:tcPr>
            <w:tcW w:w="6512" w:type="dxa"/>
            <w:tcBorders>
              <w:left w:val="single" w:color="auto" w:sz="4" w:space="0"/>
              <w:right w:val="single" w:color="auto" w:sz="4" w:space="0"/>
            </w:tcBorders>
            <w:noWrap w:val="0"/>
            <w:vAlign w:val="center"/>
          </w:tcPr>
          <w:p w14:paraId="11B00F0F">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综合考察供应商为本项目提供的质量保证措施。</w:t>
            </w:r>
          </w:p>
          <w:p w14:paraId="238A9072">
            <w:pPr>
              <w:keepNext w:val="0"/>
              <w:keepLines w:val="0"/>
              <w:numPr>
                <w:ilvl w:val="0"/>
                <w:numId w:val="8"/>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质量保证措施完善，针对性强，得</w:t>
            </w:r>
            <w:r>
              <w:rPr>
                <w:rFonts w:hint="eastAsia" w:ascii="宋体" w:hAnsi="宋体" w:eastAsia="宋体" w:cs="宋体"/>
                <w:color w:val="000000"/>
                <w:sz w:val="24"/>
                <w:szCs w:val="28"/>
                <w:lang w:val="en-US" w:eastAsia="zh-CN"/>
              </w:rPr>
              <w:t>5</w:t>
            </w:r>
            <w:r>
              <w:rPr>
                <w:rFonts w:hint="eastAsia" w:ascii="宋体" w:hAnsi="宋体" w:eastAsia="宋体" w:cs="宋体"/>
                <w:color w:val="000000"/>
                <w:sz w:val="24"/>
                <w:szCs w:val="28"/>
              </w:rPr>
              <w:t>分；</w:t>
            </w:r>
          </w:p>
          <w:p w14:paraId="500E65B0">
            <w:pPr>
              <w:keepNext w:val="0"/>
              <w:keepLines w:val="0"/>
              <w:numPr>
                <w:ilvl w:val="0"/>
                <w:numId w:val="8"/>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质量保证措施较完善，针对性较强</w:t>
            </w:r>
            <w:bookmarkStart w:id="11" w:name="OLE_LINK8"/>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得3</w:t>
            </w:r>
            <w:bookmarkEnd w:id="11"/>
            <w:r>
              <w:rPr>
                <w:rFonts w:hint="eastAsia" w:ascii="宋体" w:hAnsi="宋体" w:eastAsia="宋体" w:cs="宋体"/>
                <w:color w:val="000000"/>
                <w:sz w:val="24"/>
                <w:szCs w:val="28"/>
              </w:rPr>
              <w:t>分；</w:t>
            </w:r>
          </w:p>
          <w:p w14:paraId="5764E5D6">
            <w:pPr>
              <w:keepNext w:val="0"/>
              <w:keepLines w:val="0"/>
              <w:numPr>
                <w:ilvl w:val="0"/>
                <w:numId w:val="8"/>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质量保证措施欠佳，缺乏针对性</w:t>
            </w:r>
            <w:bookmarkStart w:id="12" w:name="OLE_LINK9"/>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得1</w:t>
            </w:r>
            <w:bookmarkEnd w:id="12"/>
            <w:r>
              <w:rPr>
                <w:rFonts w:hint="eastAsia" w:ascii="宋体" w:hAnsi="宋体" w:eastAsia="宋体" w:cs="宋体"/>
                <w:color w:val="000000"/>
                <w:sz w:val="24"/>
                <w:szCs w:val="28"/>
              </w:rPr>
              <w:t>分；</w:t>
            </w:r>
          </w:p>
          <w:p w14:paraId="3A6038BA">
            <w:pPr>
              <w:keepNext w:val="0"/>
              <w:keepLines w:val="0"/>
              <w:numPr>
                <w:ilvl w:val="0"/>
                <w:numId w:val="8"/>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bookmarkStart w:id="13" w:name="OLE_LINK10"/>
            <w:r>
              <w:rPr>
                <w:rFonts w:hint="eastAsia" w:ascii="宋体" w:hAnsi="宋体" w:eastAsia="宋体" w:cs="宋体"/>
                <w:color w:val="000000"/>
                <w:spacing w:val="-6"/>
                <w:sz w:val="24"/>
                <w:szCs w:val="28"/>
              </w:rPr>
              <w:t>未提供相关内容</w:t>
            </w:r>
            <w:r>
              <w:rPr>
                <w:rFonts w:hint="eastAsia" w:ascii="宋体" w:hAnsi="宋体" w:eastAsia="宋体" w:cs="宋体"/>
                <w:color w:val="000000"/>
                <w:sz w:val="24"/>
                <w:szCs w:val="28"/>
              </w:rPr>
              <w:t>，得0分。</w:t>
            </w:r>
            <w:bookmarkEnd w:id="13"/>
          </w:p>
        </w:tc>
      </w:tr>
      <w:tr w14:paraId="2314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15" w:type="dxa"/>
            <w:vMerge w:val="continue"/>
            <w:tcBorders>
              <w:left w:val="single" w:color="auto" w:sz="4" w:space="0"/>
              <w:right w:val="single" w:color="auto" w:sz="4" w:space="0"/>
            </w:tcBorders>
            <w:noWrap w:val="0"/>
            <w:vAlign w:val="center"/>
          </w:tcPr>
          <w:p w14:paraId="152DEC3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p>
        </w:tc>
        <w:tc>
          <w:tcPr>
            <w:tcW w:w="993" w:type="dxa"/>
            <w:tcBorders>
              <w:left w:val="single" w:color="auto" w:sz="4" w:space="0"/>
              <w:right w:val="single" w:color="auto" w:sz="4" w:space="0"/>
            </w:tcBorders>
            <w:noWrap w:val="0"/>
            <w:vAlign w:val="center"/>
          </w:tcPr>
          <w:p w14:paraId="2FEAC3E9">
            <w:pPr>
              <w:keepNext w:val="0"/>
              <w:keepLines w:val="0"/>
              <w:suppressLineNumbers w:val="0"/>
              <w:snapToGrid w:val="0"/>
              <w:spacing w:before="0" w:beforeAutospacing="0" w:after="0" w:afterAutospacing="0"/>
              <w:ind w:left="0" w:right="0"/>
              <w:jc w:val="left"/>
              <w:rPr>
                <w:rFonts w:hint="eastAsia" w:ascii="宋体" w:hAnsi="宋体" w:eastAsia="宋体" w:cs="宋体"/>
                <w:color w:val="000000"/>
                <w:sz w:val="24"/>
                <w:szCs w:val="28"/>
              </w:rPr>
            </w:pPr>
            <w:r>
              <w:rPr>
                <w:rFonts w:hint="eastAsia" w:ascii="宋体" w:hAnsi="宋体" w:eastAsia="宋体" w:cs="宋体"/>
                <w:color w:val="000000"/>
                <w:sz w:val="24"/>
                <w:szCs w:val="28"/>
              </w:rPr>
              <w:t>进度保障组织方案</w:t>
            </w:r>
          </w:p>
        </w:tc>
        <w:tc>
          <w:tcPr>
            <w:tcW w:w="974" w:type="dxa"/>
            <w:tcBorders>
              <w:left w:val="single" w:color="auto" w:sz="4" w:space="0"/>
              <w:right w:val="single" w:color="auto" w:sz="4" w:space="0"/>
            </w:tcBorders>
            <w:noWrap w:val="0"/>
            <w:vAlign w:val="center"/>
          </w:tcPr>
          <w:p w14:paraId="65573FF6">
            <w:pPr>
              <w:keepNext w:val="0"/>
              <w:keepLines w:val="0"/>
              <w:suppressLineNumbers w:val="0"/>
              <w:spacing w:before="0" w:beforeAutospacing="0" w:after="0" w:afterAutospacing="0"/>
              <w:ind w:left="0" w:right="58"/>
              <w:jc w:val="center"/>
              <w:rPr>
                <w:rFonts w:hint="eastAsia" w:ascii="宋体" w:hAnsi="宋体" w:eastAsia="宋体" w:cs="宋体"/>
                <w:color w:val="000000"/>
                <w:sz w:val="24"/>
                <w:szCs w:val="28"/>
              </w:rPr>
            </w:pPr>
            <w:r>
              <w:rPr>
                <w:rFonts w:hint="eastAsia" w:ascii="宋体" w:hAnsi="宋体" w:eastAsia="宋体" w:cs="宋体"/>
                <w:color w:val="000000"/>
                <w:sz w:val="24"/>
                <w:szCs w:val="28"/>
              </w:rPr>
              <w:t>5分</w:t>
            </w:r>
          </w:p>
        </w:tc>
        <w:tc>
          <w:tcPr>
            <w:tcW w:w="6512" w:type="dxa"/>
            <w:tcBorders>
              <w:left w:val="single" w:color="auto" w:sz="4" w:space="0"/>
              <w:right w:val="single" w:color="auto" w:sz="4" w:space="0"/>
            </w:tcBorders>
            <w:noWrap w:val="0"/>
            <w:vAlign w:val="center"/>
          </w:tcPr>
          <w:p w14:paraId="5E2DBE3A">
            <w:pPr>
              <w:keepNext w:val="0"/>
              <w:keepLines w:val="0"/>
              <w:numPr>
                <w:ilvl w:val="0"/>
                <w:numId w:val="9"/>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pacing w:val="-6"/>
                <w:sz w:val="24"/>
                <w:szCs w:val="28"/>
              </w:rPr>
              <w:t>提供的方案详细完整，科学合理可行，有很强的针对性，完全符合项目特点及要求</w:t>
            </w:r>
            <w:bookmarkStart w:id="14" w:name="OLE_LINK11"/>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得5</w:t>
            </w:r>
            <w:bookmarkEnd w:id="14"/>
            <w:r>
              <w:rPr>
                <w:rFonts w:hint="eastAsia" w:ascii="宋体" w:hAnsi="宋体" w:eastAsia="宋体" w:cs="宋体"/>
                <w:color w:val="000000"/>
                <w:sz w:val="24"/>
                <w:szCs w:val="28"/>
              </w:rPr>
              <w:t>分；</w:t>
            </w:r>
          </w:p>
          <w:p w14:paraId="291CD7D3">
            <w:pPr>
              <w:keepNext w:val="0"/>
              <w:keepLines w:val="0"/>
              <w:numPr>
                <w:ilvl w:val="0"/>
                <w:numId w:val="9"/>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z w:val="24"/>
                <w:szCs w:val="28"/>
              </w:rPr>
            </w:pPr>
            <w:r>
              <w:rPr>
                <w:rFonts w:hint="eastAsia" w:ascii="宋体" w:hAnsi="宋体" w:eastAsia="宋体" w:cs="宋体"/>
                <w:color w:val="000000"/>
                <w:sz w:val="24"/>
                <w:szCs w:val="28"/>
              </w:rPr>
              <w:t>提供了常规、通用方案</w:t>
            </w:r>
            <w:bookmarkStart w:id="15" w:name="OLE_LINK12"/>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得3</w:t>
            </w:r>
            <w:bookmarkEnd w:id="15"/>
            <w:r>
              <w:rPr>
                <w:rFonts w:hint="eastAsia" w:ascii="宋体" w:hAnsi="宋体" w:eastAsia="宋体" w:cs="宋体"/>
                <w:color w:val="000000"/>
                <w:sz w:val="24"/>
                <w:szCs w:val="28"/>
              </w:rPr>
              <w:t>分；</w:t>
            </w:r>
          </w:p>
          <w:p w14:paraId="166AE1D1">
            <w:pPr>
              <w:keepNext w:val="0"/>
              <w:keepLines w:val="0"/>
              <w:numPr>
                <w:ilvl w:val="0"/>
                <w:numId w:val="9"/>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z w:val="24"/>
                <w:szCs w:val="28"/>
              </w:rPr>
              <w:t>提供方案欠佳</w:t>
            </w:r>
            <w:bookmarkStart w:id="16" w:name="OLE_LINK13"/>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得1</w:t>
            </w:r>
            <w:bookmarkEnd w:id="16"/>
            <w:r>
              <w:rPr>
                <w:rFonts w:hint="eastAsia" w:ascii="宋体" w:hAnsi="宋体" w:eastAsia="宋体" w:cs="宋体"/>
                <w:color w:val="000000"/>
                <w:sz w:val="24"/>
                <w:szCs w:val="28"/>
              </w:rPr>
              <w:t>分</w:t>
            </w:r>
            <w:r>
              <w:rPr>
                <w:rFonts w:hint="eastAsia" w:ascii="宋体" w:hAnsi="宋体" w:eastAsia="宋体" w:cs="宋体"/>
                <w:color w:val="000000"/>
                <w:spacing w:val="-6"/>
                <w:sz w:val="24"/>
                <w:szCs w:val="28"/>
              </w:rPr>
              <w:t>。</w:t>
            </w:r>
          </w:p>
          <w:p w14:paraId="26090991">
            <w:pPr>
              <w:keepNext w:val="0"/>
              <w:keepLines w:val="0"/>
              <w:numPr>
                <w:ilvl w:val="0"/>
                <w:numId w:val="9"/>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bookmarkStart w:id="17" w:name="OLE_LINK20"/>
            <w:r>
              <w:rPr>
                <w:rFonts w:hint="eastAsia" w:ascii="宋体" w:hAnsi="宋体" w:eastAsia="宋体" w:cs="宋体"/>
                <w:color w:val="000000"/>
                <w:spacing w:val="-6"/>
                <w:sz w:val="24"/>
                <w:szCs w:val="28"/>
              </w:rPr>
              <w:t>未提供相关内容</w:t>
            </w:r>
            <w:bookmarkStart w:id="18" w:name="OLE_LINK19"/>
            <w:r>
              <w:rPr>
                <w:rFonts w:hint="eastAsia" w:ascii="宋体" w:hAnsi="宋体" w:eastAsia="宋体" w:cs="宋体"/>
                <w:color w:val="000000"/>
                <w:sz w:val="24"/>
                <w:szCs w:val="28"/>
              </w:rPr>
              <w:t>，得0分</w:t>
            </w:r>
            <w:bookmarkEnd w:id="17"/>
            <w:bookmarkEnd w:id="18"/>
            <w:r>
              <w:rPr>
                <w:rFonts w:hint="eastAsia" w:ascii="宋体" w:hAnsi="宋体" w:eastAsia="宋体" w:cs="宋体"/>
                <w:color w:val="000000"/>
                <w:sz w:val="24"/>
                <w:szCs w:val="28"/>
              </w:rPr>
              <w:t>。</w:t>
            </w:r>
          </w:p>
        </w:tc>
      </w:tr>
      <w:tr w14:paraId="1AC2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15" w:type="dxa"/>
            <w:vMerge w:val="continue"/>
            <w:tcBorders>
              <w:left w:val="single" w:color="auto" w:sz="4" w:space="0"/>
              <w:right w:val="single" w:color="auto" w:sz="4" w:space="0"/>
            </w:tcBorders>
            <w:noWrap w:val="0"/>
            <w:vAlign w:val="center"/>
          </w:tcPr>
          <w:p w14:paraId="3A92FC9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p>
        </w:tc>
        <w:tc>
          <w:tcPr>
            <w:tcW w:w="993" w:type="dxa"/>
            <w:tcBorders>
              <w:left w:val="single" w:color="auto" w:sz="4" w:space="0"/>
              <w:right w:val="single" w:color="auto" w:sz="4" w:space="0"/>
            </w:tcBorders>
            <w:noWrap w:val="0"/>
            <w:vAlign w:val="center"/>
          </w:tcPr>
          <w:p w14:paraId="76B80DED">
            <w:pPr>
              <w:keepNext w:val="0"/>
              <w:keepLines w:val="0"/>
              <w:suppressLineNumbers w:val="0"/>
              <w:snapToGrid w:val="0"/>
              <w:spacing w:before="0" w:beforeAutospacing="0" w:after="0" w:afterAutospacing="0"/>
              <w:ind w:left="0" w:right="0"/>
              <w:jc w:val="left"/>
              <w:rPr>
                <w:rFonts w:hint="eastAsia" w:ascii="宋体" w:hAnsi="宋体" w:eastAsia="宋体" w:cs="宋体"/>
                <w:color w:val="000000"/>
                <w:sz w:val="24"/>
                <w:szCs w:val="28"/>
              </w:rPr>
            </w:pPr>
            <w:r>
              <w:rPr>
                <w:rFonts w:hint="eastAsia" w:ascii="宋体" w:hAnsi="宋体" w:eastAsia="宋体" w:cs="宋体"/>
                <w:color w:val="000000"/>
                <w:sz w:val="24"/>
                <w:szCs w:val="28"/>
              </w:rPr>
              <w:t>后续服务</w:t>
            </w:r>
          </w:p>
        </w:tc>
        <w:tc>
          <w:tcPr>
            <w:tcW w:w="974" w:type="dxa"/>
            <w:tcBorders>
              <w:left w:val="single" w:color="auto" w:sz="4" w:space="0"/>
              <w:right w:val="single" w:color="auto" w:sz="4" w:space="0"/>
            </w:tcBorders>
            <w:noWrap w:val="0"/>
            <w:vAlign w:val="center"/>
          </w:tcPr>
          <w:p w14:paraId="1DE23152">
            <w:pPr>
              <w:keepNext w:val="0"/>
              <w:keepLines w:val="0"/>
              <w:suppressLineNumbers w:val="0"/>
              <w:spacing w:before="0" w:beforeAutospacing="0" w:after="0" w:afterAutospacing="0"/>
              <w:ind w:left="0" w:right="58"/>
              <w:jc w:val="center"/>
              <w:rPr>
                <w:rFonts w:hint="eastAsia" w:ascii="宋体" w:hAnsi="宋体" w:eastAsia="宋体" w:cs="宋体"/>
                <w:color w:val="000000"/>
                <w:sz w:val="24"/>
                <w:szCs w:val="28"/>
              </w:rPr>
            </w:pPr>
            <w:r>
              <w:rPr>
                <w:rFonts w:hint="eastAsia" w:ascii="宋体" w:hAnsi="宋体" w:eastAsia="宋体" w:cs="宋体"/>
                <w:color w:val="000000"/>
                <w:sz w:val="24"/>
                <w:szCs w:val="28"/>
              </w:rPr>
              <w:t>5分</w:t>
            </w:r>
          </w:p>
        </w:tc>
        <w:tc>
          <w:tcPr>
            <w:tcW w:w="6512" w:type="dxa"/>
            <w:tcBorders>
              <w:left w:val="single" w:color="auto" w:sz="4" w:space="0"/>
              <w:right w:val="single" w:color="auto" w:sz="4" w:space="0"/>
            </w:tcBorders>
            <w:noWrap w:val="0"/>
            <w:vAlign w:val="center"/>
          </w:tcPr>
          <w:p w14:paraId="735E4119">
            <w:pPr>
              <w:keepNext w:val="0"/>
              <w:keepLines w:val="0"/>
              <w:suppressLineNumbers w:val="0"/>
              <w:spacing w:before="0" w:beforeAutospacing="0" w:after="0" w:afterAutospacing="0" w:line="400" w:lineRule="exact"/>
              <w:ind w:left="0" w:right="0"/>
              <w:rPr>
                <w:rFonts w:hint="eastAsia" w:ascii="宋体" w:hAnsi="宋体" w:eastAsia="宋体" w:cs="宋体"/>
                <w:color w:val="000000"/>
                <w:spacing w:val="-6"/>
                <w:sz w:val="24"/>
                <w:szCs w:val="28"/>
              </w:rPr>
            </w:pPr>
            <w:r>
              <w:rPr>
                <w:rFonts w:hint="eastAsia" w:ascii="宋体" w:hAnsi="宋体" w:eastAsia="宋体" w:cs="宋体"/>
                <w:color w:val="000000"/>
                <w:spacing w:val="-6"/>
                <w:sz w:val="24"/>
                <w:szCs w:val="28"/>
              </w:rPr>
              <w:t>综合考虑供应商后续服务承诺期的长短、后续服务保障体系完善性、可行性程度，以及其他增值服务承诺。</w:t>
            </w:r>
          </w:p>
          <w:p w14:paraId="4881867A">
            <w:pPr>
              <w:keepNext w:val="0"/>
              <w:keepLines w:val="0"/>
              <w:numPr>
                <w:ilvl w:val="0"/>
                <w:numId w:val="10"/>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pacing w:val="-6"/>
                <w:sz w:val="24"/>
                <w:szCs w:val="28"/>
              </w:rPr>
              <w:t>后续服务保障体系完善、可行性强</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得5</w:t>
            </w:r>
            <w:r>
              <w:rPr>
                <w:rFonts w:hint="eastAsia" w:ascii="宋体" w:hAnsi="宋体" w:eastAsia="宋体" w:cs="宋体"/>
                <w:color w:val="000000"/>
                <w:spacing w:val="-6"/>
                <w:sz w:val="24"/>
                <w:szCs w:val="28"/>
              </w:rPr>
              <w:t>分；</w:t>
            </w:r>
          </w:p>
          <w:p w14:paraId="612FA579">
            <w:pPr>
              <w:keepNext w:val="0"/>
              <w:keepLines w:val="0"/>
              <w:numPr>
                <w:ilvl w:val="0"/>
                <w:numId w:val="10"/>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pacing w:val="-6"/>
                <w:sz w:val="24"/>
                <w:szCs w:val="28"/>
              </w:rPr>
              <w:t>有可行的后续服务保障体系，可满足项目需求</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得3</w:t>
            </w:r>
            <w:r>
              <w:rPr>
                <w:rFonts w:hint="eastAsia" w:ascii="宋体" w:hAnsi="宋体" w:eastAsia="宋体" w:cs="宋体"/>
                <w:color w:val="000000"/>
                <w:spacing w:val="-6"/>
                <w:sz w:val="24"/>
                <w:szCs w:val="28"/>
              </w:rPr>
              <w:t>分；</w:t>
            </w:r>
          </w:p>
          <w:p w14:paraId="5FD6A0EF">
            <w:pPr>
              <w:keepNext w:val="0"/>
              <w:keepLines w:val="0"/>
              <w:numPr>
                <w:ilvl w:val="0"/>
                <w:numId w:val="10"/>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r>
              <w:rPr>
                <w:rFonts w:hint="eastAsia" w:ascii="宋体" w:hAnsi="宋体" w:eastAsia="宋体" w:cs="宋体"/>
                <w:color w:val="000000"/>
                <w:spacing w:val="-6"/>
                <w:sz w:val="24"/>
                <w:szCs w:val="28"/>
              </w:rPr>
              <w:t>后续服务保障体系欠佳，勉强满足项目需要</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得1</w:t>
            </w:r>
            <w:r>
              <w:rPr>
                <w:rFonts w:hint="eastAsia" w:ascii="宋体" w:hAnsi="宋体" w:eastAsia="宋体" w:cs="宋体"/>
                <w:color w:val="000000"/>
                <w:spacing w:val="-6"/>
                <w:sz w:val="24"/>
                <w:szCs w:val="28"/>
              </w:rPr>
              <w:t>分；</w:t>
            </w:r>
          </w:p>
          <w:p w14:paraId="7239C45D">
            <w:pPr>
              <w:keepNext w:val="0"/>
              <w:keepLines w:val="0"/>
              <w:numPr>
                <w:ilvl w:val="0"/>
                <w:numId w:val="10"/>
              </w:numPr>
              <w:suppressLineNumbers w:val="0"/>
              <w:spacing w:before="0" w:beforeAutospacing="0" w:after="0" w:afterAutospacing="0" w:line="400" w:lineRule="exact"/>
              <w:ind w:left="425" w:leftChars="0" w:right="0" w:hanging="425" w:firstLineChars="0"/>
              <w:rPr>
                <w:rFonts w:hint="eastAsia" w:ascii="宋体" w:hAnsi="宋体" w:eastAsia="宋体" w:cs="宋体"/>
                <w:color w:val="000000"/>
                <w:spacing w:val="-6"/>
                <w:sz w:val="24"/>
                <w:szCs w:val="28"/>
              </w:rPr>
            </w:pPr>
            <w:bookmarkStart w:id="19" w:name="OLE_LINK16"/>
            <w:r>
              <w:rPr>
                <w:rFonts w:hint="eastAsia" w:ascii="宋体" w:hAnsi="宋体" w:eastAsia="宋体" w:cs="宋体"/>
                <w:color w:val="000000"/>
                <w:spacing w:val="-6"/>
                <w:sz w:val="24"/>
                <w:szCs w:val="28"/>
              </w:rPr>
              <w:t>未提供相关内容</w:t>
            </w:r>
            <w:r>
              <w:rPr>
                <w:rFonts w:hint="eastAsia" w:ascii="宋体" w:hAnsi="宋体" w:eastAsia="宋体" w:cs="宋体"/>
                <w:color w:val="000000"/>
                <w:sz w:val="24"/>
                <w:szCs w:val="28"/>
              </w:rPr>
              <w:t>，</w:t>
            </w:r>
            <w:bookmarkEnd w:id="19"/>
            <w:r>
              <w:rPr>
                <w:rFonts w:hint="eastAsia" w:ascii="宋体" w:hAnsi="宋体" w:eastAsia="宋体" w:cs="宋体"/>
                <w:color w:val="000000"/>
                <w:sz w:val="24"/>
                <w:szCs w:val="28"/>
              </w:rPr>
              <w:t>得0分</w:t>
            </w:r>
            <w:r>
              <w:rPr>
                <w:rFonts w:hint="eastAsia" w:ascii="宋体" w:hAnsi="宋体" w:eastAsia="宋体" w:cs="宋体"/>
                <w:color w:val="000000"/>
                <w:spacing w:val="-6"/>
                <w:sz w:val="24"/>
                <w:szCs w:val="28"/>
              </w:rPr>
              <w:t xml:space="preserve">。  </w:t>
            </w:r>
          </w:p>
        </w:tc>
      </w:tr>
      <w:tr w14:paraId="468D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215" w:type="dxa"/>
            <w:tcBorders>
              <w:left w:val="single" w:color="auto" w:sz="4" w:space="0"/>
              <w:right w:val="single" w:color="auto" w:sz="4" w:space="0"/>
            </w:tcBorders>
            <w:noWrap w:val="0"/>
            <w:vAlign w:val="center"/>
          </w:tcPr>
          <w:p w14:paraId="4660817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4"/>
                <w:szCs w:val="28"/>
              </w:rPr>
            </w:pPr>
            <w:r>
              <w:rPr>
                <w:rFonts w:hint="eastAsia" w:ascii="宋体" w:hAnsi="宋体" w:eastAsia="宋体" w:cs="宋体"/>
                <w:color w:val="000000"/>
                <w:sz w:val="24"/>
                <w:szCs w:val="28"/>
              </w:rPr>
              <w:t>总分</w:t>
            </w:r>
          </w:p>
        </w:tc>
        <w:tc>
          <w:tcPr>
            <w:tcW w:w="8479" w:type="dxa"/>
            <w:gridSpan w:val="3"/>
            <w:tcBorders>
              <w:left w:val="single" w:color="auto" w:sz="4" w:space="0"/>
              <w:right w:val="single" w:color="auto" w:sz="4" w:space="0"/>
            </w:tcBorders>
            <w:noWrap w:val="0"/>
            <w:vAlign w:val="center"/>
          </w:tcPr>
          <w:p w14:paraId="3B530961">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4"/>
                <w:szCs w:val="28"/>
              </w:rPr>
            </w:pPr>
            <w:r>
              <w:rPr>
                <w:rFonts w:hint="eastAsia" w:ascii="宋体" w:hAnsi="宋体" w:eastAsia="宋体" w:cs="宋体"/>
                <w:color w:val="000000"/>
                <w:sz w:val="24"/>
                <w:szCs w:val="28"/>
              </w:rPr>
              <w:t>100分</w:t>
            </w:r>
          </w:p>
        </w:tc>
      </w:tr>
    </w:tbl>
    <w:p w14:paraId="6D1C0627">
      <w:pPr>
        <w:rPr>
          <w:rFonts w:hint="default" w:ascii="宋体" w:hAnsi="宋体" w:eastAsia="宋体" w:cs="宋体"/>
          <w:b/>
          <w:bCs/>
          <w:sz w:val="28"/>
          <w:szCs w:val="28"/>
          <w:lang w:val="en-US" w:eastAsia="zh-CN"/>
        </w:rPr>
      </w:pPr>
    </w:p>
    <w:p w14:paraId="06911893">
      <w:pPr>
        <w:rPr>
          <w:rFonts w:hint="eastAsia" w:ascii="宋体" w:hAnsi="宋体" w:eastAsia="宋体" w:cs="宋体"/>
          <w:b/>
          <w:bCs/>
          <w:sz w:val="28"/>
          <w:szCs w:val="28"/>
          <w:lang w:val="en-US" w:eastAsia="zh-CN"/>
        </w:rPr>
      </w:pPr>
    </w:p>
    <w:p w14:paraId="538AB7D8">
      <w:pPr>
        <w:rPr>
          <w:rFonts w:hint="eastAsia"/>
          <w:lang w:val="en-US" w:eastAsia="zh-CN"/>
        </w:rPr>
      </w:pPr>
    </w:p>
    <w:p w14:paraId="06E48C80">
      <w:pPr>
        <w:rPr>
          <w:rFonts w:hint="eastAsia"/>
          <w:lang w:val="en-US" w:eastAsia="zh-CN"/>
        </w:rPr>
      </w:pPr>
    </w:p>
    <w:p w14:paraId="5E8A4CDD">
      <w:pPr>
        <w:rPr>
          <w:rFonts w:hint="eastAsia"/>
          <w:lang w:val="en-US" w:eastAsia="zh-CN"/>
        </w:rPr>
      </w:pPr>
    </w:p>
    <w:p w14:paraId="3D79364A">
      <w:pPr>
        <w:rPr>
          <w:rFonts w:hint="eastAsia"/>
          <w:lang w:val="en-US" w:eastAsia="zh-CN"/>
        </w:rPr>
      </w:pPr>
    </w:p>
    <w:p w14:paraId="0E183A0F">
      <w:pPr>
        <w:rPr>
          <w:rFonts w:hint="eastAsia"/>
          <w:lang w:val="en-US" w:eastAsia="zh-CN"/>
        </w:rPr>
      </w:pPr>
    </w:p>
    <w:p w14:paraId="1683E992">
      <w:pPr>
        <w:rPr>
          <w:rFonts w:hint="eastAsia"/>
          <w:lang w:val="en-US" w:eastAsia="zh-CN"/>
        </w:rPr>
      </w:pPr>
    </w:p>
    <w:p w14:paraId="35E6B0B7">
      <w:pPr>
        <w:rPr>
          <w:rFonts w:hint="eastAsia"/>
          <w:lang w:val="en-US" w:eastAsia="zh-CN"/>
        </w:rPr>
      </w:pPr>
    </w:p>
    <w:p w14:paraId="67D988AF">
      <w:pPr>
        <w:rPr>
          <w:rFonts w:hint="eastAsia"/>
          <w:lang w:val="en-US" w:eastAsia="zh-CN"/>
        </w:rPr>
      </w:pPr>
    </w:p>
    <w:p w14:paraId="547D41BB">
      <w:pPr>
        <w:rPr>
          <w:rFonts w:hint="eastAsia"/>
          <w:lang w:val="en-US" w:eastAsia="zh-CN"/>
        </w:rPr>
      </w:pPr>
    </w:p>
    <w:p w14:paraId="026DF049">
      <w:pPr>
        <w:rPr>
          <w:rFonts w:hint="eastAsia"/>
          <w:lang w:val="en-US" w:eastAsia="zh-CN"/>
        </w:rPr>
      </w:pPr>
    </w:p>
    <w:p w14:paraId="05FFF3AF">
      <w:pPr>
        <w:rPr>
          <w:rFonts w:hint="eastAsia"/>
          <w:lang w:val="en-US" w:eastAsia="zh-CN"/>
        </w:rPr>
      </w:pPr>
    </w:p>
    <w:p w14:paraId="793345D5">
      <w:pPr>
        <w:rPr>
          <w:rFonts w:hint="eastAsia"/>
          <w:lang w:val="en-US" w:eastAsia="zh-CN"/>
        </w:rPr>
      </w:pPr>
    </w:p>
    <w:p w14:paraId="640CA86C">
      <w:pPr>
        <w:rPr>
          <w:rFonts w:hint="eastAsia"/>
          <w:lang w:val="en-US" w:eastAsia="zh-CN"/>
        </w:rPr>
      </w:pPr>
    </w:p>
    <w:p w14:paraId="6C1CD9FA">
      <w:pPr>
        <w:rPr>
          <w:rFonts w:hint="eastAsia"/>
          <w:lang w:val="en-US" w:eastAsia="zh-CN"/>
        </w:rPr>
      </w:pPr>
    </w:p>
    <w:p w14:paraId="4BA84B50">
      <w:pPr>
        <w:rPr>
          <w:rFonts w:hint="eastAsia"/>
          <w:lang w:val="en-US" w:eastAsia="zh-CN"/>
        </w:rPr>
      </w:pPr>
    </w:p>
    <w:p w14:paraId="59C86FA9">
      <w:pPr>
        <w:rPr>
          <w:rFonts w:hint="eastAsia"/>
          <w:lang w:val="en-US" w:eastAsia="zh-CN"/>
        </w:rPr>
      </w:pPr>
    </w:p>
    <w:p w14:paraId="0565EAA3">
      <w:pPr>
        <w:rPr>
          <w:rFonts w:hint="eastAsia"/>
          <w:lang w:val="en-US" w:eastAsia="zh-CN"/>
        </w:rPr>
      </w:pPr>
    </w:p>
    <w:p w14:paraId="4E6274D0">
      <w:pPr>
        <w:rPr>
          <w:rFonts w:hint="eastAsia"/>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2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2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039B1810">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综合评审各项要求</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bidi="ar-SA"/>
        </w:rPr>
        <w:t>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200343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C4D88D3">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0BF66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12"/>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453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538" w:type="dxa"/>
            <w:vAlign w:val="center"/>
          </w:tcPr>
          <w:p w14:paraId="7281713E">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538" w:type="dxa"/>
            <w:vMerge w:val="restart"/>
            <w:vAlign w:val="center"/>
          </w:tcPr>
          <w:p w14:paraId="7A3F38F7">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538" w:type="dxa"/>
            <w:vMerge w:val="continue"/>
            <w:vAlign w:val="center"/>
          </w:tcPr>
          <w:p w14:paraId="3E61E7D2">
            <w:pPr>
              <w:keepNext w:val="0"/>
              <w:keepLines w:val="0"/>
              <w:suppressLineNumbers w:val="0"/>
              <w:spacing w:before="0" w:beforeAutospacing="0" w:after="0" w:afterAutospacing="0"/>
              <w:ind w:left="0" w:right="0"/>
              <w:rPr>
                <w:rFonts w:hint="default"/>
              </w:rPr>
            </w:pPr>
          </w:p>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5"/>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038928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1631872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117615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5CFC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003F108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CD1922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43E30B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3565277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0A322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FD05C1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2D0A5D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687F403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76054E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4000E1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3EE5D50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3F86152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826D25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5AAE23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7445946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46ABA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13"/>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13"/>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13"/>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13"/>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383C1D39">
      <w:pPr>
        <w:keepNext w:val="0"/>
        <w:keepLines w:val="0"/>
        <w:pageBreakBefore w:val="0"/>
        <w:numPr>
          <w:ilvl w:val="0"/>
          <w:numId w:val="13"/>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w:t>
      </w:r>
    </w:p>
    <w:p w14:paraId="30D37C4B">
      <w:pPr>
        <w:pStyle w:val="4"/>
        <w:keepNext w:val="0"/>
        <w:keepLines w:val="0"/>
        <w:pageBreakBefore w:val="0"/>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1A01063A">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kern w:val="0"/>
                <w:sz w:val="21"/>
                <w:szCs w:val="21"/>
                <w:lang w:val="en-US" w:eastAsia="zh-CN"/>
              </w:rPr>
              <w:t>★</w:t>
            </w:r>
            <w:r>
              <w:rPr>
                <w:rFonts w:hint="eastAsia" w:ascii="宋体" w:hAnsi="宋体" w:eastAsia="宋体" w:cs="宋体"/>
                <w:sz w:val="24"/>
                <w:szCs w:val="24"/>
                <w:lang w:val="en-US" w:eastAsia="zh-CN"/>
              </w:rPr>
              <w:t>）</w:t>
            </w:r>
          </w:p>
        </w:tc>
        <w:tc>
          <w:tcPr>
            <w:tcW w:w="1420" w:type="dxa"/>
            <w:vAlign w:val="top"/>
          </w:tcPr>
          <w:p w14:paraId="07910457">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十四、评审细则各项要求</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p w14:paraId="1EDDB88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974DC"/>
    <w:multiLevelType w:val="singleLevel"/>
    <w:tmpl w:val="A26974DC"/>
    <w:lvl w:ilvl="0" w:tentative="0">
      <w:start w:val="1"/>
      <w:numFmt w:val="decimal"/>
      <w:lvlText w:val="(%1)"/>
      <w:lvlJc w:val="left"/>
      <w:pPr>
        <w:ind w:left="425" w:hanging="425"/>
      </w:pPr>
      <w:rPr>
        <w:rFonts w:hint="default"/>
      </w:rPr>
    </w:lvl>
  </w:abstractNum>
  <w:abstractNum w:abstractNumId="1">
    <w:nsid w:val="B9A17334"/>
    <w:multiLevelType w:val="singleLevel"/>
    <w:tmpl w:val="B9A17334"/>
    <w:lvl w:ilvl="0" w:tentative="0">
      <w:start w:val="1"/>
      <w:numFmt w:val="decimal"/>
      <w:lvlText w:val="(%1)"/>
      <w:lvlJc w:val="left"/>
      <w:pPr>
        <w:ind w:left="425" w:hanging="425"/>
      </w:pPr>
      <w:rPr>
        <w:rFonts w:hint="default"/>
      </w:rPr>
    </w:lvl>
  </w:abstractNum>
  <w:abstractNum w:abstractNumId="2">
    <w:nsid w:val="BAF2D661"/>
    <w:multiLevelType w:val="singleLevel"/>
    <w:tmpl w:val="BAF2D661"/>
    <w:lvl w:ilvl="0" w:tentative="0">
      <w:start w:val="1"/>
      <w:numFmt w:val="decimal"/>
      <w:suff w:val="nothing"/>
      <w:lvlText w:val="（%1）"/>
      <w:lvlJc w:val="left"/>
    </w:lvl>
  </w:abstractNum>
  <w:abstractNum w:abstractNumId="3">
    <w:nsid w:val="BD098EFC"/>
    <w:multiLevelType w:val="singleLevel"/>
    <w:tmpl w:val="BD098EFC"/>
    <w:lvl w:ilvl="0" w:tentative="0">
      <w:start w:val="1"/>
      <w:numFmt w:val="decimal"/>
      <w:lvlText w:val="(%1)"/>
      <w:lvlJc w:val="left"/>
      <w:pPr>
        <w:ind w:left="425" w:hanging="425"/>
      </w:pPr>
      <w:rPr>
        <w:rFonts w:hint="default"/>
      </w:rPr>
    </w:lvl>
  </w:abstractNum>
  <w:abstractNum w:abstractNumId="4">
    <w:nsid w:val="E055B37E"/>
    <w:multiLevelType w:val="singleLevel"/>
    <w:tmpl w:val="E055B37E"/>
    <w:lvl w:ilvl="0" w:tentative="0">
      <w:start w:val="1"/>
      <w:numFmt w:val="decimal"/>
      <w:suff w:val="nothing"/>
      <w:lvlText w:val="（%1）"/>
      <w:lvlJc w:val="left"/>
    </w:lvl>
  </w:abstractNum>
  <w:abstractNum w:abstractNumId="5">
    <w:nsid w:val="F2E01BC4"/>
    <w:multiLevelType w:val="singleLevel"/>
    <w:tmpl w:val="F2E01BC4"/>
    <w:lvl w:ilvl="0" w:tentative="0">
      <w:start w:val="1"/>
      <w:numFmt w:val="decimal"/>
      <w:lvlText w:val="(%1)"/>
      <w:lvlJc w:val="left"/>
      <w:pPr>
        <w:ind w:left="425" w:hanging="425"/>
      </w:pPr>
      <w:rPr>
        <w:rFonts w:hint="default"/>
      </w:rPr>
    </w:lvl>
  </w:abstractNum>
  <w:abstractNum w:abstractNumId="6">
    <w:nsid w:val="177A4863"/>
    <w:multiLevelType w:val="singleLevel"/>
    <w:tmpl w:val="177A4863"/>
    <w:lvl w:ilvl="0" w:tentative="0">
      <w:start w:val="1"/>
      <w:numFmt w:val="decimal"/>
      <w:lvlText w:val="(%1)"/>
      <w:lvlJc w:val="left"/>
      <w:pPr>
        <w:ind w:left="425" w:hanging="425"/>
      </w:pPr>
      <w:rPr>
        <w:rFonts w:hint="default"/>
      </w:rPr>
    </w:lvl>
  </w:abstractNum>
  <w:abstractNum w:abstractNumId="7">
    <w:nsid w:val="1F6D2AEF"/>
    <w:multiLevelType w:val="singleLevel"/>
    <w:tmpl w:val="1F6D2AEF"/>
    <w:lvl w:ilvl="0" w:tentative="0">
      <w:start w:val="6"/>
      <w:numFmt w:val="chineseCounting"/>
      <w:suff w:val="nothing"/>
      <w:lvlText w:val="%1、"/>
      <w:lvlJc w:val="left"/>
      <w:rPr>
        <w:rFonts w:hint="eastAsia"/>
      </w:rPr>
    </w:lvl>
  </w:abstractNum>
  <w:abstractNum w:abstractNumId="8">
    <w:nsid w:val="2B710B18"/>
    <w:multiLevelType w:val="singleLevel"/>
    <w:tmpl w:val="2B710B18"/>
    <w:lvl w:ilvl="0" w:tentative="0">
      <w:start w:val="1"/>
      <w:numFmt w:val="decimal"/>
      <w:lvlText w:val="(%1)"/>
      <w:lvlJc w:val="left"/>
      <w:pPr>
        <w:ind w:left="425" w:hanging="425"/>
      </w:pPr>
      <w:rPr>
        <w:rFonts w:hint="default"/>
      </w:rPr>
    </w:lvl>
  </w:abstractNum>
  <w:abstractNum w:abstractNumId="9">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0">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11">
    <w:nsid w:val="3D216BA6"/>
    <w:multiLevelType w:val="singleLevel"/>
    <w:tmpl w:val="3D216BA6"/>
    <w:lvl w:ilvl="0" w:tentative="0">
      <w:start w:val="1"/>
      <w:numFmt w:val="decimal"/>
      <w:lvlText w:val="(%1)"/>
      <w:lvlJc w:val="left"/>
      <w:pPr>
        <w:ind w:left="425" w:hanging="425"/>
      </w:pPr>
      <w:rPr>
        <w:rFonts w:hint="default"/>
      </w:rPr>
    </w:lvl>
  </w:abstractNum>
  <w:abstractNum w:abstractNumId="12">
    <w:nsid w:val="5C6A04CC"/>
    <w:multiLevelType w:val="singleLevel"/>
    <w:tmpl w:val="5C6A04CC"/>
    <w:lvl w:ilvl="0" w:tentative="0">
      <w:start w:val="1"/>
      <w:numFmt w:val="chineseCounting"/>
      <w:suff w:val="space"/>
      <w:lvlText w:val="第%1章"/>
      <w:lvlJc w:val="left"/>
      <w:rPr>
        <w:rFonts w:hint="eastAsia"/>
      </w:rPr>
    </w:lvl>
  </w:abstractNum>
  <w:num w:numId="1">
    <w:abstractNumId w:val="12"/>
  </w:num>
  <w:num w:numId="2">
    <w:abstractNumId w:val="4"/>
  </w:num>
  <w:num w:numId="3">
    <w:abstractNumId w:val="2"/>
  </w:num>
  <w:num w:numId="4">
    <w:abstractNumId w:val="6"/>
  </w:num>
  <w:num w:numId="5">
    <w:abstractNumId w:val="3"/>
  </w:num>
  <w:num w:numId="6">
    <w:abstractNumId w:val="0"/>
  </w:num>
  <w:num w:numId="7">
    <w:abstractNumId w:val="8"/>
  </w:num>
  <w:num w:numId="8">
    <w:abstractNumId w:val="5"/>
  </w:num>
  <w:num w:numId="9">
    <w:abstractNumId w:val="11"/>
  </w:num>
  <w:num w:numId="10">
    <w:abstractNumId w:val="1"/>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69D3C54"/>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5423E6"/>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6">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autoRedefine/>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autoRedefine/>
    <w:qFormat/>
    <w:uiPriority w:val="28"/>
  </w:style>
  <w:style w:type="paragraph" w:styleId="12">
    <w:name w:val="Subtitle"/>
    <w:basedOn w:val="1"/>
    <w:next w:val="1"/>
    <w:autoRedefine/>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6"/>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customStyle="1" w:styleId="23">
    <w:name w:val="Table Paragraph"/>
    <w:basedOn w:val="1"/>
    <w:autoRedefine/>
    <w:qFormat/>
    <w:uiPriority w:val="1"/>
    <w:rPr>
      <w:rFonts w:ascii="宋体" w:hAnsi="宋体" w:eastAsia="宋体" w:cs="宋体"/>
      <w:lang w:val="zh-CN" w:eastAsia="zh-CN" w:bidi="zh-CN"/>
    </w:rPr>
  </w:style>
  <w:style w:type="character" w:customStyle="1" w:styleId="24">
    <w:name w:val="font11"/>
    <w:basedOn w:val="17"/>
    <w:autoRedefine/>
    <w:qFormat/>
    <w:uiPriority w:val="0"/>
    <w:rPr>
      <w:rFonts w:hint="eastAsia" w:ascii="宋体" w:hAnsi="宋体" w:eastAsia="宋体" w:cs="宋体"/>
      <w:color w:val="000000"/>
      <w:sz w:val="21"/>
      <w:szCs w:val="21"/>
      <w:u w:val="none"/>
    </w:rPr>
  </w:style>
  <w:style w:type="character" w:customStyle="1" w:styleId="25">
    <w:name w:val="font21"/>
    <w:basedOn w:val="17"/>
    <w:autoRedefine/>
    <w:qFormat/>
    <w:uiPriority w:val="0"/>
    <w:rPr>
      <w:rFonts w:hint="eastAsia" w:ascii="宋体" w:hAnsi="宋体" w:eastAsia="宋体" w:cs="宋体"/>
      <w:color w:val="000000"/>
      <w:sz w:val="21"/>
      <w:szCs w:val="21"/>
      <w:u w:val="none"/>
    </w:rPr>
  </w:style>
  <w:style w:type="paragraph" w:customStyle="1" w:styleId="26">
    <w:name w:val="列出段落1"/>
    <w:basedOn w:val="1"/>
    <w:autoRedefine/>
    <w:qFormat/>
    <w:uiPriority w:val="34"/>
    <w:pPr>
      <w:ind w:firstLine="420" w:firstLineChars="200"/>
    </w:pPr>
    <w:rPr>
      <w:rFonts w:ascii="Calibri" w:hAnsi="Calibri"/>
    </w:rPr>
  </w:style>
  <w:style w:type="character" w:customStyle="1" w:styleId="27">
    <w:name w:val="font41"/>
    <w:basedOn w:val="17"/>
    <w:autoRedefine/>
    <w:qFormat/>
    <w:uiPriority w:val="0"/>
    <w:rPr>
      <w:rFonts w:hint="default" w:ascii="Times New Roman" w:hAnsi="Times New Roman" w:cs="Times New Roman"/>
      <w:color w:val="000000"/>
      <w:sz w:val="24"/>
      <w:szCs w:val="24"/>
      <w:u w:val="none"/>
    </w:rPr>
  </w:style>
  <w:style w:type="character" w:customStyle="1" w:styleId="28">
    <w:name w:val="font31"/>
    <w:basedOn w:val="17"/>
    <w:autoRedefine/>
    <w:qFormat/>
    <w:uiPriority w:val="0"/>
    <w:rPr>
      <w:rFonts w:ascii="等线" w:hAnsi="等线" w:eastAsia="等线" w:cs="等线"/>
      <w:color w:val="000000"/>
      <w:sz w:val="24"/>
      <w:szCs w:val="24"/>
      <w:u w:val="none"/>
    </w:rPr>
  </w:style>
  <w:style w:type="character" w:customStyle="1" w:styleId="29">
    <w:name w:val="font61"/>
    <w:basedOn w:val="17"/>
    <w:autoRedefine/>
    <w:qFormat/>
    <w:uiPriority w:val="0"/>
    <w:rPr>
      <w:rFonts w:hint="default" w:ascii="Times New Roman" w:hAnsi="Times New Roman" w:cs="Times New Roman"/>
      <w:color w:val="000000"/>
      <w:sz w:val="24"/>
      <w:szCs w:val="24"/>
      <w:u w:val="none"/>
    </w:rPr>
  </w:style>
  <w:style w:type="paragraph" w:styleId="30">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8270</Words>
  <Characters>8977</Characters>
  <Lines>1</Lines>
  <Paragraphs>1</Paragraphs>
  <TotalTime>0</TotalTime>
  <ScaleCrop>false</ScaleCrop>
  <LinksUpToDate>false</LinksUpToDate>
  <CharactersWithSpaces>9531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2025-05-07T08:54:33Z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4DBFADE4AFA54573B69A4094BA28F2F6_13</vt:lpwstr>
  </property>
  <property fmtid="{D5CDD505-2E9C-101B-9397-08002B2CF9AE}" pid="4" name="KSOTemplateDocerSaveRecord">
    <vt:lpwstr>eyJoZGlkIjoiM2I5YmQyM2VlMzIyNzg3MTM0MjMzMjczYWU0N2U3MTciLCJ1c2VySWQiOiI3ODA0NjkwMjMifQ==</vt:lpwstr>
  </property>
</Properties>
</file>