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3271B3EF">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2A933BD0">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心脏脉冲电场消融系统项目</w:t>
      </w:r>
      <w:bookmarkEnd w:id="1"/>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p w14:paraId="6E4C0A80">
      <w:pPr>
        <w:rPr>
          <w:rFonts w:hint="eastAsia" w:hAnsi="宋体"/>
          <w:sz w:val="24"/>
          <w:szCs w:val="24"/>
          <w:lang w:val="en-US" w:eastAsia="zh-CN"/>
        </w:rPr>
      </w:pPr>
      <w:r>
        <w:rPr>
          <w:rFonts w:hint="eastAsia" w:hAnsi="宋体"/>
          <w:sz w:val="24"/>
          <w:szCs w:val="24"/>
          <w:lang w:val="en-US" w:eastAsia="zh-CN"/>
        </w:rPr>
        <w:t xml:space="preserve">  </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6199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099FF4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BD9CB56">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97F259A">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60C524A">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5803A6D">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0CE3426E">
            <w:pPr>
              <w:rPr>
                <w:rFonts w:hint="eastAsia" w:ascii="宋体" w:hAnsi="宋体" w:eastAsia="宋体" w:cs="宋体"/>
                <w:sz w:val="24"/>
                <w:szCs w:val="24"/>
              </w:rPr>
            </w:pPr>
            <w:r>
              <w:rPr>
                <w:rFonts w:hint="eastAsia" w:ascii="宋体" w:hAnsi="宋体" w:eastAsia="宋体" w:cs="宋体"/>
                <w:sz w:val="24"/>
                <w:szCs w:val="24"/>
              </w:rPr>
              <w:t>预算总价</w:t>
            </w:r>
          </w:p>
        </w:tc>
      </w:tr>
      <w:tr w14:paraId="5B2C1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323207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E11A398">
            <w:pPr>
              <w:rPr>
                <w:rFonts w:hint="default" w:ascii="宋体" w:hAnsi="宋体" w:eastAsia="宋体" w:cs="宋体"/>
                <w:lang w:val="en-US" w:eastAsia="zh-CN"/>
              </w:rPr>
            </w:pPr>
            <w:r>
              <w:rPr>
                <w:rFonts w:hint="eastAsia" w:ascii="宋体" w:hAnsi="宋体" w:eastAsia="宋体" w:cs="宋体"/>
                <w:lang w:val="en-US" w:eastAsia="zh-CN"/>
              </w:rPr>
              <w:t>心脏脉冲电场消融系统</w:t>
            </w:r>
            <w:r>
              <w:rPr>
                <w:rFonts w:hint="default" w:ascii="宋体" w:hAnsi="宋体" w:eastAsia="宋体" w:cs="宋体"/>
                <w:lang w:val="en-US" w:eastAsia="zh-CN"/>
              </w:rPr>
              <w:t>项目</w:t>
            </w:r>
          </w:p>
        </w:tc>
        <w:tc>
          <w:tcPr>
            <w:tcW w:w="903" w:type="dxa"/>
            <w:vAlign w:val="center"/>
          </w:tcPr>
          <w:p w14:paraId="207A4D7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7EAD3F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3D27C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c>
          <w:tcPr>
            <w:tcW w:w="1596" w:type="dxa"/>
            <w:vAlign w:val="center"/>
          </w:tcPr>
          <w:p w14:paraId="33750D6B">
            <w:pPr>
              <w:rPr>
                <w:rFonts w:hint="default" w:ascii="宋体" w:hAnsi="宋体" w:eastAsia="宋体" w:cs="宋体"/>
                <w:sz w:val="24"/>
                <w:szCs w:val="24"/>
                <w:lang w:val="en-US"/>
              </w:rPr>
            </w:pPr>
            <w:r>
              <w:rPr>
                <w:rFonts w:hint="eastAsia" w:ascii="宋体" w:hAnsi="宋体" w:eastAsia="宋体" w:cs="宋体"/>
                <w:sz w:val="24"/>
                <w:szCs w:val="24"/>
                <w:lang w:val="en-US" w:eastAsia="zh-CN"/>
              </w:rPr>
              <w:t>790000</w:t>
            </w:r>
          </w:p>
        </w:tc>
      </w:tr>
      <w:tr w14:paraId="4FC48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4148AB5">
            <w:pPr>
              <w:rPr>
                <w:rFonts w:hint="eastAsia" w:ascii="宋体" w:hAnsi="宋体" w:eastAsia="宋体" w:cs="宋体"/>
                <w:sz w:val="24"/>
                <w:szCs w:val="24"/>
              </w:rPr>
            </w:pPr>
          </w:p>
        </w:tc>
        <w:tc>
          <w:tcPr>
            <w:tcW w:w="5932" w:type="dxa"/>
            <w:gridSpan w:val="4"/>
            <w:vAlign w:val="center"/>
          </w:tcPr>
          <w:p w14:paraId="157577BB">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A23C0F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14:paraId="49DB9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497497D">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5F9EDF0">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4208F3C">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567F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36CB8C0">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6D0C505E">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23B01BF">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888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87A9E37">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42FCEF8">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2CDDD26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3B37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F989526">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6C057B89">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6DE3299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454159C">
      <w:pPr>
        <w:rPr>
          <w:rFonts w:hint="eastAsia" w:hAnsi="宋体"/>
          <w:sz w:val="24"/>
          <w:szCs w:val="24"/>
          <w:lang w:val="en-US" w:eastAsia="zh-CN"/>
        </w:rPr>
      </w:pP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55870D5">
      <w:pPr>
        <w:spacing w:line="360" w:lineRule="auto"/>
        <w:jc w:val="left"/>
        <w:rPr>
          <w:rFonts w:hint="eastAsia" w:ascii="宋体" w:hAnsi="宋体" w:eastAsia="宋体"/>
          <w:sz w:val="28"/>
          <w:szCs w:val="28"/>
          <w:u w:val="single"/>
        </w:rPr>
      </w:pPr>
      <w:r>
        <w:rPr>
          <w:rFonts w:hint="eastAsia" w:ascii="宋体" w:hAnsi="宋体" w:eastAsia="宋体"/>
          <w:sz w:val="32"/>
          <w:szCs w:val="32"/>
        </w:rPr>
        <w:t>（</w:t>
      </w: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本项目包含1套心脏脉冲电场消融系统，用于阵发性房颤的治疗。</w:t>
      </w:r>
    </w:p>
    <w:p w14:paraId="3BDC7F9E">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0CDB028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BBB8EC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3599071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06B195BD">
            <w:pPr>
              <w:spacing w:line="240" w:lineRule="auto"/>
              <w:rPr>
                <w:rFonts w:hint="eastAsia" w:ascii="宋体" w:hAnsi="宋体" w:eastAsia="宋体" w:cs="宋体"/>
                <w:sz w:val="21"/>
                <w:szCs w:val="21"/>
              </w:rPr>
            </w:pPr>
            <w:r>
              <w:rPr>
                <w:rFonts w:hint="eastAsia" w:ascii="宋体" w:hAnsi="宋体" w:eastAsia="宋体" w:cs="宋体"/>
                <w:sz w:val="21"/>
                <w:szCs w:val="21"/>
              </w:rPr>
              <w:t>设备用途：用于产生脉冲电场能量，配合一次性使用心脏脉冲电场消融导管，用于药物难治性、复发性、症状性的阵发性房颤患者的治疗。</w:t>
            </w:r>
          </w:p>
        </w:tc>
      </w:tr>
      <w:tr w14:paraId="4EB2EC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29D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280D0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53BEF93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设备应由</w:t>
            </w:r>
            <w:r>
              <w:rPr>
                <w:rFonts w:hint="eastAsia" w:ascii="宋体" w:hAnsi="宋体" w:eastAsia="宋体" w:cs="宋体"/>
                <w:sz w:val="21"/>
                <w:szCs w:val="21"/>
              </w:rPr>
              <w:t>主机、显示器（</w:t>
            </w:r>
            <w:r>
              <w:rPr>
                <w:rFonts w:hint="eastAsia" w:ascii="宋体" w:hAnsi="宋体" w:eastAsia="宋体" w:cs="宋体"/>
                <w:sz w:val="21"/>
                <w:szCs w:val="21"/>
                <w:lang w:val="en-US" w:eastAsia="zh-CN"/>
              </w:rPr>
              <w:t>应为</w:t>
            </w:r>
            <w:r>
              <w:rPr>
                <w:rFonts w:hint="eastAsia" w:ascii="宋体" w:hAnsi="宋体" w:eastAsia="宋体" w:cs="宋体"/>
                <w:sz w:val="21"/>
                <w:szCs w:val="21"/>
              </w:rPr>
              <w:t>触摸屏）、连接配件等构成</w:t>
            </w:r>
            <w:r>
              <w:rPr>
                <w:rFonts w:hint="eastAsia" w:ascii="宋体" w:hAnsi="宋体" w:eastAsia="宋体" w:cs="宋体"/>
                <w:sz w:val="21"/>
                <w:szCs w:val="21"/>
                <w:lang w:eastAsia="zh-CN"/>
              </w:rPr>
              <w:t>。</w:t>
            </w:r>
          </w:p>
        </w:tc>
      </w:tr>
      <w:tr w14:paraId="4EC8BF2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AB9F1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3B50A22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w:t>
            </w:r>
          </w:p>
        </w:tc>
        <w:tc>
          <w:tcPr>
            <w:tcW w:w="7061" w:type="dxa"/>
            <w:tcBorders>
              <w:top w:val="single" w:color="auto" w:sz="4" w:space="0"/>
              <w:left w:val="nil"/>
              <w:bottom w:val="single" w:color="auto" w:sz="4" w:space="0"/>
              <w:right w:val="single" w:color="auto" w:sz="4" w:space="0"/>
            </w:tcBorders>
            <w:vAlign w:val="center"/>
          </w:tcPr>
          <w:p w14:paraId="3137EC6A">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脉冲消融系统输出的</w:t>
            </w:r>
            <w:r>
              <w:rPr>
                <w:rFonts w:hint="eastAsia" w:ascii="宋体" w:hAnsi="宋体" w:eastAsia="宋体" w:cs="宋体"/>
                <w:sz w:val="21"/>
                <w:szCs w:val="21"/>
                <w:lang w:val="en-US" w:eastAsia="zh-CN"/>
              </w:rPr>
              <w:t>应为</w:t>
            </w:r>
            <w:r>
              <w:rPr>
                <w:rFonts w:hint="eastAsia" w:ascii="宋体" w:hAnsi="宋体" w:eastAsia="宋体" w:cs="宋体"/>
                <w:sz w:val="21"/>
                <w:szCs w:val="21"/>
              </w:rPr>
              <w:t>双极双相脉冲波</w:t>
            </w:r>
            <w:r>
              <w:rPr>
                <w:rFonts w:hint="eastAsia" w:ascii="宋体" w:hAnsi="宋体" w:eastAsia="宋体" w:cs="宋体"/>
                <w:sz w:val="21"/>
                <w:szCs w:val="21"/>
                <w:lang w:eastAsia="zh-CN"/>
              </w:rPr>
              <w:t>。</w:t>
            </w:r>
          </w:p>
        </w:tc>
      </w:tr>
      <w:tr w14:paraId="0E22A6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5C33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47FBF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w:t>
            </w:r>
          </w:p>
        </w:tc>
        <w:tc>
          <w:tcPr>
            <w:tcW w:w="7061" w:type="dxa"/>
            <w:tcBorders>
              <w:top w:val="single" w:color="auto" w:sz="4" w:space="0"/>
              <w:left w:val="nil"/>
              <w:bottom w:val="single" w:color="auto" w:sz="4" w:space="0"/>
              <w:right w:val="single" w:color="auto" w:sz="4" w:space="0"/>
            </w:tcBorders>
            <w:vAlign w:val="center"/>
          </w:tcPr>
          <w:p w14:paraId="1CF3BC36">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输出电压准确性：平均输出脉冲电压为电压设置的±5%以内</w:t>
            </w:r>
            <w:r>
              <w:rPr>
                <w:rFonts w:hint="eastAsia" w:ascii="宋体" w:hAnsi="宋体" w:eastAsia="宋体" w:cs="宋体"/>
                <w:sz w:val="21"/>
                <w:szCs w:val="21"/>
                <w:lang w:eastAsia="zh-CN"/>
              </w:rPr>
              <w:t>。</w:t>
            </w:r>
          </w:p>
        </w:tc>
      </w:tr>
      <w:tr w14:paraId="3EDA1E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47E7A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4F8FFD1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5</w:t>
            </w:r>
          </w:p>
        </w:tc>
        <w:tc>
          <w:tcPr>
            <w:tcW w:w="7061" w:type="dxa"/>
            <w:tcBorders>
              <w:top w:val="single" w:color="auto" w:sz="4" w:space="0"/>
              <w:left w:val="nil"/>
              <w:bottom w:val="single" w:color="auto" w:sz="4" w:space="0"/>
              <w:right w:val="single" w:color="auto" w:sz="4" w:space="0"/>
            </w:tcBorders>
            <w:vAlign w:val="center"/>
          </w:tcPr>
          <w:p w14:paraId="61EC3C81">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输出电压档位选择：≥3档</w:t>
            </w:r>
            <w:r>
              <w:rPr>
                <w:rFonts w:hint="eastAsia" w:ascii="宋体" w:hAnsi="宋体" w:eastAsia="宋体" w:cs="宋体"/>
                <w:sz w:val="21"/>
                <w:szCs w:val="21"/>
                <w:lang w:eastAsia="zh-CN"/>
              </w:rPr>
              <w:t>。</w:t>
            </w:r>
          </w:p>
        </w:tc>
      </w:tr>
      <w:tr w14:paraId="20C6AA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98191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086BA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6</w:t>
            </w:r>
          </w:p>
        </w:tc>
        <w:tc>
          <w:tcPr>
            <w:tcW w:w="7061" w:type="dxa"/>
            <w:tcBorders>
              <w:top w:val="single" w:color="auto" w:sz="4" w:space="0"/>
              <w:left w:val="nil"/>
              <w:bottom w:val="single" w:color="auto" w:sz="4" w:space="0"/>
              <w:right w:val="single" w:color="auto" w:sz="4" w:space="0"/>
            </w:tcBorders>
            <w:vAlign w:val="center"/>
          </w:tcPr>
          <w:p w14:paraId="701640F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消融系统输出的消融脉冲宽度偏离值≤200ns</w:t>
            </w:r>
            <w:r>
              <w:rPr>
                <w:rFonts w:hint="eastAsia" w:ascii="宋体" w:hAnsi="宋体" w:eastAsia="宋体" w:cs="宋体"/>
                <w:sz w:val="21"/>
                <w:szCs w:val="21"/>
                <w:lang w:eastAsia="zh-CN"/>
              </w:rPr>
              <w:t>。</w:t>
            </w:r>
          </w:p>
        </w:tc>
      </w:tr>
      <w:tr w14:paraId="59161D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357DD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28997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7</w:t>
            </w:r>
          </w:p>
        </w:tc>
        <w:tc>
          <w:tcPr>
            <w:tcW w:w="7061" w:type="dxa"/>
            <w:tcBorders>
              <w:top w:val="single" w:color="auto" w:sz="4" w:space="0"/>
              <w:left w:val="nil"/>
              <w:bottom w:val="single" w:color="auto" w:sz="4" w:space="0"/>
              <w:right w:val="single" w:color="auto" w:sz="4" w:space="0"/>
            </w:tcBorders>
            <w:vAlign w:val="center"/>
          </w:tcPr>
          <w:p w14:paraId="08950CB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具备两种消融模式：同步模式、异步模式。在同步消融模式下，具备心脏刺激功能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系统可提供</w:t>
            </w:r>
            <w:r>
              <w:rPr>
                <w:rFonts w:hint="eastAsia" w:ascii="宋体" w:hAnsi="宋体" w:eastAsia="宋体" w:cs="宋体"/>
                <w:color w:val="000000" w:themeColor="text1"/>
                <w:sz w:val="21"/>
                <w:szCs w:val="21"/>
                <w:lang w:val="en-US" w:eastAsia="zh-CN"/>
                <w14:textFill>
                  <w14:solidFill>
                    <w14:schemeClr w14:val="tx1"/>
                  </w14:solidFill>
                </w14:textFill>
              </w:rPr>
              <w:t>至少</w:t>
            </w:r>
            <w:r>
              <w:rPr>
                <w:rFonts w:hint="eastAsia" w:ascii="宋体" w:hAnsi="宋体" w:eastAsia="宋体" w:cs="宋体"/>
                <w:color w:val="000000" w:themeColor="text1"/>
                <w:sz w:val="21"/>
                <w:szCs w:val="21"/>
                <w14:textFill>
                  <w14:solidFill>
                    <w14:schemeClr w14:val="tx1"/>
                  </w14:solidFill>
                </w14:textFill>
              </w:rPr>
              <w:t>2个心脏刺激输出通道。</w:t>
            </w:r>
          </w:p>
        </w:tc>
      </w:tr>
      <w:tr w14:paraId="3D9DD7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8D77B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3741BB">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8</w:t>
            </w:r>
          </w:p>
        </w:tc>
        <w:tc>
          <w:tcPr>
            <w:tcW w:w="7061" w:type="dxa"/>
            <w:tcBorders>
              <w:top w:val="single" w:color="auto" w:sz="4" w:space="0"/>
              <w:left w:val="nil"/>
              <w:bottom w:val="single" w:color="auto" w:sz="4" w:space="0"/>
              <w:right w:val="single" w:color="auto" w:sz="4" w:space="0"/>
            </w:tcBorders>
            <w:vAlign w:val="center"/>
          </w:tcPr>
          <w:p w14:paraId="05E1AC5B">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输出电流限制保护：消融仪</w:t>
            </w:r>
            <w:r>
              <w:rPr>
                <w:rFonts w:hint="eastAsia" w:ascii="宋体" w:hAnsi="宋体" w:eastAsia="宋体" w:cs="宋体"/>
                <w:sz w:val="21"/>
                <w:szCs w:val="21"/>
                <w:lang w:val="en-US" w:eastAsia="zh-CN"/>
              </w:rPr>
              <w:t>应</w:t>
            </w:r>
            <w:r>
              <w:rPr>
                <w:rFonts w:hint="eastAsia" w:ascii="宋体" w:hAnsi="宋体" w:eastAsia="宋体" w:cs="宋体"/>
                <w:sz w:val="21"/>
                <w:szCs w:val="21"/>
              </w:rPr>
              <w:t>内置有电流监测功能，当发生电流超过预设阈值时，消融仪可以识别并终止能量输出</w:t>
            </w:r>
            <w:r>
              <w:rPr>
                <w:rFonts w:hint="eastAsia" w:ascii="宋体" w:hAnsi="宋体" w:eastAsia="宋体" w:cs="宋体"/>
                <w:sz w:val="21"/>
                <w:szCs w:val="21"/>
                <w:lang w:eastAsia="zh-CN"/>
              </w:rPr>
              <w:t>。</w:t>
            </w:r>
          </w:p>
        </w:tc>
      </w:tr>
      <w:tr w14:paraId="7D430B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6480A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A7E51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9</w:t>
            </w:r>
          </w:p>
        </w:tc>
        <w:tc>
          <w:tcPr>
            <w:tcW w:w="7061" w:type="dxa"/>
            <w:tcBorders>
              <w:top w:val="single" w:color="auto" w:sz="4" w:space="0"/>
              <w:left w:val="nil"/>
              <w:bottom w:val="single" w:color="auto" w:sz="4" w:space="0"/>
              <w:right w:val="single" w:color="auto" w:sz="4" w:space="0"/>
            </w:tcBorders>
            <w:vAlign w:val="center"/>
          </w:tcPr>
          <w:p w14:paraId="040CE1E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开机自检功能：在首次通电时</w:t>
            </w:r>
            <w:r>
              <w:rPr>
                <w:rFonts w:hint="eastAsia" w:ascii="宋体" w:hAnsi="宋体" w:eastAsia="宋体" w:cs="宋体"/>
                <w:sz w:val="21"/>
                <w:szCs w:val="21"/>
                <w:lang w:val="en-US" w:eastAsia="zh-CN"/>
              </w:rPr>
              <w:t>应</w:t>
            </w:r>
            <w:r>
              <w:rPr>
                <w:rFonts w:hint="eastAsia" w:ascii="宋体" w:hAnsi="宋体" w:eastAsia="宋体" w:cs="宋体"/>
                <w:sz w:val="21"/>
                <w:szCs w:val="21"/>
              </w:rPr>
              <w:t>进行全面的开机自检，每次消融前有内部监测和自检。</w:t>
            </w:r>
          </w:p>
        </w:tc>
      </w:tr>
      <w:tr w14:paraId="24EEA3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7A582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94724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10</w:t>
            </w:r>
          </w:p>
        </w:tc>
        <w:tc>
          <w:tcPr>
            <w:tcW w:w="7061" w:type="dxa"/>
            <w:tcBorders>
              <w:top w:val="single" w:color="auto" w:sz="4" w:space="0"/>
              <w:left w:val="nil"/>
              <w:bottom w:val="single" w:color="auto" w:sz="4" w:space="0"/>
              <w:right w:val="single" w:color="auto" w:sz="4" w:space="0"/>
            </w:tcBorders>
            <w:vAlign w:val="center"/>
          </w:tcPr>
          <w:p w14:paraId="1DF040B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手术过程中随时可以查看关键手术事件的列表，事件条数无上限</w:t>
            </w:r>
            <w:r>
              <w:rPr>
                <w:rFonts w:hint="eastAsia" w:ascii="宋体" w:hAnsi="宋体" w:eastAsia="宋体" w:cs="宋体"/>
                <w:sz w:val="21"/>
                <w:szCs w:val="21"/>
                <w:lang w:eastAsia="zh-CN"/>
              </w:rPr>
              <w:t>。</w:t>
            </w:r>
          </w:p>
        </w:tc>
      </w:tr>
      <w:tr w14:paraId="261B7B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9B128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21CEC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11</w:t>
            </w:r>
          </w:p>
        </w:tc>
        <w:tc>
          <w:tcPr>
            <w:tcW w:w="7061" w:type="dxa"/>
            <w:tcBorders>
              <w:top w:val="single" w:color="auto" w:sz="4" w:space="0"/>
              <w:left w:val="nil"/>
              <w:bottom w:val="single" w:color="auto" w:sz="4" w:space="0"/>
              <w:right w:val="single" w:color="auto" w:sz="4" w:space="0"/>
            </w:tcBorders>
            <w:vAlign w:val="center"/>
          </w:tcPr>
          <w:p w14:paraId="13079CEA">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故障报错功能：能显示描述性诊断信息</w:t>
            </w:r>
            <w:r>
              <w:rPr>
                <w:rFonts w:hint="eastAsia" w:ascii="宋体" w:hAnsi="宋体" w:eastAsia="宋体" w:cs="宋体"/>
                <w:sz w:val="21"/>
                <w:szCs w:val="21"/>
                <w:lang w:eastAsia="zh-CN"/>
              </w:rPr>
              <w:t>，</w:t>
            </w:r>
            <w:r>
              <w:rPr>
                <w:rFonts w:hint="eastAsia" w:ascii="宋体" w:hAnsi="宋体" w:eastAsia="宋体" w:cs="宋体"/>
                <w:sz w:val="21"/>
                <w:szCs w:val="21"/>
              </w:rPr>
              <w:t>用于故障检修</w:t>
            </w:r>
            <w:r>
              <w:rPr>
                <w:rFonts w:hint="eastAsia" w:ascii="宋体" w:hAnsi="宋体" w:eastAsia="宋体" w:cs="宋体"/>
                <w:sz w:val="21"/>
                <w:szCs w:val="21"/>
                <w:lang w:eastAsia="zh-CN"/>
              </w:rPr>
              <w:t>。</w:t>
            </w:r>
          </w:p>
        </w:tc>
      </w:tr>
      <w:tr w14:paraId="684504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9DBF6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00C4247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12</w:t>
            </w:r>
          </w:p>
        </w:tc>
        <w:tc>
          <w:tcPr>
            <w:tcW w:w="7061" w:type="dxa"/>
            <w:tcBorders>
              <w:top w:val="single" w:color="auto" w:sz="4" w:space="0"/>
              <w:left w:val="nil"/>
              <w:bottom w:val="single" w:color="auto" w:sz="4" w:space="0"/>
              <w:right w:val="single" w:color="auto" w:sz="4" w:space="0"/>
            </w:tcBorders>
            <w:vAlign w:val="center"/>
          </w:tcPr>
          <w:p w14:paraId="7FB89BF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单次手术中能量输出次数无上限</w:t>
            </w:r>
            <w:r>
              <w:rPr>
                <w:rFonts w:hint="eastAsia" w:ascii="宋体" w:hAnsi="宋体" w:eastAsia="宋体" w:cs="宋体"/>
                <w:sz w:val="21"/>
                <w:szCs w:val="21"/>
                <w:lang w:eastAsia="zh-CN"/>
              </w:rPr>
              <w:t>。</w:t>
            </w:r>
          </w:p>
        </w:tc>
      </w:tr>
      <w:tr w14:paraId="5E6A0B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0351D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676B9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13</w:t>
            </w:r>
          </w:p>
        </w:tc>
        <w:tc>
          <w:tcPr>
            <w:tcW w:w="7061" w:type="dxa"/>
            <w:tcBorders>
              <w:top w:val="single" w:color="auto" w:sz="4" w:space="0"/>
              <w:left w:val="nil"/>
              <w:bottom w:val="single" w:color="auto" w:sz="4" w:space="0"/>
              <w:right w:val="single" w:color="auto" w:sz="4" w:space="0"/>
            </w:tcBorders>
            <w:vAlign w:val="center"/>
          </w:tcPr>
          <w:p w14:paraId="0F983D08">
            <w:pPr>
              <w:spacing w:line="240" w:lineRule="auto"/>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应采用</w:t>
            </w:r>
            <w:r>
              <w:rPr>
                <w:rFonts w:hint="eastAsia" w:ascii="宋体" w:hAnsi="宋体" w:eastAsia="宋体" w:cs="宋体"/>
                <w:color w:val="000000" w:themeColor="text1"/>
                <w:sz w:val="21"/>
                <w:szCs w:val="21"/>
                <w14:textFill>
                  <w14:solidFill>
                    <w14:schemeClr w14:val="tx1"/>
                  </w14:solidFill>
                </w14:textFill>
              </w:rPr>
              <w:t>独立外置信号记录模块设计，</w:t>
            </w:r>
            <w:r>
              <w:rPr>
                <w:rFonts w:hint="eastAsia" w:ascii="宋体" w:hAnsi="宋体" w:eastAsia="宋体" w:cs="宋体"/>
                <w:color w:val="000000" w:themeColor="text1"/>
                <w:sz w:val="21"/>
                <w:szCs w:val="21"/>
                <w:lang w:val="en-US" w:eastAsia="zh-CN"/>
                <w14:textFill>
                  <w14:solidFill>
                    <w14:schemeClr w14:val="tx1"/>
                  </w14:solidFill>
                </w14:textFill>
              </w:rPr>
              <w:t>以</w:t>
            </w:r>
            <w:r>
              <w:rPr>
                <w:rFonts w:hint="eastAsia" w:ascii="宋体" w:hAnsi="宋体" w:eastAsia="宋体" w:cs="宋体"/>
                <w:color w:val="000000" w:themeColor="text1"/>
                <w:sz w:val="21"/>
                <w:szCs w:val="21"/>
                <w14:textFill>
                  <w14:solidFill>
                    <w14:schemeClr w14:val="tx1"/>
                  </w14:solidFill>
                </w14:textFill>
              </w:rPr>
              <w:t>有效减少消融仪在放电过程中对导管室其他设备的电压脉冲影响。</w:t>
            </w:r>
          </w:p>
        </w:tc>
      </w:tr>
      <w:tr w14:paraId="48D63D5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00F7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27E3F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14</w:t>
            </w:r>
          </w:p>
        </w:tc>
        <w:tc>
          <w:tcPr>
            <w:tcW w:w="7061" w:type="dxa"/>
            <w:tcBorders>
              <w:top w:val="single" w:color="auto" w:sz="4" w:space="0"/>
              <w:left w:val="nil"/>
              <w:bottom w:val="single" w:color="auto" w:sz="4" w:space="0"/>
              <w:right w:val="single" w:color="auto" w:sz="4" w:space="0"/>
            </w:tcBorders>
            <w:vAlign w:val="center"/>
          </w:tcPr>
          <w:p w14:paraId="4961D286">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能够连接≥12针数的信号连接电缆，输出≥10导心脏电信号</w:t>
            </w:r>
            <w:r>
              <w:rPr>
                <w:rFonts w:hint="eastAsia" w:ascii="宋体" w:hAnsi="宋体" w:eastAsia="宋体" w:cs="宋体"/>
                <w:sz w:val="21"/>
                <w:szCs w:val="21"/>
                <w:lang w:eastAsia="zh-CN"/>
              </w:rPr>
              <w:t>。</w:t>
            </w:r>
          </w:p>
        </w:tc>
      </w:tr>
      <w:tr w14:paraId="425F16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4BCDE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6626AE2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15</w:t>
            </w:r>
          </w:p>
        </w:tc>
        <w:tc>
          <w:tcPr>
            <w:tcW w:w="7061" w:type="dxa"/>
            <w:tcBorders>
              <w:top w:val="single" w:color="auto" w:sz="4" w:space="0"/>
              <w:left w:val="nil"/>
              <w:bottom w:val="single" w:color="auto" w:sz="4" w:space="0"/>
              <w:right w:val="single" w:color="auto" w:sz="4" w:space="0"/>
            </w:tcBorders>
            <w:vAlign w:val="center"/>
          </w:tcPr>
          <w:p w14:paraId="74F3A71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可以使用触摸屏进行系统控制</w:t>
            </w:r>
            <w:r>
              <w:rPr>
                <w:rFonts w:hint="eastAsia" w:ascii="宋体" w:hAnsi="宋体" w:eastAsia="宋体" w:cs="宋体"/>
                <w:sz w:val="21"/>
                <w:szCs w:val="21"/>
                <w:lang w:eastAsia="zh-CN"/>
              </w:rPr>
              <w:t>。</w:t>
            </w:r>
          </w:p>
        </w:tc>
      </w:tr>
      <w:tr w14:paraId="2D7488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D9237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76DD616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1D5D9E51">
            <w:pPr>
              <w:spacing w:line="240" w:lineRule="auto"/>
              <w:rPr>
                <w:rFonts w:hint="default" w:ascii="宋体" w:hAnsi="宋体" w:eastAsia="宋体" w:cs="宋体"/>
                <w:sz w:val="21"/>
                <w:szCs w:val="21"/>
                <w:lang w:val="en-US"/>
              </w:rPr>
            </w:pPr>
            <w:r>
              <w:rPr>
                <w:rFonts w:hint="eastAsia" w:ascii="宋体" w:hAnsi="宋体" w:eastAsia="宋体" w:cs="宋体"/>
                <w:sz w:val="21"/>
                <w:szCs w:val="21"/>
                <w:lang w:val="en-US" w:eastAsia="zh-CN"/>
              </w:rPr>
              <w:t>所投产品配套用一次性医用耗材应进入内蒙古自治区阳光采购平台，诊疗项目可收费。</w:t>
            </w:r>
          </w:p>
        </w:tc>
      </w:tr>
      <w:tr w14:paraId="09B8D36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1B33084">
            <w:pPr>
              <w:widowControl/>
              <w:spacing w:line="240" w:lineRule="auto"/>
              <w:jc w:val="center"/>
              <w:rPr>
                <w:rFonts w:hint="eastAsia" w:ascii="宋体" w:hAnsi="宋体" w:eastAsia="宋体" w:cs="宋体"/>
                <w:kern w:val="2"/>
                <w:sz w:val="21"/>
                <w:szCs w:val="21"/>
                <w:lang w:val="en-US" w:eastAsia="zh-CN"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B48F3E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6801B31A">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投标人须附带单套设备配置清单，要求标明名称、生产厂家、规格型号、数量等信息。</w:t>
            </w:r>
          </w:p>
        </w:tc>
      </w:tr>
      <w:tr w14:paraId="7B4F49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D6B4B1B">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E5EC52">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2AAB6DA0">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投标人须提供投标产品的中华人民共和国医疗器械注册证或备案凭证，并在有效期内。</w:t>
            </w:r>
          </w:p>
        </w:tc>
      </w:tr>
      <w:tr w14:paraId="65CFC3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0DDEC5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234F617">
            <w:pPr>
              <w:widowControl/>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413CF71F">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BE590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E5373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86AECD">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0F536FCB">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684619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E7BF7B6">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2.非标“★”项，超过2项不满足作废标处理。</w:t>
            </w:r>
          </w:p>
        </w:tc>
      </w:tr>
    </w:tbl>
    <w:p w14:paraId="657F309D">
      <w:pPr>
        <w:numPr>
          <w:ilvl w:val="0"/>
          <w:numId w:val="0"/>
        </w:numPr>
        <w:tabs>
          <w:tab w:val="left" w:pos="312"/>
        </w:tabs>
        <w:spacing w:line="360" w:lineRule="auto"/>
        <w:jc w:val="left"/>
        <w:rPr>
          <w:rFonts w:hint="eastAsia" w:hAnsi="宋体"/>
          <w:sz w:val="24"/>
          <w:szCs w:val="24"/>
        </w:rPr>
      </w:pPr>
    </w:p>
    <w:p w14:paraId="43289DFB">
      <w:pPr>
        <w:numPr>
          <w:ilvl w:val="0"/>
          <w:numId w:val="0"/>
        </w:numPr>
        <w:tabs>
          <w:tab w:val="left" w:pos="312"/>
        </w:tabs>
        <w:spacing w:line="360" w:lineRule="auto"/>
        <w:jc w:val="left"/>
        <w:rPr>
          <w:rFonts w:hint="eastAsia" w:hAnsi="宋体"/>
          <w:sz w:val="24"/>
          <w:szCs w:val="24"/>
        </w:rPr>
      </w:pPr>
    </w:p>
    <w:p w14:paraId="2A4CBBF1">
      <w:pPr>
        <w:numPr>
          <w:ilvl w:val="0"/>
          <w:numId w:val="0"/>
        </w:numPr>
        <w:tabs>
          <w:tab w:val="left" w:pos="312"/>
        </w:tabs>
        <w:spacing w:line="360" w:lineRule="auto"/>
        <w:jc w:val="left"/>
        <w:rPr>
          <w:rFonts w:hint="eastAsia" w:hAnsi="宋体"/>
          <w:sz w:val="24"/>
          <w:szCs w:val="24"/>
        </w:rPr>
      </w:pPr>
    </w:p>
    <w:p w14:paraId="33E71A8C">
      <w:pPr>
        <w:numPr>
          <w:ilvl w:val="0"/>
          <w:numId w:val="0"/>
        </w:numPr>
        <w:tabs>
          <w:tab w:val="left" w:pos="312"/>
        </w:tabs>
        <w:spacing w:line="360" w:lineRule="auto"/>
        <w:jc w:val="left"/>
        <w:rPr>
          <w:rFonts w:hint="eastAsia" w:hAnsi="宋体"/>
          <w:sz w:val="24"/>
          <w:szCs w:val="24"/>
        </w:rPr>
      </w:pPr>
    </w:p>
    <w:p w14:paraId="7D2A8176">
      <w:pPr>
        <w:numPr>
          <w:ilvl w:val="0"/>
          <w:numId w:val="0"/>
        </w:numPr>
        <w:tabs>
          <w:tab w:val="left" w:pos="312"/>
        </w:tabs>
        <w:spacing w:line="360" w:lineRule="auto"/>
        <w:jc w:val="left"/>
        <w:rPr>
          <w:rFonts w:hint="eastAsia" w:hAnsi="宋体"/>
          <w:sz w:val="24"/>
          <w:szCs w:val="24"/>
        </w:rPr>
      </w:pPr>
    </w:p>
    <w:p w14:paraId="2193D97A">
      <w:pPr>
        <w:numPr>
          <w:ilvl w:val="0"/>
          <w:numId w:val="0"/>
        </w:numPr>
        <w:tabs>
          <w:tab w:val="left" w:pos="312"/>
        </w:tabs>
        <w:spacing w:line="360" w:lineRule="auto"/>
        <w:jc w:val="left"/>
        <w:rPr>
          <w:rFonts w:hint="eastAsia" w:hAnsi="宋体"/>
          <w:sz w:val="24"/>
          <w:szCs w:val="24"/>
        </w:rPr>
      </w:pPr>
    </w:p>
    <w:p w14:paraId="1F8052A7">
      <w:pPr>
        <w:numPr>
          <w:ilvl w:val="0"/>
          <w:numId w:val="0"/>
        </w:numPr>
        <w:tabs>
          <w:tab w:val="left" w:pos="312"/>
        </w:tabs>
        <w:spacing w:line="360" w:lineRule="auto"/>
        <w:jc w:val="left"/>
        <w:rPr>
          <w:rFonts w:hint="eastAsia" w:hAnsi="宋体"/>
          <w:sz w:val="24"/>
          <w:szCs w:val="24"/>
        </w:rPr>
      </w:pPr>
    </w:p>
    <w:p w14:paraId="07E806C2">
      <w:pPr>
        <w:numPr>
          <w:ilvl w:val="0"/>
          <w:numId w:val="0"/>
        </w:numPr>
        <w:tabs>
          <w:tab w:val="left" w:pos="312"/>
        </w:tabs>
        <w:spacing w:line="360" w:lineRule="auto"/>
        <w:jc w:val="left"/>
        <w:rPr>
          <w:rFonts w:hint="eastAsia" w:hAnsi="宋体"/>
          <w:sz w:val="24"/>
          <w:szCs w:val="24"/>
        </w:rPr>
      </w:pPr>
    </w:p>
    <w:p w14:paraId="579B024C">
      <w:pPr>
        <w:numPr>
          <w:ilvl w:val="0"/>
          <w:numId w:val="0"/>
        </w:numPr>
        <w:tabs>
          <w:tab w:val="left" w:pos="312"/>
        </w:tabs>
        <w:spacing w:line="360" w:lineRule="auto"/>
        <w:jc w:val="left"/>
        <w:rPr>
          <w:rFonts w:hint="eastAsia" w:hAnsi="宋体"/>
          <w:sz w:val="24"/>
          <w:szCs w:val="24"/>
        </w:rPr>
      </w:pPr>
    </w:p>
    <w:p w14:paraId="10162E0B">
      <w:pPr>
        <w:numPr>
          <w:ilvl w:val="0"/>
          <w:numId w:val="0"/>
        </w:numPr>
        <w:tabs>
          <w:tab w:val="left" w:pos="312"/>
        </w:tabs>
        <w:spacing w:line="360" w:lineRule="auto"/>
        <w:jc w:val="left"/>
        <w:rPr>
          <w:rFonts w:hint="eastAsia" w:hAnsi="宋体"/>
          <w:sz w:val="24"/>
          <w:szCs w:val="24"/>
        </w:rPr>
      </w:pPr>
    </w:p>
    <w:p w14:paraId="6DFF3EA0">
      <w:pPr>
        <w:numPr>
          <w:ilvl w:val="0"/>
          <w:numId w:val="0"/>
        </w:numPr>
        <w:tabs>
          <w:tab w:val="left" w:pos="312"/>
        </w:tabs>
        <w:spacing w:line="360" w:lineRule="auto"/>
        <w:jc w:val="left"/>
        <w:rPr>
          <w:rFonts w:hint="eastAsia" w:hAnsi="宋体"/>
          <w:sz w:val="24"/>
          <w:szCs w:val="24"/>
        </w:rPr>
      </w:pPr>
    </w:p>
    <w:p w14:paraId="34B0736E">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17E790C5">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B07F83"/>
    <w:rsid w:val="07EE0F70"/>
    <w:rsid w:val="080A65A2"/>
    <w:rsid w:val="0DA07F51"/>
    <w:rsid w:val="0F4E11A2"/>
    <w:rsid w:val="10D60D02"/>
    <w:rsid w:val="11AB1717"/>
    <w:rsid w:val="11EF4694"/>
    <w:rsid w:val="150E71F6"/>
    <w:rsid w:val="1696735F"/>
    <w:rsid w:val="16E14FBF"/>
    <w:rsid w:val="189317E1"/>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5799</Words>
  <Characters>6616</Characters>
  <Lines>0</Lines>
  <Paragraphs>0</Paragraphs>
  <TotalTime>0</TotalTime>
  <ScaleCrop>false</ScaleCrop>
  <LinksUpToDate>false</LinksUpToDate>
  <CharactersWithSpaces>7094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2025-05-27T03:48:51Z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B52E5F2B2FB848D1AFE412A84CF76CD4_13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