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64DA4BC">
      <w:pPr>
        <w:numPr>
          <w:ilvl w:val="0"/>
          <w:numId w:val="0"/>
        </w:numPr>
        <w:jc w:val="center"/>
        <w:rPr>
          <w:rFonts w:hint="eastAsia"/>
          <w:b/>
          <w:bCs/>
          <w:sz w:val="40"/>
          <w:szCs w:val="40"/>
          <w:lang w:val="en-US" w:eastAsia="zh-CN"/>
        </w:rPr>
      </w:pPr>
      <w:r>
        <w:rPr>
          <w:rFonts w:hint="eastAsia" w:ascii="宋体" w:hAnsi="宋体" w:eastAsia="宋体" w:cs="宋体"/>
          <w:b/>
          <w:i w:val="0"/>
          <w:caps/>
          <w:color w:val="333333"/>
          <w:spacing w:val="0"/>
          <w:sz w:val="36"/>
          <w:szCs w:val="36"/>
          <w:lang w:val="en-US" w:eastAsia="zh-CN"/>
        </w:rPr>
        <w:t>神经内科标本外检服务项目（二次）</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2025年5月28日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F6F5FE8">
      <w:pPr>
        <w:numPr>
          <w:ilvl w:val="0"/>
          <w:numId w:val="0"/>
        </w:numPr>
        <w:spacing w:line="360" w:lineRule="auto"/>
        <w:jc w:val="left"/>
        <w:rPr>
          <w:rFonts w:hint="eastAsia" w:hAnsi="宋体"/>
          <w:sz w:val="24"/>
          <w:szCs w:val="24"/>
          <w:lang w:val="en-US" w:eastAsia="zh-CN"/>
        </w:rPr>
      </w:pP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1"/>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jc w:val="center"/>
              <w:rPr>
                <w:rFonts w:hint="eastAsia" w:ascii="宋体" w:hAnsi="宋体" w:eastAsia="宋体" w:cs="宋体"/>
                <w:sz w:val="24"/>
                <w:szCs w:val="24"/>
              </w:rPr>
            </w:pPr>
            <w:r>
              <w:rPr>
                <w:rFonts w:hint="eastAsia" w:ascii="宋体" w:hAnsi="宋体" w:eastAsia="宋体" w:cs="宋体"/>
                <w:kern w:val="0"/>
                <w:sz w:val="24"/>
                <w:szCs w:val="24"/>
              </w:rPr>
              <w:t>1</w:t>
            </w:r>
          </w:p>
        </w:tc>
        <w:tc>
          <w:tcPr>
            <w:tcW w:w="2865" w:type="dxa"/>
            <w:vAlign w:val="center"/>
          </w:tcPr>
          <w:p w14:paraId="76F16622">
            <w:pPr>
              <w:widowControl/>
              <w:jc w:val="center"/>
              <w:rPr>
                <w:rFonts w:hint="default" w:ascii="宋体" w:hAnsi="宋体" w:eastAsia="宋体" w:cs="宋体"/>
                <w:lang w:val="en-US" w:eastAsia="zh-CN"/>
              </w:rPr>
            </w:pPr>
            <w:r>
              <w:rPr>
                <w:rFonts w:hint="eastAsia" w:ascii="宋体" w:hAnsi="宋体" w:eastAsia="宋体" w:cs="宋体"/>
                <w:color w:val="000000"/>
                <w:kern w:val="0"/>
                <w:sz w:val="24"/>
                <w:szCs w:val="24"/>
                <w:lang w:bidi="ar"/>
              </w:rPr>
              <w:t>液相色谱质谱非靶标代谢组学NGM(LC非靶)</w:t>
            </w:r>
          </w:p>
        </w:tc>
        <w:tc>
          <w:tcPr>
            <w:tcW w:w="903" w:type="dxa"/>
            <w:vAlign w:val="center"/>
          </w:tcPr>
          <w:p w14:paraId="569A970B">
            <w:pPr>
              <w:widowControl/>
              <w:jc w:val="center"/>
              <w:rPr>
                <w:rFonts w:hint="default" w:ascii="宋体" w:hAnsi="宋体" w:eastAsia="宋体" w:cs="宋体"/>
                <w:sz w:val="24"/>
                <w:szCs w:val="24"/>
                <w:lang w:val="en-US" w:eastAsia="zh-CN"/>
              </w:rPr>
            </w:pPr>
            <w:r>
              <w:rPr>
                <w:rFonts w:hint="eastAsia" w:ascii="宋体" w:hAnsi="宋体" w:eastAsia="宋体" w:cs="宋体"/>
                <w:kern w:val="0"/>
                <w:sz w:val="24"/>
                <w:szCs w:val="24"/>
              </w:rPr>
              <w:t>项</w:t>
            </w:r>
          </w:p>
        </w:tc>
        <w:tc>
          <w:tcPr>
            <w:tcW w:w="826" w:type="dxa"/>
            <w:vAlign w:val="center"/>
          </w:tcPr>
          <w:p w14:paraId="535899AF">
            <w:pPr>
              <w:widowControl/>
              <w:jc w:val="center"/>
              <w:rPr>
                <w:rFonts w:hint="default" w:ascii="宋体" w:hAnsi="宋体" w:eastAsia="宋体" w:cs="宋体"/>
                <w:sz w:val="24"/>
                <w:szCs w:val="24"/>
                <w:lang w:val="en-US" w:eastAsia="zh-CN"/>
              </w:rPr>
            </w:pPr>
            <w:r>
              <w:rPr>
                <w:rFonts w:hint="eastAsia" w:ascii="宋体" w:hAnsi="宋体" w:eastAsia="宋体" w:cs="宋体"/>
                <w:kern w:val="0"/>
                <w:sz w:val="24"/>
                <w:szCs w:val="24"/>
              </w:rPr>
              <w:t>100</w:t>
            </w:r>
          </w:p>
        </w:tc>
        <w:tc>
          <w:tcPr>
            <w:tcW w:w="1338" w:type="dxa"/>
            <w:vAlign w:val="center"/>
          </w:tcPr>
          <w:p w14:paraId="70A9229F">
            <w:pPr>
              <w:widowControl/>
              <w:jc w:val="center"/>
              <w:rPr>
                <w:rFonts w:hint="default" w:ascii="宋体" w:hAnsi="宋体" w:eastAsia="宋体" w:cs="宋体"/>
                <w:sz w:val="24"/>
                <w:szCs w:val="24"/>
                <w:lang w:val="en-US" w:eastAsia="zh-CN"/>
              </w:rPr>
            </w:pPr>
            <w:r>
              <w:rPr>
                <w:rFonts w:hint="eastAsia" w:ascii="宋体" w:hAnsi="宋体" w:eastAsia="宋体" w:cs="宋体"/>
                <w:kern w:val="0"/>
                <w:sz w:val="24"/>
                <w:szCs w:val="24"/>
              </w:rPr>
              <w:t>400元/例</w:t>
            </w:r>
          </w:p>
        </w:tc>
        <w:tc>
          <w:tcPr>
            <w:tcW w:w="1596" w:type="dxa"/>
            <w:vAlign w:val="center"/>
          </w:tcPr>
          <w:p w14:paraId="1D45D755">
            <w:pPr>
              <w:widowControl/>
              <w:jc w:val="center"/>
              <w:rPr>
                <w:rFonts w:hint="default" w:ascii="宋体" w:hAnsi="宋体" w:eastAsia="宋体" w:cs="宋体"/>
                <w:sz w:val="24"/>
                <w:szCs w:val="24"/>
                <w:lang w:val="en-US"/>
              </w:rPr>
            </w:pPr>
            <w:r>
              <w:rPr>
                <w:rFonts w:hint="eastAsia" w:ascii="宋体" w:hAnsi="宋体" w:eastAsia="宋体" w:cs="宋体"/>
                <w:kern w:val="0"/>
                <w:sz w:val="24"/>
                <w:szCs w:val="24"/>
              </w:rPr>
              <w:t>40000元</w:t>
            </w:r>
          </w:p>
        </w:tc>
      </w:tr>
      <w:tr w14:paraId="7F1C6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492F109">
            <w:pPr>
              <w:jc w:val="center"/>
              <w:rPr>
                <w:rFonts w:hint="eastAsia" w:ascii="宋体" w:hAnsi="宋体" w:eastAsia="宋体" w:cs="宋体"/>
                <w:sz w:val="24"/>
                <w:szCs w:val="24"/>
              </w:rPr>
            </w:pPr>
            <w:r>
              <w:rPr>
                <w:rFonts w:hint="eastAsia" w:ascii="宋体" w:hAnsi="宋体" w:eastAsia="宋体" w:cs="宋体"/>
                <w:kern w:val="0"/>
                <w:sz w:val="24"/>
                <w:szCs w:val="24"/>
              </w:rPr>
              <w:t>2</w:t>
            </w:r>
          </w:p>
        </w:tc>
        <w:tc>
          <w:tcPr>
            <w:tcW w:w="2865" w:type="dxa"/>
            <w:vAlign w:val="center"/>
          </w:tcPr>
          <w:p w14:paraId="3315C39F">
            <w:pPr>
              <w:widowControl/>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bidi="ar"/>
              </w:rPr>
              <w:t>经典脂质组学（非靶脂质组学）</w:t>
            </w:r>
          </w:p>
        </w:tc>
        <w:tc>
          <w:tcPr>
            <w:tcW w:w="903" w:type="dxa"/>
            <w:vAlign w:val="center"/>
          </w:tcPr>
          <w:p w14:paraId="486453AB">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rPr>
              <w:t>项</w:t>
            </w:r>
          </w:p>
        </w:tc>
        <w:tc>
          <w:tcPr>
            <w:tcW w:w="826" w:type="dxa"/>
            <w:vAlign w:val="center"/>
          </w:tcPr>
          <w:p w14:paraId="06CFDF61">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rPr>
              <w:t>100</w:t>
            </w:r>
          </w:p>
        </w:tc>
        <w:tc>
          <w:tcPr>
            <w:tcW w:w="1338" w:type="dxa"/>
            <w:vAlign w:val="center"/>
          </w:tcPr>
          <w:p w14:paraId="3D74401D">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rPr>
              <w:t>735元/例</w:t>
            </w:r>
          </w:p>
        </w:tc>
        <w:tc>
          <w:tcPr>
            <w:tcW w:w="1596" w:type="dxa"/>
            <w:vAlign w:val="center"/>
          </w:tcPr>
          <w:p w14:paraId="499D3922">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rPr>
              <w:t>73500元</w:t>
            </w:r>
          </w:p>
        </w:tc>
      </w:tr>
      <w:tr w14:paraId="58DB1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2414278">
            <w:pPr>
              <w:jc w:val="center"/>
              <w:rPr>
                <w:rFonts w:hint="eastAsia" w:ascii="宋体" w:hAnsi="宋体" w:eastAsia="宋体" w:cs="宋体"/>
                <w:sz w:val="24"/>
                <w:szCs w:val="24"/>
              </w:rPr>
            </w:pPr>
            <w:r>
              <w:rPr>
                <w:rFonts w:hint="eastAsia" w:ascii="宋体" w:hAnsi="宋体" w:eastAsia="宋体" w:cs="宋体"/>
                <w:kern w:val="0"/>
                <w:sz w:val="24"/>
                <w:szCs w:val="24"/>
                <w:highlight w:val="none"/>
              </w:rPr>
              <w:t>3</w:t>
            </w:r>
          </w:p>
        </w:tc>
        <w:tc>
          <w:tcPr>
            <w:tcW w:w="2865" w:type="dxa"/>
            <w:vAlign w:val="center"/>
          </w:tcPr>
          <w:p w14:paraId="3DF916EB">
            <w:pPr>
              <w:widowControl/>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val="en-US" w:eastAsia="zh-CN" w:bidi="ar"/>
              </w:rPr>
              <w:t>肿瘤坏死因子</w:t>
            </w:r>
          </w:p>
        </w:tc>
        <w:tc>
          <w:tcPr>
            <w:tcW w:w="903" w:type="dxa"/>
            <w:vAlign w:val="center"/>
          </w:tcPr>
          <w:p w14:paraId="692E74A5">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rPr>
              <w:t>项</w:t>
            </w:r>
          </w:p>
        </w:tc>
        <w:tc>
          <w:tcPr>
            <w:tcW w:w="826" w:type="dxa"/>
            <w:vAlign w:val="center"/>
          </w:tcPr>
          <w:p w14:paraId="0C3148A0">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100</w:t>
            </w:r>
          </w:p>
        </w:tc>
        <w:tc>
          <w:tcPr>
            <w:tcW w:w="1338" w:type="dxa"/>
            <w:vAlign w:val="center"/>
          </w:tcPr>
          <w:p w14:paraId="14B28BAE">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50</w:t>
            </w:r>
            <w:r>
              <w:rPr>
                <w:rFonts w:hint="eastAsia" w:ascii="宋体" w:hAnsi="宋体" w:eastAsia="宋体" w:cs="宋体"/>
                <w:kern w:val="0"/>
                <w:sz w:val="24"/>
                <w:szCs w:val="24"/>
                <w:highlight w:val="none"/>
              </w:rPr>
              <w:t>元/项</w:t>
            </w:r>
          </w:p>
        </w:tc>
        <w:tc>
          <w:tcPr>
            <w:tcW w:w="1596" w:type="dxa"/>
            <w:vAlign w:val="center"/>
          </w:tcPr>
          <w:p w14:paraId="1414D0B6">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5000</w:t>
            </w:r>
            <w:r>
              <w:rPr>
                <w:rFonts w:hint="eastAsia" w:ascii="宋体" w:hAnsi="宋体" w:eastAsia="宋体" w:cs="宋体"/>
                <w:kern w:val="0"/>
                <w:sz w:val="24"/>
                <w:szCs w:val="24"/>
                <w:highlight w:val="none"/>
              </w:rPr>
              <w:t>元</w:t>
            </w:r>
          </w:p>
        </w:tc>
      </w:tr>
      <w:tr w14:paraId="77850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94FA01D">
            <w:pPr>
              <w:jc w:val="center"/>
              <w:rPr>
                <w:rFonts w:hint="eastAsia" w:ascii="宋体" w:hAnsi="宋体" w:eastAsia="宋体" w:cs="宋体"/>
                <w:sz w:val="24"/>
                <w:szCs w:val="24"/>
              </w:rPr>
            </w:pPr>
            <w:r>
              <w:rPr>
                <w:rFonts w:hint="eastAsia" w:ascii="宋体" w:hAnsi="宋体" w:eastAsia="宋体" w:cs="宋体"/>
                <w:kern w:val="0"/>
                <w:sz w:val="24"/>
                <w:szCs w:val="24"/>
                <w:highlight w:val="none"/>
              </w:rPr>
              <w:t>4</w:t>
            </w:r>
          </w:p>
        </w:tc>
        <w:tc>
          <w:tcPr>
            <w:tcW w:w="2865" w:type="dxa"/>
            <w:vAlign w:val="center"/>
          </w:tcPr>
          <w:p w14:paraId="18D99DAF">
            <w:pPr>
              <w:widowControl/>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val="en-US" w:eastAsia="zh-CN" w:bidi="ar"/>
              </w:rPr>
              <w:t>白细胞介素1β</w:t>
            </w:r>
          </w:p>
        </w:tc>
        <w:tc>
          <w:tcPr>
            <w:tcW w:w="903" w:type="dxa"/>
            <w:vAlign w:val="center"/>
          </w:tcPr>
          <w:p w14:paraId="1E2CEB7B">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rPr>
              <w:t>项</w:t>
            </w:r>
          </w:p>
        </w:tc>
        <w:tc>
          <w:tcPr>
            <w:tcW w:w="826" w:type="dxa"/>
            <w:vAlign w:val="center"/>
          </w:tcPr>
          <w:p w14:paraId="64A8DBC4">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100</w:t>
            </w:r>
          </w:p>
        </w:tc>
        <w:tc>
          <w:tcPr>
            <w:tcW w:w="1338" w:type="dxa"/>
            <w:vAlign w:val="center"/>
          </w:tcPr>
          <w:p w14:paraId="0122EAAD">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0元/项</w:t>
            </w:r>
          </w:p>
        </w:tc>
        <w:tc>
          <w:tcPr>
            <w:tcW w:w="1596" w:type="dxa"/>
            <w:vAlign w:val="center"/>
          </w:tcPr>
          <w:p w14:paraId="37BDDE8F">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600</w:t>
            </w:r>
            <w:r>
              <w:rPr>
                <w:rFonts w:hint="eastAsia" w:ascii="宋体" w:hAnsi="宋体" w:eastAsia="宋体" w:cs="宋体"/>
                <w:kern w:val="0"/>
                <w:sz w:val="24"/>
                <w:szCs w:val="24"/>
                <w:highlight w:val="none"/>
              </w:rPr>
              <w:t>0元</w:t>
            </w:r>
          </w:p>
        </w:tc>
      </w:tr>
      <w:tr w14:paraId="4E74D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78AD5EA">
            <w:pPr>
              <w:jc w:val="center"/>
              <w:rPr>
                <w:rFonts w:hint="eastAsia" w:ascii="宋体" w:hAnsi="宋体" w:eastAsia="宋体" w:cs="宋体"/>
                <w:sz w:val="24"/>
                <w:szCs w:val="24"/>
              </w:rPr>
            </w:pPr>
            <w:r>
              <w:rPr>
                <w:rFonts w:hint="eastAsia" w:ascii="宋体" w:hAnsi="宋体" w:eastAsia="宋体" w:cs="宋体"/>
                <w:kern w:val="0"/>
                <w:sz w:val="24"/>
                <w:szCs w:val="24"/>
                <w:highlight w:val="none"/>
              </w:rPr>
              <w:t>5</w:t>
            </w:r>
          </w:p>
        </w:tc>
        <w:tc>
          <w:tcPr>
            <w:tcW w:w="2865" w:type="dxa"/>
            <w:vAlign w:val="center"/>
          </w:tcPr>
          <w:p w14:paraId="2D284B21">
            <w:pPr>
              <w:widowControl/>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val="en-US" w:eastAsia="zh-CN" w:bidi="ar"/>
              </w:rPr>
              <w:t>白细胞介素6</w:t>
            </w:r>
          </w:p>
        </w:tc>
        <w:tc>
          <w:tcPr>
            <w:tcW w:w="903" w:type="dxa"/>
            <w:vAlign w:val="center"/>
          </w:tcPr>
          <w:p w14:paraId="360BBDBD">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rPr>
              <w:t>项</w:t>
            </w:r>
          </w:p>
        </w:tc>
        <w:tc>
          <w:tcPr>
            <w:tcW w:w="826" w:type="dxa"/>
            <w:vAlign w:val="center"/>
          </w:tcPr>
          <w:p w14:paraId="69296D49">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100</w:t>
            </w:r>
          </w:p>
        </w:tc>
        <w:tc>
          <w:tcPr>
            <w:tcW w:w="1338" w:type="dxa"/>
            <w:vAlign w:val="center"/>
          </w:tcPr>
          <w:p w14:paraId="76C0C15B">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60元/项</w:t>
            </w:r>
          </w:p>
        </w:tc>
        <w:tc>
          <w:tcPr>
            <w:tcW w:w="1596" w:type="dxa"/>
            <w:vAlign w:val="center"/>
          </w:tcPr>
          <w:p w14:paraId="1B7DB3B0">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6000</w:t>
            </w:r>
            <w:r>
              <w:rPr>
                <w:rFonts w:hint="eastAsia" w:ascii="宋体" w:hAnsi="宋体" w:eastAsia="宋体" w:cs="宋体"/>
                <w:kern w:val="0"/>
                <w:sz w:val="24"/>
                <w:szCs w:val="24"/>
                <w:highlight w:val="none"/>
              </w:rPr>
              <w:t>元</w:t>
            </w:r>
          </w:p>
        </w:tc>
      </w:tr>
      <w:tr w14:paraId="6CC50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195D422">
            <w:pPr>
              <w:jc w:val="center"/>
              <w:rPr>
                <w:rFonts w:hint="eastAsia" w:ascii="宋体" w:hAnsi="宋体" w:eastAsia="宋体" w:cs="宋体"/>
                <w:sz w:val="24"/>
                <w:szCs w:val="24"/>
              </w:rPr>
            </w:pPr>
            <w:r>
              <w:rPr>
                <w:rFonts w:hint="eastAsia" w:ascii="宋体" w:hAnsi="宋体" w:eastAsia="宋体" w:cs="宋体"/>
                <w:kern w:val="0"/>
                <w:sz w:val="24"/>
                <w:szCs w:val="24"/>
                <w:highlight w:val="none"/>
                <w:lang w:val="en-US" w:eastAsia="zh-CN"/>
              </w:rPr>
              <w:t>6</w:t>
            </w:r>
          </w:p>
        </w:tc>
        <w:tc>
          <w:tcPr>
            <w:tcW w:w="2865" w:type="dxa"/>
            <w:vAlign w:val="center"/>
          </w:tcPr>
          <w:p w14:paraId="0093FC48">
            <w:pPr>
              <w:widowControl/>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val="en-US" w:eastAsia="zh-CN" w:bidi="ar"/>
              </w:rPr>
              <w:t>NFL+GFAP（神经丝轻链蛋白+抗胶质纤维酸性蛋白）</w:t>
            </w:r>
          </w:p>
        </w:tc>
        <w:tc>
          <w:tcPr>
            <w:tcW w:w="903" w:type="dxa"/>
            <w:vAlign w:val="center"/>
          </w:tcPr>
          <w:p w14:paraId="2865FF27">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项</w:t>
            </w:r>
          </w:p>
        </w:tc>
        <w:tc>
          <w:tcPr>
            <w:tcW w:w="826" w:type="dxa"/>
            <w:vAlign w:val="center"/>
          </w:tcPr>
          <w:p w14:paraId="0C757820">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100</w:t>
            </w:r>
          </w:p>
        </w:tc>
        <w:tc>
          <w:tcPr>
            <w:tcW w:w="1338" w:type="dxa"/>
            <w:vAlign w:val="center"/>
          </w:tcPr>
          <w:p w14:paraId="4F798BE9">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1600元/项</w:t>
            </w:r>
          </w:p>
        </w:tc>
        <w:tc>
          <w:tcPr>
            <w:tcW w:w="1596" w:type="dxa"/>
            <w:vAlign w:val="center"/>
          </w:tcPr>
          <w:p w14:paraId="76883E53">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160000元</w:t>
            </w:r>
          </w:p>
        </w:tc>
      </w:tr>
      <w:tr w14:paraId="4AFAF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45B67C13">
            <w:pPr>
              <w:jc w:val="center"/>
              <w:rPr>
                <w:rFonts w:hint="eastAsia" w:ascii="宋体" w:hAnsi="宋体" w:eastAsia="宋体" w:cs="宋体"/>
                <w:sz w:val="24"/>
                <w:szCs w:val="24"/>
              </w:rPr>
            </w:pPr>
            <w:r>
              <w:rPr>
                <w:rFonts w:hint="eastAsia" w:ascii="宋体" w:hAnsi="宋体" w:eastAsia="宋体" w:cs="宋体"/>
                <w:kern w:val="0"/>
                <w:sz w:val="24"/>
                <w:szCs w:val="24"/>
                <w:highlight w:val="none"/>
                <w:lang w:val="en-US" w:eastAsia="zh-CN"/>
              </w:rPr>
              <w:t>7</w:t>
            </w:r>
          </w:p>
        </w:tc>
        <w:tc>
          <w:tcPr>
            <w:tcW w:w="2865" w:type="dxa"/>
            <w:vAlign w:val="center"/>
          </w:tcPr>
          <w:p w14:paraId="643234F1">
            <w:pPr>
              <w:widowControl/>
              <w:jc w:val="cente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highlight w:val="none"/>
                <w:lang w:val="en-US" w:eastAsia="zh-CN" w:bidi="ar"/>
              </w:rPr>
              <w:t>MMP9</w:t>
            </w:r>
          </w:p>
        </w:tc>
        <w:tc>
          <w:tcPr>
            <w:tcW w:w="903" w:type="dxa"/>
            <w:vAlign w:val="center"/>
          </w:tcPr>
          <w:p w14:paraId="44459D07">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项</w:t>
            </w:r>
          </w:p>
        </w:tc>
        <w:tc>
          <w:tcPr>
            <w:tcW w:w="826" w:type="dxa"/>
            <w:vAlign w:val="center"/>
          </w:tcPr>
          <w:p w14:paraId="345B8133">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100</w:t>
            </w:r>
          </w:p>
        </w:tc>
        <w:tc>
          <w:tcPr>
            <w:tcW w:w="1338" w:type="dxa"/>
            <w:vAlign w:val="center"/>
          </w:tcPr>
          <w:p w14:paraId="28C96FCC">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500元/项</w:t>
            </w:r>
          </w:p>
        </w:tc>
        <w:tc>
          <w:tcPr>
            <w:tcW w:w="1596" w:type="dxa"/>
            <w:vAlign w:val="center"/>
          </w:tcPr>
          <w:p w14:paraId="36E6B82F">
            <w:pPr>
              <w:widowControl/>
              <w:jc w:val="center"/>
              <w:rPr>
                <w:rFonts w:hint="eastAsia" w:ascii="宋体" w:hAnsi="宋体" w:eastAsia="宋体" w:cs="宋体"/>
                <w:sz w:val="24"/>
                <w:szCs w:val="24"/>
                <w:lang w:val="en-US" w:eastAsia="zh-CN"/>
              </w:rPr>
            </w:pPr>
            <w:r>
              <w:rPr>
                <w:rFonts w:hint="eastAsia" w:ascii="宋体" w:hAnsi="宋体" w:eastAsia="宋体" w:cs="宋体"/>
                <w:kern w:val="0"/>
                <w:sz w:val="24"/>
                <w:szCs w:val="24"/>
                <w:highlight w:val="none"/>
                <w:lang w:val="en-US" w:eastAsia="zh-CN"/>
              </w:rPr>
              <w:t>50000元</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2E1EE572">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340500</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865" w:type="dxa"/>
            <w:vAlign w:val="center"/>
          </w:tcPr>
          <w:p w14:paraId="01AB15DF">
            <w:pPr>
              <w:jc w:val="cente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合格率达标按月度工作量付款</w:t>
            </w:r>
          </w:p>
        </w:tc>
      </w:tr>
      <w:tr w14:paraId="26E77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6D05BA9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865" w:type="dxa"/>
            <w:vAlign w:val="center"/>
          </w:tcPr>
          <w:p w14:paraId="0A6D6E8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w:t>
            </w:r>
          </w:p>
        </w:tc>
        <w:tc>
          <w:tcPr>
            <w:tcW w:w="4663" w:type="dxa"/>
            <w:gridSpan w:val="4"/>
            <w:vAlign w:val="center"/>
          </w:tcPr>
          <w:p w14:paraId="2F93C75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一年（年度考核合格可续签，不超三年）</w:t>
            </w:r>
          </w:p>
        </w:tc>
      </w:tr>
      <w:tr w14:paraId="79FF7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15188D1F">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65" w:type="dxa"/>
            <w:vAlign w:val="center"/>
          </w:tcPr>
          <w:p w14:paraId="5778A664">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服务地点</w:t>
            </w:r>
          </w:p>
        </w:tc>
        <w:tc>
          <w:tcPr>
            <w:tcW w:w="4663" w:type="dxa"/>
            <w:gridSpan w:val="4"/>
            <w:vAlign w:val="center"/>
          </w:tcPr>
          <w:p w14:paraId="0BFC4421">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r w14:paraId="2FA22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24FD6B7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65" w:type="dxa"/>
            <w:vAlign w:val="center"/>
          </w:tcPr>
          <w:p w14:paraId="2048E31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4"/>
            <w:vAlign w:val="center"/>
          </w:tcPr>
          <w:p w14:paraId="37D2F1BB">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具备有效的医疗机构执业许可证</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760A13D6">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一）项目基本情况介绍：根据内卫办医急字〔2024〕879号《内蒙古自治区卫生健康委办公室关于加强公立医疗机构外送样本检测管理工作通知》的要求，我院将临床确有诊疗需要，但因自身不具备相应资质和能力的样本检测项目，需外送至院外医学检查实验室、病理诊断中心等机构（以下简称“第三方检测机构”）进行检测的检验、检查项目纳入外送样本检测项目适用范围。</w:t>
      </w:r>
    </w:p>
    <w:p w14:paraId="366648C3">
      <w:pPr>
        <w:pStyle w:val="22"/>
        <w:ind w:firstLine="560" w:firstLineChars="200"/>
        <w:rPr>
          <w:rFonts w:hint="eastAsia" w:ascii="仿宋" w:hAnsi="仿宋" w:eastAsia="仿宋" w:cs="仿宋"/>
          <w:sz w:val="28"/>
          <w:szCs w:val="28"/>
        </w:rPr>
      </w:pPr>
      <w:r>
        <w:rPr>
          <w:rFonts w:hint="eastAsia" w:ascii="仿宋" w:hAnsi="仿宋" w:eastAsia="仿宋" w:cs="仿宋"/>
          <w:sz w:val="28"/>
          <w:szCs w:val="28"/>
        </w:rPr>
        <w:t>我院临床科室提出对</w:t>
      </w:r>
      <w:r>
        <w:rPr>
          <w:rFonts w:hint="eastAsia" w:ascii="仿宋" w:hAnsi="仿宋" w:eastAsia="仿宋" w:cs="仿宋"/>
          <w:sz w:val="28"/>
          <w:szCs w:val="28"/>
          <w:highlight w:val="yellow"/>
          <w:lang w:val="en-US" w:eastAsia="zh-CN"/>
        </w:rPr>
        <w:t>神经内科二区血液标本</w:t>
      </w:r>
      <w:r>
        <w:rPr>
          <w:rFonts w:hint="eastAsia" w:ascii="仿宋" w:hAnsi="仿宋" w:eastAsia="仿宋" w:cs="仿宋"/>
          <w:sz w:val="28"/>
          <w:szCs w:val="28"/>
        </w:rPr>
        <w:t>有检查需求，但我院</w:t>
      </w:r>
      <w:r>
        <w:rPr>
          <w:rFonts w:hint="eastAsia" w:ascii="仿宋" w:hAnsi="仿宋" w:eastAsia="仿宋" w:cs="仿宋"/>
          <w:sz w:val="28"/>
          <w:szCs w:val="28"/>
          <w:lang w:val="en-US" w:eastAsia="zh-CN"/>
        </w:rPr>
        <w:t>检验</w:t>
      </w:r>
      <w:r>
        <w:rPr>
          <w:rFonts w:hint="eastAsia" w:ascii="仿宋" w:hAnsi="仿宋" w:eastAsia="仿宋" w:cs="仿宋"/>
          <w:sz w:val="28"/>
          <w:szCs w:val="28"/>
          <w:highlight w:val="yellow"/>
        </w:rPr>
        <w:t>科</w:t>
      </w:r>
      <w:r>
        <w:rPr>
          <w:rFonts w:hint="eastAsia" w:ascii="仿宋" w:hAnsi="仿宋" w:eastAsia="仿宋" w:cs="仿宋"/>
          <w:sz w:val="28"/>
          <w:szCs w:val="28"/>
        </w:rPr>
        <w:t>目前尚不具备对液相色谱质谱非靶标代谢组学NGM(LC非靶)</w:t>
      </w:r>
      <w:r>
        <w:rPr>
          <w:rFonts w:hint="eastAsia" w:ascii="仿宋" w:hAnsi="仿宋" w:eastAsia="仿宋" w:cs="仿宋"/>
          <w:sz w:val="28"/>
          <w:szCs w:val="28"/>
          <w:lang w:eastAsia="zh-CN"/>
        </w:rPr>
        <w:t>、经典脂质组学（非靶脂质组学）</w:t>
      </w:r>
      <w:r>
        <w:rPr>
          <w:rFonts w:hint="eastAsia" w:ascii="仿宋" w:hAnsi="仿宋" w:eastAsia="仿宋" w:cs="仿宋"/>
          <w:sz w:val="28"/>
          <w:szCs w:val="28"/>
        </w:rPr>
        <w:t>等内容进行检查的条件（具体见附表）</w:t>
      </w:r>
      <w:r>
        <w:rPr>
          <w:rFonts w:hint="eastAsia" w:ascii="仿宋" w:hAnsi="仿宋" w:eastAsia="仿宋" w:cs="仿宋"/>
          <w:sz w:val="28"/>
          <w:szCs w:val="28"/>
          <w:lang w:eastAsia="zh-CN"/>
        </w:rPr>
        <w:t>，</w:t>
      </w:r>
      <w:r>
        <w:rPr>
          <w:rFonts w:hint="eastAsia" w:ascii="仿宋" w:hAnsi="仿宋" w:eastAsia="仿宋" w:cs="仿宋"/>
          <w:sz w:val="28"/>
          <w:szCs w:val="28"/>
          <w:highlight w:val="yellow"/>
          <w:lang w:val="en-US" w:eastAsia="zh-CN"/>
        </w:rPr>
        <w:t>并需要提供数据分析。为完成项目研究，</w:t>
      </w:r>
      <w:r>
        <w:rPr>
          <w:rFonts w:hint="eastAsia" w:ascii="仿宋" w:hAnsi="仿宋" w:eastAsia="仿宋" w:cs="仿宋"/>
          <w:sz w:val="28"/>
          <w:szCs w:val="28"/>
          <w:highlight w:val="yellow"/>
        </w:rPr>
        <w:t>经</w:t>
      </w:r>
      <w:r>
        <w:rPr>
          <w:rFonts w:hint="eastAsia" w:ascii="仿宋" w:hAnsi="仿宋" w:eastAsia="仿宋" w:cs="仿宋"/>
          <w:sz w:val="28"/>
          <w:szCs w:val="28"/>
          <w:highlight w:val="yellow"/>
          <w:lang w:val="en-US" w:eastAsia="zh-CN"/>
        </w:rPr>
        <w:t>神经内科二区</w:t>
      </w:r>
      <w:r>
        <w:rPr>
          <w:rFonts w:hint="eastAsia" w:ascii="仿宋" w:hAnsi="仿宋" w:eastAsia="仿宋" w:cs="仿宋"/>
          <w:sz w:val="28"/>
          <w:szCs w:val="28"/>
          <w:highlight w:val="yellow"/>
        </w:rPr>
        <w:t>、病理科、医务科</w:t>
      </w:r>
      <w:r>
        <w:rPr>
          <w:rFonts w:hint="eastAsia" w:ascii="仿宋" w:hAnsi="仿宋" w:eastAsia="仿宋" w:cs="仿宋"/>
          <w:sz w:val="28"/>
          <w:szCs w:val="28"/>
        </w:rPr>
        <w:t>等对相关项目开展及外送的必要性、合理性进行了前期论证，确有外送需求。拟通过院内招标采购程序遴选第三方检测机构</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p w14:paraId="75CA7EFA">
      <w:pPr>
        <w:ind w:firstLine="640" w:firstLineChars="200"/>
        <w:jc w:val="left"/>
        <w:rPr>
          <w:rFonts w:hint="eastAsia" w:ascii="仿宋" w:hAnsi="仿宋" w:eastAsia="仿宋" w:cs="仿宋"/>
          <w:sz w:val="32"/>
          <w:szCs w:val="32"/>
          <w:u w:val="single"/>
        </w:rPr>
      </w:pPr>
      <w:r>
        <w:rPr>
          <w:rFonts w:hint="eastAsia" w:ascii="仿宋" w:hAnsi="仿宋" w:eastAsia="仿宋" w:cs="仿宋"/>
          <w:sz w:val="32"/>
          <w:szCs w:val="32"/>
        </w:rPr>
        <w:t>（二）技术参数和要求（功能和质量）</w:t>
      </w:r>
    </w:p>
    <w:tbl>
      <w:tblPr>
        <w:tblStyle w:val="10"/>
        <w:tblW w:w="9810" w:type="dxa"/>
        <w:jc w:val="center"/>
        <w:tblLayout w:type="fixed"/>
        <w:tblCellMar>
          <w:top w:w="0" w:type="dxa"/>
          <w:left w:w="108" w:type="dxa"/>
          <w:bottom w:w="0" w:type="dxa"/>
          <w:right w:w="108" w:type="dxa"/>
        </w:tblCellMar>
      </w:tblPr>
      <w:tblGrid>
        <w:gridCol w:w="1555"/>
        <w:gridCol w:w="1134"/>
        <w:gridCol w:w="7121"/>
      </w:tblGrid>
      <w:tr w14:paraId="0BB2256D">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3236184C">
            <w:pPr>
              <w:widowControl/>
              <w:jc w:val="center"/>
              <w:rPr>
                <w:rFonts w:hint="eastAsia" w:ascii="仿宋" w:hAnsi="仿宋" w:eastAsia="仿宋" w:cs="仿宋"/>
                <w:sz w:val="32"/>
                <w:szCs w:val="32"/>
              </w:rPr>
            </w:pPr>
            <w:r>
              <w:rPr>
                <w:rFonts w:hint="eastAsia" w:ascii="仿宋" w:hAnsi="仿宋" w:eastAsia="仿宋" w:cs="仿宋"/>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604EDF58">
            <w:pPr>
              <w:widowControl/>
              <w:jc w:val="center"/>
              <w:rPr>
                <w:rFonts w:hint="eastAsia" w:ascii="仿宋" w:hAnsi="仿宋" w:eastAsia="仿宋" w:cs="仿宋"/>
                <w:sz w:val="32"/>
                <w:szCs w:val="32"/>
              </w:rPr>
            </w:pPr>
            <w:r>
              <w:rPr>
                <w:rFonts w:hint="eastAsia" w:ascii="仿宋" w:hAnsi="仿宋" w:eastAsia="仿宋" w:cs="仿宋"/>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4CDB149A">
            <w:pPr>
              <w:widowControl/>
              <w:jc w:val="center"/>
              <w:rPr>
                <w:rFonts w:hint="eastAsia" w:ascii="仿宋" w:hAnsi="仿宋" w:eastAsia="仿宋" w:cs="仿宋"/>
                <w:sz w:val="32"/>
                <w:szCs w:val="32"/>
              </w:rPr>
            </w:pPr>
            <w:r>
              <w:rPr>
                <w:rFonts w:hint="eastAsia" w:ascii="仿宋" w:hAnsi="仿宋" w:eastAsia="仿宋" w:cs="仿宋"/>
                <w:sz w:val="32"/>
                <w:szCs w:val="32"/>
              </w:rPr>
              <w:t>技术参数和要求</w:t>
            </w:r>
          </w:p>
        </w:tc>
      </w:tr>
      <w:tr w14:paraId="43988886">
        <w:tblPrEx>
          <w:tblCellMar>
            <w:top w:w="0" w:type="dxa"/>
            <w:left w:w="108" w:type="dxa"/>
            <w:bottom w:w="0" w:type="dxa"/>
            <w:right w:w="108" w:type="dxa"/>
          </w:tblCellMar>
        </w:tblPrEx>
        <w:trPr>
          <w:trHeight w:val="2466"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C527308">
            <w:pPr>
              <w:widowControl/>
              <w:jc w:val="center"/>
              <w:rPr>
                <w:rFonts w:hint="eastAsia" w:ascii="仿宋" w:hAnsi="仿宋" w:eastAsia="仿宋" w:cs="仿宋"/>
                <w:sz w:val="24"/>
                <w:szCs w:val="24"/>
              </w:rPr>
            </w:pPr>
          </w:p>
        </w:tc>
        <w:tc>
          <w:tcPr>
            <w:tcW w:w="1134" w:type="dxa"/>
            <w:tcBorders>
              <w:top w:val="single" w:color="auto" w:sz="4" w:space="0"/>
              <w:left w:val="nil"/>
              <w:bottom w:val="single" w:color="auto" w:sz="4" w:space="0"/>
              <w:right w:val="single" w:color="auto" w:sz="4" w:space="0"/>
            </w:tcBorders>
            <w:vAlign w:val="center"/>
          </w:tcPr>
          <w:p w14:paraId="1213C8BC">
            <w:pPr>
              <w:widowControl/>
              <w:jc w:val="center"/>
              <w:rPr>
                <w:rFonts w:hint="eastAsia" w:ascii="仿宋" w:hAnsi="仿宋" w:eastAsia="仿宋" w:cs="仿宋"/>
                <w:sz w:val="24"/>
                <w:szCs w:val="24"/>
              </w:rPr>
            </w:pPr>
            <w:r>
              <w:rPr>
                <w:rFonts w:hint="eastAsia" w:ascii="仿宋" w:hAnsi="仿宋" w:eastAsia="仿宋" w:cs="仿宋"/>
                <w:sz w:val="24"/>
                <w:szCs w:val="24"/>
              </w:rPr>
              <w:t>1</w:t>
            </w:r>
          </w:p>
        </w:tc>
        <w:tc>
          <w:tcPr>
            <w:tcW w:w="7121" w:type="dxa"/>
            <w:tcBorders>
              <w:top w:val="single" w:color="auto" w:sz="4" w:space="0"/>
              <w:left w:val="nil"/>
              <w:bottom w:val="single" w:color="auto" w:sz="4" w:space="0"/>
              <w:right w:val="single" w:color="auto" w:sz="4" w:space="0"/>
            </w:tcBorders>
            <w:vAlign w:val="center"/>
          </w:tcPr>
          <w:p w14:paraId="1C088B12">
            <w:pPr>
              <w:widowControl/>
              <w:jc w:val="left"/>
              <w:rPr>
                <w:rFonts w:ascii="仿宋" w:hAnsi="仿宋" w:eastAsia="仿宋" w:cs="仿宋"/>
                <w:color w:val="000000"/>
                <w:kern w:val="0"/>
                <w:sz w:val="22"/>
                <w:lang w:bidi="ar"/>
              </w:rPr>
            </w:pPr>
            <w:r>
              <w:rPr>
                <w:rFonts w:hint="eastAsia" w:ascii="仿宋" w:hAnsi="仿宋" w:eastAsia="仿宋" w:cs="仿宋"/>
                <w:color w:val="000000"/>
                <w:kern w:val="0"/>
                <w:sz w:val="22"/>
                <w:lang w:bidi="ar"/>
              </w:rPr>
              <w:t>配合服务委托方完成标本检查工作，满足临床需求；在医护人员的指导下，专人和对接科室完成标本交接工作，国家法定节假日前与委托方沟通节假日期间收取标本及报告出具时间；按照国家相关法律、法规的要求，保证检查准确性，在规定时间负责标本运送、检查、报告工作。</w:t>
            </w:r>
          </w:p>
          <w:p w14:paraId="0ECC02EA">
            <w:pPr>
              <w:widowControl/>
              <w:jc w:val="left"/>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相应的检查程序、检查项目、检查报告、咨询解释等活动、危急值管理、人员资质和能力的要求能均需满足</w:t>
            </w:r>
            <w:r>
              <w:rPr>
                <w:rFonts w:hint="eastAsia" w:ascii="仿宋" w:hAnsi="仿宋" w:eastAsia="仿宋" w:cs="仿宋"/>
                <w:color w:val="000000"/>
                <w:kern w:val="0"/>
                <w:sz w:val="22"/>
                <w:lang w:val="en-US" w:eastAsia="zh-CN" w:bidi="ar"/>
              </w:rPr>
              <w:t>神经内科二区</w:t>
            </w:r>
            <w:r>
              <w:rPr>
                <w:rFonts w:hint="eastAsia" w:ascii="仿宋" w:hAnsi="仿宋" w:eastAsia="仿宋" w:cs="仿宋"/>
                <w:color w:val="000000"/>
                <w:kern w:val="0"/>
                <w:sz w:val="22"/>
                <w:lang w:bidi="ar"/>
              </w:rPr>
              <w:t>的要求；检查能力必须保证检查报告准确、可靠、公正 ，对受检样品和检查数据承担保密责任。</w:t>
            </w:r>
          </w:p>
        </w:tc>
      </w:tr>
      <w:tr w14:paraId="06C8D367">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DBA5B63">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0150D596">
            <w:pPr>
              <w:widowControl/>
              <w:jc w:val="center"/>
              <w:rPr>
                <w:rFonts w:hint="eastAsia" w:ascii="仿宋" w:hAnsi="仿宋" w:eastAsia="仿宋" w:cs="仿宋"/>
                <w:sz w:val="32"/>
                <w:szCs w:val="32"/>
              </w:rPr>
            </w:pPr>
            <w:r>
              <w:rPr>
                <w:rFonts w:hint="eastAsia" w:ascii="仿宋" w:hAnsi="仿宋" w:eastAsia="仿宋" w:cs="仿宋"/>
                <w:sz w:val="32"/>
                <w:szCs w:val="32"/>
              </w:rPr>
              <w:t>2</w:t>
            </w:r>
          </w:p>
        </w:tc>
        <w:tc>
          <w:tcPr>
            <w:tcW w:w="7121" w:type="dxa"/>
            <w:tcBorders>
              <w:top w:val="single" w:color="auto" w:sz="4" w:space="0"/>
              <w:left w:val="nil"/>
              <w:bottom w:val="single" w:color="auto" w:sz="4" w:space="0"/>
              <w:right w:val="single" w:color="auto" w:sz="4" w:space="0"/>
            </w:tcBorders>
            <w:vAlign w:val="center"/>
          </w:tcPr>
          <w:p w14:paraId="151E8F32">
            <w:pPr>
              <w:widowControl/>
              <w:jc w:val="left"/>
              <w:rPr>
                <w:rFonts w:hint="eastAsia" w:ascii="仿宋" w:hAnsi="仿宋" w:eastAsia="仿宋" w:cs="仿宋"/>
              </w:rPr>
            </w:pPr>
            <w:r>
              <w:rPr>
                <w:rFonts w:hint="eastAsia" w:ascii="仿宋" w:hAnsi="仿宋" w:eastAsia="仿宋" w:cs="仿宋"/>
                <w:color w:val="000000"/>
                <w:kern w:val="0"/>
                <w:sz w:val="22"/>
                <w:lang w:bidi="ar"/>
              </w:rPr>
              <w:t>报告准确率：</w:t>
            </w:r>
          </w:p>
          <w:p w14:paraId="50683161">
            <w:pPr>
              <w:widowControl/>
              <w:jc w:val="left"/>
              <w:rPr>
                <w:rFonts w:hint="eastAsia" w:ascii="仿宋" w:hAnsi="仿宋" w:eastAsia="仿宋" w:cs="仿宋"/>
              </w:rPr>
            </w:pPr>
            <w:r>
              <w:rPr>
                <w:rFonts w:hint="eastAsia" w:ascii="仿宋" w:hAnsi="仿宋" w:eastAsia="仿宋" w:cs="仿宋"/>
                <w:color w:val="000000"/>
                <w:kern w:val="0"/>
                <w:sz w:val="22"/>
                <w:lang w:bidi="ar"/>
              </w:rPr>
              <w:t>（1)检查结果无差错；</w:t>
            </w:r>
          </w:p>
          <w:p w14:paraId="483B2EC4">
            <w:pPr>
              <w:widowControl/>
              <w:jc w:val="left"/>
              <w:rPr>
                <w:rFonts w:hint="eastAsia" w:ascii="仿宋" w:hAnsi="仿宋" w:eastAsia="仿宋" w:cs="仿宋"/>
              </w:rPr>
            </w:pPr>
            <w:r>
              <w:rPr>
                <w:rFonts w:hint="eastAsia" w:ascii="仿宋" w:hAnsi="仿宋" w:eastAsia="仿宋" w:cs="仿宋"/>
                <w:color w:val="000000"/>
                <w:kern w:val="0"/>
                <w:sz w:val="22"/>
                <w:lang w:bidi="ar"/>
              </w:rPr>
              <w:t>（2)无检查标本丢失、运送错误；</w:t>
            </w:r>
          </w:p>
          <w:p w14:paraId="217DF32A">
            <w:pPr>
              <w:widowControl/>
              <w:jc w:val="left"/>
              <w:rPr>
                <w:rFonts w:hint="eastAsia" w:ascii="仿宋" w:hAnsi="仿宋" w:eastAsia="仿宋" w:cs="仿宋"/>
              </w:rPr>
            </w:pPr>
            <w:r>
              <w:rPr>
                <w:rFonts w:hint="eastAsia" w:ascii="仿宋" w:hAnsi="仿宋" w:eastAsia="仿宋" w:cs="仿宋"/>
                <w:color w:val="000000"/>
                <w:kern w:val="0"/>
                <w:sz w:val="22"/>
                <w:lang w:bidi="ar"/>
              </w:rPr>
              <w:t>（3)无报告延误送达现象；</w:t>
            </w:r>
          </w:p>
          <w:p w14:paraId="77E6638D">
            <w:pPr>
              <w:widowControl/>
              <w:jc w:val="left"/>
              <w:rPr>
                <w:rFonts w:hint="eastAsia" w:ascii="仿宋" w:hAnsi="仿宋" w:eastAsia="仿宋" w:cs="仿宋"/>
              </w:rPr>
            </w:pPr>
            <w:r>
              <w:rPr>
                <w:rFonts w:hint="eastAsia" w:ascii="仿宋" w:hAnsi="仿宋" w:eastAsia="仿宋" w:cs="仿宋"/>
                <w:color w:val="000000"/>
                <w:kern w:val="0"/>
                <w:sz w:val="22"/>
                <w:lang w:bidi="ar"/>
              </w:rPr>
              <w:t>（4)检查项目与院方开单项目吻合；</w:t>
            </w:r>
          </w:p>
          <w:p w14:paraId="5C861B7F">
            <w:pPr>
              <w:widowControl/>
              <w:jc w:val="left"/>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（5)运送条件符合标本运送要求；</w:t>
            </w:r>
          </w:p>
          <w:p w14:paraId="1FD9B9F8">
            <w:pPr>
              <w:widowControl/>
              <w:jc w:val="left"/>
              <w:rPr>
                <w:rFonts w:hint="eastAsia" w:ascii="仿宋" w:hAnsi="仿宋" w:eastAsia="仿宋" w:cs="仿宋"/>
              </w:rPr>
            </w:pPr>
            <w:r>
              <w:rPr>
                <w:rFonts w:hint="eastAsia" w:ascii="仿宋" w:hAnsi="仿宋" w:eastAsia="仿宋" w:cs="仿宋"/>
                <w:color w:val="000000"/>
                <w:kern w:val="0"/>
                <w:sz w:val="22"/>
                <w:lang w:bidi="ar"/>
              </w:rPr>
              <w:t>（6)</w:t>
            </w:r>
            <w:r>
              <w:rPr>
                <w:rFonts w:hint="eastAsia" w:ascii="仿宋" w:hAnsi="仿宋" w:eastAsia="仿宋" w:cs="仿宋"/>
              </w:rPr>
              <w:t>内标峰高差在30%内；</w:t>
            </w:r>
          </w:p>
          <w:p w14:paraId="7EC028F8">
            <w:pPr>
              <w:widowControl/>
              <w:jc w:val="left"/>
              <w:rPr>
                <w:rFonts w:hint="eastAsia" w:ascii="仿宋" w:hAnsi="仿宋" w:eastAsia="仿宋" w:cs="仿宋"/>
              </w:rPr>
            </w:pPr>
            <w:r>
              <w:rPr>
                <w:rFonts w:hint="eastAsia" w:ascii="仿宋" w:hAnsi="仿宋" w:eastAsia="仿宋" w:cs="仿宋"/>
                <w:color w:val="000000"/>
                <w:kern w:val="0"/>
                <w:sz w:val="22"/>
                <w:lang w:bidi="ar"/>
              </w:rPr>
              <w:t>（7)</w:t>
            </w:r>
            <w:r>
              <w:rPr>
                <w:rFonts w:hint="eastAsia" w:ascii="仿宋" w:hAnsi="仿宋" w:eastAsia="仿宋" w:cs="仿宋"/>
              </w:rPr>
              <w:t>空白样本无明显内标检出；</w:t>
            </w:r>
          </w:p>
          <w:p w14:paraId="2CF0B60B">
            <w:pPr>
              <w:widowControl/>
              <w:jc w:val="left"/>
              <w:rPr>
                <w:rFonts w:hint="eastAsia" w:ascii="仿宋" w:hAnsi="仿宋" w:eastAsia="仿宋" w:cs="仿宋"/>
              </w:rPr>
            </w:pPr>
            <w:r>
              <w:rPr>
                <w:rFonts w:hint="eastAsia" w:ascii="仿宋" w:hAnsi="仿宋" w:eastAsia="仿宋" w:cs="仿宋"/>
                <w:color w:val="000000"/>
                <w:kern w:val="0"/>
                <w:sz w:val="22"/>
                <w:lang w:bidi="ar"/>
              </w:rPr>
              <w:t>（8)</w:t>
            </w:r>
            <w:r>
              <w:rPr>
                <w:rFonts w:hint="eastAsia" w:ascii="仿宋" w:hAnsi="仿宋" w:eastAsia="仿宋" w:cs="仿宋"/>
              </w:rPr>
              <w:t>QC样本聚集程度；</w:t>
            </w:r>
          </w:p>
          <w:p w14:paraId="298498E4">
            <w:pPr>
              <w:widowControl/>
              <w:jc w:val="left"/>
              <w:rPr>
                <w:rFonts w:hint="eastAsia" w:ascii="仿宋" w:hAnsi="仿宋" w:eastAsia="仿宋" w:cs="仿宋"/>
              </w:rPr>
            </w:pPr>
            <w:r>
              <w:rPr>
                <w:rFonts w:hint="eastAsia" w:ascii="仿宋" w:hAnsi="仿宋" w:eastAsia="仿宋" w:cs="仿宋"/>
                <w:color w:val="000000"/>
                <w:kern w:val="0"/>
                <w:sz w:val="22"/>
                <w:lang w:bidi="ar"/>
              </w:rPr>
              <w:t>（9)</w:t>
            </w:r>
            <w:r>
              <w:rPr>
                <w:rFonts w:hint="eastAsia" w:ascii="仿宋" w:hAnsi="仿宋" w:eastAsia="仿宋" w:cs="仿宋"/>
              </w:rPr>
              <w:t>QC样本分布在2std以内；</w:t>
            </w:r>
          </w:p>
          <w:p w14:paraId="5EEA34F3">
            <w:pPr>
              <w:widowControl/>
              <w:jc w:val="left"/>
              <w:rPr>
                <w:rFonts w:hint="eastAsia" w:ascii="仿宋" w:hAnsi="仿宋" w:eastAsia="仿宋" w:cs="仿宋"/>
              </w:rPr>
            </w:pPr>
            <w:r>
              <w:rPr>
                <w:rFonts w:hint="eastAsia" w:ascii="仿宋" w:hAnsi="仿宋" w:eastAsia="仿宋" w:cs="仿宋"/>
                <w:color w:val="000000"/>
                <w:kern w:val="0"/>
                <w:sz w:val="22"/>
                <w:lang w:bidi="ar"/>
              </w:rPr>
              <w:t>（10)</w:t>
            </w:r>
            <w:r>
              <w:rPr>
                <w:rFonts w:hint="eastAsia" w:ascii="仿宋" w:hAnsi="仿宋" w:eastAsia="仿宋" w:cs="仿宋"/>
              </w:rPr>
              <w:t>批次内QC相关性&gt;0.9；</w:t>
            </w:r>
          </w:p>
          <w:p w14:paraId="59FE2B1D">
            <w:pPr>
              <w:widowControl/>
              <w:jc w:val="left"/>
              <w:rPr>
                <w:rFonts w:hint="eastAsia" w:ascii="仿宋" w:hAnsi="仿宋" w:eastAsia="仿宋" w:cs="仿宋"/>
              </w:rPr>
            </w:pPr>
            <w:r>
              <w:rPr>
                <w:rFonts w:hint="eastAsia" w:ascii="仿宋" w:hAnsi="仿宋" w:eastAsia="仿宋" w:cs="仿宋"/>
                <w:color w:val="000000"/>
                <w:kern w:val="0"/>
                <w:sz w:val="22"/>
                <w:lang w:bidi="ar"/>
              </w:rPr>
              <w:t>（11)</w:t>
            </w:r>
            <w:r>
              <w:rPr>
                <w:rFonts w:hint="eastAsia" w:ascii="仿宋" w:hAnsi="仿宋" w:eastAsia="仿宋" w:cs="仿宋"/>
              </w:rPr>
              <w:t>QC内标响应RSD&lt;8%，从内标，QC，空白残留各个维度构建的质控体系。</w:t>
            </w:r>
          </w:p>
        </w:tc>
      </w:tr>
      <w:tr w14:paraId="69CC2162">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162BE0E">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2421FC4C">
            <w:pPr>
              <w:widowControl/>
              <w:jc w:val="center"/>
              <w:rPr>
                <w:rFonts w:hint="eastAsia" w:ascii="仿宋" w:hAnsi="仿宋" w:eastAsia="仿宋" w:cs="仿宋"/>
                <w:sz w:val="32"/>
                <w:szCs w:val="32"/>
              </w:rPr>
            </w:pPr>
            <w:r>
              <w:rPr>
                <w:rFonts w:hint="eastAsia" w:ascii="仿宋" w:hAnsi="仿宋" w:eastAsia="仿宋" w:cs="仿宋"/>
                <w:sz w:val="32"/>
                <w:szCs w:val="32"/>
              </w:rPr>
              <w:t>3</w:t>
            </w:r>
          </w:p>
        </w:tc>
        <w:tc>
          <w:tcPr>
            <w:tcW w:w="7121" w:type="dxa"/>
            <w:tcBorders>
              <w:top w:val="single" w:color="auto" w:sz="4" w:space="0"/>
              <w:left w:val="nil"/>
              <w:bottom w:val="single" w:color="auto" w:sz="4" w:space="0"/>
              <w:right w:val="single" w:color="auto" w:sz="4" w:space="0"/>
            </w:tcBorders>
            <w:vAlign w:val="center"/>
          </w:tcPr>
          <w:p w14:paraId="46D8C7F3">
            <w:pPr>
              <w:widowControl/>
              <w:jc w:val="left"/>
              <w:rPr>
                <w:rFonts w:hint="eastAsia" w:ascii="仿宋" w:hAnsi="仿宋" w:eastAsia="仿宋" w:cs="仿宋"/>
              </w:rPr>
            </w:pPr>
            <w:r>
              <w:rPr>
                <w:rFonts w:hint="eastAsia" w:ascii="仿宋" w:hAnsi="仿宋" w:eastAsia="仿宋" w:cs="仿宋"/>
                <w:color w:val="000000"/>
                <w:kern w:val="0"/>
                <w:sz w:val="22"/>
                <w:lang w:bidi="ar"/>
              </w:rPr>
              <w:t>接收标本要求：</w:t>
            </w:r>
          </w:p>
          <w:p w14:paraId="057B950A">
            <w:pPr>
              <w:widowControl/>
              <w:jc w:val="left"/>
              <w:rPr>
                <w:rFonts w:hint="eastAsia" w:ascii="仿宋" w:hAnsi="仿宋" w:eastAsia="仿宋" w:cs="仿宋"/>
              </w:rPr>
            </w:pPr>
            <w:r>
              <w:rPr>
                <w:rFonts w:hint="eastAsia" w:ascii="仿宋" w:hAnsi="仿宋" w:eastAsia="仿宋" w:cs="仿宋"/>
                <w:color w:val="000000"/>
                <w:kern w:val="0"/>
                <w:sz w:val="22"/>
                <w:lang w:bidi="ar"/>
              </w:rPr>
              <w:t>（1)查检查申请单填写是否一致。</w:t>
            </w:r>
          </w:p>
          <w:p w14:paraId="7111595A">
            <w:pPr>
              <w:widowControl/>
              <w:jc w:val="left"/>
              <w:rPr>
                <w:rFonts w:hint="eastAsia" w:ascii="仿宋" w:hAnsi="仿宋" w:eastAsia="仿宋" w:cs="仿宋"/>
              </w:rPr>
            </w:pPr>
            <w:r>
              <w:rPr>
                <w:rFonts w:hint="eastAsia" w:ascii="仿宋" w:hAnsi="仿宋" w:eastAsia="仿宋" w:cs="仿宋"/>
                <w:color w:val="000000"/>
                <w:kern w:val="0"/>
                <w:sz w:val="22"/>
                <w:lang w:bidi="ar"/>
              </w:rPr>
              <w:t>（2)查运输样本信息表与标本号是否一致。</w:t>
            </w:r>
          </w:p>
          <w:p w14:paraId="419DBECB">
            <w:pPr>
              <w:widowControl/>
              <w:jc w:val="left"/>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（3)查标本可否合格。</w:t>
            </w:r>
          </w:p>
          <w:p w14:paraId="5BAD3734">
            <w:pPr>
              <w:widowControl/>
              <w:tabs>
                <w:tab w:val="left" w:pos="312"/>
              </w:tabs>
              <w:jc w:val="left"/>
              <w:rPr>
                <w:rFonts w:hint="eastAsia" w:ascii="仿宋" w:hAnsi="仿宋" w:eastAsia="仿宋" w:cs="仿宋"/>
              </w:rPr>
            </w:pPr>
            <w:r>
              <w:rPr>
                <w:rFonts w:hint="eastAsia" w:ascii="仿宋" w:hAnsi="仿宋" w:eastAsia="仿宋" w:cs="仿宋"/>
                <w:color w:val="000000"/>
                <w:kern w:val="0"/>
                <w:sz w:val="22"/>
                <w:lang w:bidi="ar"/>
              </w:rPr>
              <w:t>（4)时间响应要求：周一至周五（正常工作日）收取标本；</w:t>
            </w:r>
          </w:p>
          <w:p w14:paraId="1F2BAE58">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（5)项目标本需保存 2 周以上； </w:t>
            </w:r>
          </w:p>
        </w:tc>
      </w:tr>
      <w:tr w14:paraId="55DEFA4B">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729AE60">
            <w:pPr>
              <w:widowControl/>
              <w:jc w:val="center"/>
              <w:rPr>
                <w:rFonts w:hint="eastAsia" w:ascii="仿宋" w:hAnsi="仿宋" w:eastAsia="仿宋" w:cs="仿宋"/>
              </w:rPr>
            </w:pPr>
          </w:p>
          <w:p w14:paraId="751389CA">
            <w:pPr>
              <w:widowControl/>
              <w:jc w:val="center"/>
              <w:rPr>
                <w:rFonts w:hint="eastAsia" w:ascii="仿宋" w:hAnsi="仿宋" w:eastAsia="仿宋" w:cs="仿宋"/>
                <w:color w:val="000000"/>
                <w:kern w:val="0"/>
                <w:sz w:val="22"/>
                <w:lang w:bidi="ar"/>
              </w:rPr>
            </w:pPr>
          </w:p>
          <w:p w14:paraId="099A0053">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740B2007">
            <w:pPr>
              <w:widowControl/>
              <w:jc w:val="center"/>
              <w:rPr>
                <w:rFonts w:hint="eastAsia" w:ascii="仿宋" w:hAnsi="仿宋" w:eastAsia="仿宋" w:cs="仿宋"/>
                <w:sz w:val="32"/>
                <w:szCs w:val="32"/>
              </w:rPr>
            </w:pPr>
            <w:r>
              <w:rPr>
                <w:rFonts w:hint="eastAsia" w:ascii="仿宋" w:hAnsi="仿宋" w:eastAsia="仿宋" w:cs="仿宋"/>
                <w:sz w:val="32"/>
                <w:szCs w:val="32"/>
              </w:rPr>
              <w:t>4</w:t>
            </w:r>
          </w:p>
        </w:tc>
        <w:tc>
          <w:tcPr>
            <w:tcW w:w="7121" w:type="dxa"/>
            <w:tcBorders>
              <w:top w:val="single" w:color="auto" w:sz="4" w:space="0"/>
              <w:left w:val="nil"/>
              <w:bottom w:val="single" w:color="auto" w:sz="4" w:space="0"/>
              <w:right w:val="single" w:color="auto" w:sz="4" w:space="0"/>
            </w:tcBorders>
            <w:vAlign w:val="center"/>
          </w:tcPr>
          <w:p w14:paraId="69D8AF5E">
            <w:pPr>
              <w:widowControl/>
              <w:jc w:val="left"/>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发报告时间：</w:t>
            </w:r>
          </w:p>
          <w:p w14:paraId="38CC88AF">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（1)检查项目收到标本后按委托方提供“检查目录”中“报告时间”栏中规定的时间内发出报告。 </w:t>
            </w:r>
          </w:p>
          <w:p w14:paraId="19A46BC2">
            <w:pPr>
              <w:widowControl/>
              <w:jc w:val="left"/>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 报告包含内容：原始仪器采集的原始数据，可视化结果数据表，谱图，分析结果，报告。</w:t>
            </w:r>
          </w:p>
          <w:p w14:paraId="53C69E35">
            <w:pPr>
              <w:widowControl/>
              <w:jc w:val="left"/>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（4)一般标本拿走后，非靶标代谢组学完成周期在15-20自然日和非靶标脂质组学完成周期在25-30自然日。</w:t>
            </w:r>
          </w:p>
          <w:p w14:paraId="05B041F5">
            <w:pPr>
              <w:widowControl/>
              <w:jc w:val="left"/>
              <w:rPr>
                <w:rFonts w:hint="eastAsia" w:ascii="仿宋" w:hAnsi="仿宋" w:eastAsia="仿宋" w:cs="仿宋"/>
              </w:rPr>
            </w:pPr>
          </w:p>
        </w:tc>
      </w:tr>
      <w:tr w14:paraId="3983476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634E21D">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15D36EB2">
            <w:pPr>
              <w:widowControl/>
              <w:jc w:val="center"/>
              <w:rPr>
                <w:rFonts w:hint="eastAsia" w:ascii="仿宋" w:hAnsi="仿宋" w:eastAsia="仿宋" w:cs="仿宋"/>
                <w:sz w:val="32"/>
                <w:szCs w:val="32"/>
              </w:rPr>
            </w:pPr>
            <w:r>
              <w:rPr>
                <w:rFonts w:hint="eastAsia" w:ascii="仿宋" w:hAnsi="仿宋" w:eastAsia="仿宋" w:cs="仿宋"/>
                <w:sz w:val="32"/>
                <w:szCs w:val="32"/>
              </w:rPr>
              <w:t>5</w:t>
            </w:r>
          </w:p>
        </w:tc>
        <w:tc>
          <w:tcPr>
            <w:tcW w:w="7121" w:type="dxa"/>
            <w:tcBorders>
              <w:top w:val="single" w:color="auto" w:sz="4" w:space="0"/>
              <w:left w:val="nil"/>
              <w:bottom w:val="single" w:color="auto" w:sz="4" w:space="0"/>
              <w:right w:val="single" w:color="auto" w:sz="4" w:space="0"/>
            </w:tcBorders>
            <w:vAlign w:val="center"/>
          </w:tcPr>
          <w:p w14:paraId="6B4A5550">
            <w:pPr>
              <w:widowControl/>
              <w:jc w:val="left"/>
              <w:rPr>
                <w:rFonts w:hint="eastAsia" w:ascii="仿宋" w:hAnsi="仿宋" w:eastAsia="仿宋" w:cs="仿宋"/>
              </w:rPr>
            </w:pPr>
            <w:r>
              <w:rPr>
                <w:rFonts w:hint="eastAsia" w:ascii="仿宋" w:hAnsi="仿宋" w:eastAsia="仿宋" w:cs="仿宋"/>
                <w:color w:val="000000"/>
                <w:kern w:val="0"/>
                <w:sz w:val="22"/>
                <w:lang w:bidi="ar"/>
              </w:rPr>
              <w:t>实验室能力要求(投标文件中需提供)：</w:t>
            </w:r>
          </w:p>
          <w:p w14:paraId="1DB7D62D">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1. 受托方实验室的相关人员资质（提供人员相关专业资质证件）； </w:t>
            </w:r>
          </w:p>
          <w:p w14:paraId="30A0366B">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2. 受托方实验室的相关仪器设备状况（提供仪器、设备三证）； </w:t>
            </w:r>
          </w:p>
          <w:p w14:paraId="0D5477F2">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3. 受托方实验室的环境条件（实验室整体介绍）； </w:t>
            </w:r>
          </w:p>
          <w:p w14:paraId="7C8A46EB">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4. 受托方实验室的技术水平（技术方案描述）； </w:t>
            </w:r>
          </w:p>
          <w:p w14:paraId="5FCF9490">
            <w:pPr>
              <w:widowControl/>
              <w:jc w:val="left"/>
              <w:rPr>
                <w:rFonts w:hint="eastAsia" w:ascii="仿宋" w:hAnsi="仿宋" w:eastAsia="仿宋" w:cs="仿宋"/>
              </w:rPr>
            </w:pPr>
            <w:r>
              <w:rPr>
                <w:rFonts w:hint="eastAsia" w:ascii="仿宋" w:hAnsi="仿宋" w:eastAsia="仿宋" w:cs="仿宋"/>
                <w:color w:val="000000"/>
                <w:kern w:val="0"/>
                <w:sz w:val="22"/>
                <w:lang w:bidi="ar"/>
              </w:rPr>
              <w:t>5. 受托方实验室检查能力的验证证明（相关证明材料）。</w:t>
            </w:r>
          </w:p>
        </w:tc>
      </w:tr>
      <w:tr w14:paraId="5FCD90E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C582F1C">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5E143171">
            <w:pPr>
              <w:widowControl/>
              <w:jc w:val="center"/>
              <w:rPr>
                <w:rFonts w:hint="eastAsia" w:ascii="仿宋" w:hAnsi="仿宋" w:eastAsia="仿宋" w:cs="仿宋"/>
                <w:sz w:val="32"/>
                <w:szCs w:val="32"/>
              </w:rPr>
            </w:pPr>
            <w:r>
              <w:rPr>
                <w:rFonts w:hint="eastAsia" w:ascii="仿宋" w:hAnsi="仿宋" w:eastAsia="仿宋" w:cs="仿宋"/>
                <w:sz w:val="32"/>
                <w:szCs w:val="32"/>
              </w:rPr>
              <w:t>6</w:t>
            </w:r>
          </w:p>
        </w:tc>
        <w:tc>
          <w:tcPr>
            <w:tcW w:w="7121" w:type="dxa"/>
            <w:tcBorders>
              <w:top w:val="single" w:color="auto" w:sz="4" w:space="0"/>
              <w:left w:val="nil"/>
              <w:bottom w:val="single" w:color="auto" w:sz="4" w:space="0"/>
              <w:right w:val="single" w:color="auto" w:sz="4" w:space="0"/>
            </w:tcBorders>
            <w:vAlign w:val="center"/>
          </w:tcPr>
          <w:p w14:paraId="47B9A806">
            <w:pPr>
              <w:widowControl/>
              <w:jc w:val="left"/>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管理要求：</w:t>
            </w:r>
          </w:p>
          <w:p w14:paraId="386FBE34">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（1)投标人须制定符合本项目要求的各项管理服务质量指标，并提交采购人，同时须根据采购人的要求进行适当的修改，接受采购人的监督； </w:t>
            </w:r>
          </w:p>
          <w:p w14:paraId="31E0AA6E">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（2)投标人必须建立相应的管理制度、管理架构，对各项工作流程安排情况及时通知采购人，接受采购人监督； </w:t>
            </w:r>
          </w:p>
          <w:p w14:paraId="12F71A20">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（3)投标人须接受采购人的各项监督和检查，对采购人提出的合理意见必须及时作出有效响应。 </w:t>
            </w:r>
          </w:p>
          <w:p w14:paraId="2CB20123">
            <w:pPr>
              <w:widowControl/>
              <w:jc w:val="left"/>
              <w:rPr>
                <w:rFonts w:hint="eastAsia" w:ascii="仿宋" w:hAnsi="仿宋" w:eastAsia="仿宋" w:cs="仿宋"/>
              </w:rPr>
            </w:pPr>
            <w:r>
              <w:rPr>
                <w:rFonts w:hint="eastAsia" w:ascii="仿宋" w:hAnsi="仿宋" w:eastAsia="仿宋" w:cs="仿宋"/>
                <w:color w:val="000000"/>
                <w:kern w:val="0"/>
                <w:sz w:val="22"/>
                <w:lang w:bidi="ar"/>
              </w:rPr>
              <w:t>（4)实验室分析云平台可供相关项目负责人使用</w:t>
            </w:r>
          </w:p>
          <w:p w14:paraId="43E26871">
            <w:pPr>
              <w:widowControl/>
              <w:jc w:val="left"/>
              <w:rPr>
                <w:rFonts w:hint="eastAsia" w:ascii="仿宋" w:hAnsi="仿宋" w:eastAsia="仿宋" w:cs="仿宋"/>
              </w:rPr>
            </w:pPr>
            <w:r>
              <w:rPr>
                <w:rFonts w:hint="eastAsia" w:ascii="仿宋" w:hAnsi="仿宋" w:eastAsia="仿宋" w:cs="仿宋"/>
                <w:color w:val="000000"/>
                <w:kern w:val="0"/>
                <w:sz w:val="22"/>
                <w:lang w:bidi="ar"/>
              </w:rPr>
              <w:t>（5)项目执行前、中、后期提供本项目一切的技术支持（法定节假日也会提供但可能会有延迟响应）。</w:t>
            </w:r>
          </w:p>
        </w:tc>
      </w:tr>
      <w:tr w14:paraId="2227235A">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6C3C4C7F">
            <w:pPr>
              <w:widowControl/>
              <w:jc w:val="both"/>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604FA3E3">
            <w:pPr>
              <w:widowControl/>
              <w:jc w:val="center"/>
              <w:rPr>
                <w:rFonts w:hint="eastAsia" w:ascii="仿宋" w:hAnsi="仿宋" w:eastAsia="仿宋" w:cs="仿宋"/>
                <w:sz w:val="32"/>
                <w:szCs w:val="32"/>
              </w:rPr>
            </w:pPr>
            <w:r>
              <w:rPr>
                <w:rFonts w:hint="eastAsia" w:ascii="仿宋" w:hAnsi="仿宋" w:eastAsia="仿宋" w:cs="仿宋"/>
                <w:sz w:val="32"/>
                <w:szCs w:val="32"/>
              </w:rPr>
              <w:t>7</w:t>
            </w:r>
          </w:p>
        </w:tc>
        <w:tc>
          <w:tcPr>
            <w:tcW w:w="7121" w:type="dxa"/>
            <w:tcBorders>
              <w:top w:val="single" w:color="auto" w:sz="4" w:space="0"/>
              <w:left w:val="nil"/>
              <w:bottom w:val="single" w:color="auto" w:sz="4" w:space="0"/>
              <w:right w:val="single" w:color="auto" w:sz="4" w:space="0"/>
            </w:tcBorders>
            <w:vAlign w:val="center"/>
          </w:tcPr>
          <w:p w14:paraId="6A4F3020">
            <w:pPr>
              <w:widowControl/>
              <w:tabs>
                <w:tab w:val="left" w:pos="312"/>
              </w:tabs>
              <w:jc w:val="left"/>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质控要求：</w:t>
            </w:r>
          </w:p>
          <w:p w14:paraId="7AF634B5">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（1)检查结果正确无误后方可发出报告。 </w:t>
            </w:r>
          </w:p>
          <w:p w14:paraId="5250F1F9">
            <w:pPr>
              <w:widowControl/>
              <w:jc w:val="left"/>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（2)需要中标方提供数据支持及报告解读及后续分析咨询支持。</w:t>
            </w:r>
          </w:p>
          <w:p w14:paraId="065FBECB">
            <w:pPr>
              <w:widowControl/>
              <w:jc w:val="left"/>
              <w:rPr>
                <w:rFonts w:hint="eastAsia" w:ascii="仿宋" w:hAnsi="仿宋" w:eastAsia="仿宋" w:cs="仿宋"/>
              </w:rPr>
            </w:pPr>
          </w:p>
        </w:tc>
      </w:tr>
      <w:tr w14:paraId="71E646AF">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283F09C">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2AB2845D">
            <w:pPr>
              <w:widowControl/>
              <w:jc w:val="center"/>
              <w:rPr>
                <w:rFonts w:hint="eastAsia" w:ascii="仿宋" w:hAnsi="仿宋" w:eastAsia="仿宋" w:cs="仿宋"/>
                <w:sz w:val="32"/>
                <w:szCs w:val="32"/>
              </w:rPr>
            </w:pPr>
            <w:r>
              <w:rPr>
                <w:rFonts w:hint="eastAsia" w:ascii="仿宋" w:hAnsi="仿宋" w:eastAsia="仿宋" w:cs="仿宋"/>
                <w:sz w:val="32"/>
                <w:szCs w:val="32"/>
              </w:rPr>
              <w:t>8</w:t>
            </w:r>
          </w:p>
        </w:tc>
        <w:tc>
          <w:tcPr>
            <w:tcW w:w="7121" w:type="dxa"/>
            <w:tcBorders>
              <w:top w:val="single" w:color="auto" w:sz="4" w:space="0"/>
              <w:left w:val="nil"/>
              <w:bottom w:val="single" w:color="auto" w:sz="4" w:space="0"/>
              <w:right w:val="single" w:color="auto" w:sz="4" w:space="0"/>
            </w:tcBorders>
            <w:vAlign w:val="center"/>
          </w:tcPr>
          <w:p w14:paraId="1D8CA8A6">
            <w:pPr>
              <w:widowControl/>
              <w:jc w:val="left"/>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质量控制：</w:t>
            </w:r>
          </w:p>
          <w:p w14:paraId="382E9902">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（1)委托方负责定期对受托方完成的检查结果报告进行监督、核查。核查主要及内容包括原始结果及发送检查报告PDF形式一致性核查等。 </w:t>
            </w:r>
          </w:p>
          <w:p w14:paraId="6EB0BE1C">
            <w:pPr>
              <w:widowControl/>
              <w:jc w:val="left"/>
              <w:rPr>
                <w:rFonts w:hint="eastAsia" w:ascii="仿宋" w:hAnsi="仿宋" w:eastAsia="仿宋" w:cs="仿宋"/>
              </w:rPr>
            </w:pPr>
            <w:r>
              <w:rPr>
                <w:rFonts w:hint="eastAsia" w:ascii="仿宋" w:hAnsi="仿宋" w:eastAsia="仿宋" w:cs="仿宋"/>
                <w:color w:val="000000"/>
                <w:kern w:val="0"/>
                <w:sz w:val="22"/>
                <w:lang w:bidi="ar"/>
              </w:rPr>
              <w:t>（2)受托方有义务定期向委托方提供检查项目质量保证相关的证明，包括室间质评证书或室间比对结果、室内质控数据等。</w:t>
            </w:r>
          </w:p>
          <w:p w14:paraId="0D7A36F4">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（3)受托方的资质发生重大变化（设备状况、人员配备、许可项目等变更等）时， 应随时接受委托方的重新评审，确定受托方是否符合要求。 </w:t>
            </w:r>
          </w:p>
          <w:p w14:paraId="249AEF02">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（4)法定保密的信息所有人员必须遵循。 </w:t>
            </w:r>
          </w:p>
          <w:p w14:paraId="66CFD453">
            <w:pPr>
              <w:widowControl/>
              <w:jc w:val="left"/>
              <w:rPr>
                <w:rFonts w:hint="eastAsia" w:ascii="仿宋" w:hAnsi="仿宋" w:eastAsia="仿宋" w:cs="仿宋"/>
              </w:rPr>
            </w:pPr>
            <w:r>
              <w:rPr>
                <w:rFonts w:hint="eastAsia" w:ascii="仿宋" w:hAnsi="仿宋" w:eastAsia="仿宋" w:cs="仿宋"/>
                <w:color w:val="000000"/>
                <w:kern w:val="0"/>
                <w:sz w:val="22"/>
                <w:lang w:bidi="ar"/>
              </w:rPr>
              <w:t>（5)监督和违规处罚 ：受托方必须自觉执行保密规定和要求，由安全负责人对保密工作实施监督。对违反本规定的由安全负责人提出纠正的要求，严重的由相关部门进行行政处罚。</w:t>
            </w:r>
          </w:p>
          <w:p w14:paraId="4E11619F">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（6)投标人日常工作有室内质控，并制定专（兼）职人员负责科研报告质量管理； </w:t>
            </w:r>
          </w:p>
          <w:p w14:paraId="0BDAF911">
            <w:pPr>
              <w:widowControl/>
              <w:jc w:val="left"/>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 xml:space="preserve">（7)投标人须具有检查结果的差错识别、报告、调查和处理程序，建立完善的三级审核制度； </w:t>
            </w:r>
          </w:p>
          <w:p w14:paraId="6A91AEA8">
            <w:pPr>
              <w:widowControl/>
              <w:jc w:val="left"/>
              <w:rPr>
                <w:rFonts w:hint="eastAsia" w:ascii="仿宋" w:hAnsi="仿宋" w:eastAsia="仿宋" w:cs="仿宋"/>
              </w:rPr>
            </w:pPr>
          </w:p>
        </w:tc>
      </w:tr>
      <w:tr w14:paraId="05671CF0">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2A3297BE">
            <w:pPr>
              <w:widowControl/>
              <w:jc w:val="center"/>
              <w:rPr>
                <w:rFonts w:hint="eastAsia" w:ascii="仿宋" w:hAnsi="仿宋" w:eastAsia="仿宋" w:cs="仿宋"/>
              </w:rPr>
            </w:pPr>
          </w:p>
          <w:p w14:paraId="71F42AB6">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3F178E64">
            <w:pPr>
              <w:widowControl/>
              <w:jc w:val="center"/>
              <w:rPr>
                <w:rFonts w:hint="eastAsia" w:ascii="仿宋" w:hAnsi="仿宋" w:eastAsia="仿宋" w:cs="仿宋"/>
                <w:sz w:val="32"/>
                <w:szCs w:val="32"/>
              </w:rPr>
            </w:pPr>
            <w:r>
              <w:rPr>
                <w:rFonts w:hint="eastAsia" w:ascii="仿宋" w:hAnsi="仿宋" w:eastAsia="仿宋" w:cs="仿宋"/>
                <w:sz w:val="32"/>
                <w:szCs w:val="32"/>
              </w:rPr>
              <w:t>9</w:t>
            </w:r>
          </w:p>
        </w:tc>
        <w:tc>
          <w:tcPr>
            <w:tcW w:w="7121" w:type="dxa"/>
            <w:tcBorders>
              <w:top w:val="single" w:color="auto" w:sz="4" w:space="0"/>
              <w:left w:val="nil"/>
              <w:bottom w:val="single" w:color="auto" w:sz="4" w:space="0"/>
              <w:right w:val="single" w:color="auto" w:sz="4" w:space="0"/>
            </w:tcBorders>
            <w:vAlign w:val="center"/>
          </w:tcPr>
          <w:p w14:paraId="05BE58FD">
            <w:pPr>
              <w:widowControl/>
              <w:jc w:val="left"/>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检查结果要求：</w:t>
            </w:r>
          </w:p>
          <w:p w14:paraId="7268A066">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（1)检查结果以报告形式发出，通常是向临床医生、项目对接人或其委托人报告结果。只有项目负责人同意或按照法定的条款才可向其它方面报告。 </w:t>
            </w:r>
          </w:p>
          <w:p w14:paraId="32DE55A0">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（2)原始数据由产生该数据的工作人员负责日常管理，其他人员不得随意翻阅。 </w:t>
            </w:r>
          </w:p>
          <w:p w14:paraId="1687BC9C">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3)贮存结果的计算机，管理人员专人进行管理，检测人员必须通过密码进入操作系统，才能查阅和使用科研报告；检测数据一旦审核交付，售后人员或委托方可进行分析选择，但不能对原始数据进行修改，应保持科研数据的准确性。 </w:t>
            </w:r>
          </w:p>
          <w:p w14:paraId="705B6C35">
            <w:pPr>
              <w:widowControl/>
              <w:jc w:val="left"/>
              <w:rPr>
                <w:rFonts w:hint="eastAsia" w:ascii="仿宋" w:hAnsi="仿宋" w:eastAsia="仿宋" w:cs="仿宋"/>
              </w:rPr>
            </w:pPr>
            <w:r>
              <w:rPr>
                <w:rFonts w:hint="eastAsia" w:ascii="仿宋" w:hAnsi="仿宋" w:eastAsia="仿宋" w:cs="仿宋"/>
                <w:color w:val="000000"/>
                <w:kern w:val="0"/>
                <w:sz w:val="22"/>
                <w:lang w:bidi="ar"/>
              </w:rPr>
              <w:t xml:space="preserve">（4)检测结果数据，未经科管理人员同意，不允许任何外来人员查询、调阅和转抄。 </w:t>
            </w:r>
          </w:p>
          <w:p w14:paraId="7E532EA7">
            <w:pPr>
              <w:widowControl/>
              <w:jc w:val="left"/>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（5)如遇特殊情况后适当后延，并及时通知委托方及临床医生。</w:t>
            </w:r>
          </w:p>
          <w:p w14:paraId="5831B12E">
            <w:pPr>
              <w:widowControl/>
              <w:jc w:val="left"/>
              <w:rPr>
                <w:rFonts w:hint="eastAsia" w:ascii="仿宋" w:hAnsi="仿宋" w:eastAsia="仿宋" w:cs="仿宋"/>
              </w:rPr>
            </w:pPr>
          </w:p>
        </w:tc>
      </w:tr>
      <w:tr w14:paraId="70FDA56A">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FCDD3E4">
            <w:pPr>
              <w:widowControl/>
              <w:jc w:val="center"/>
              <w:rPr>
                <w:rFonts w:hint="eastAsia" w:ascii="仿宋" w:hAnsi="仿宋" w:eastAsia="仿宋" w:cs="仿宋"/>
                <w:sz w:val="32"/>
                <w:szCs w:val="32"/>
              </w:rPr>
            </w:pPr>
          </w:p>
        </w:tc>
        <w:tc>
          <w:tcPr>
            <w:tcW w:w="1134" w:type="dxa"/>
            <w:tcBorders>
              <w:top w:val="single" w:color="auto" w:sz="4" w:space="0"/>
              <w:left w:val="nil"/>
              <w:bottom w:val="single" w:color="auto" w:sz="4" w:space="0"/>
              <w:right w:val="single" w:color="auto" w:sz="4" w:space="0"/>
            </w:tcBorders>
            <w:vAlign w:val="center"/>
          </w:tcPr>
          <w:p w14:paraId="7646AE36">
            <w:pPr>
              <w:widowControl/>
              <w:jc w:val="center"/>
              <w:rPr>
                <w:rFonts w:hint="eastAsia" w:ascii="仿宋" w:hAnsi="仿宋" w:eastAsia="仿宋" w:cs="仿宋"/>
                <w:sz w:val="32"/>
                <w:szCs w:val="32"/>
              </w:rPr>
            </w:pPr>
            <w:r>
              <w:rPr>
                <w:rFonts w:hint="eastAsia" w:ascii="仿宋" w:hAnsi="仿宋" w:eastAsia="仿宋" w:cs="仿宋"/>
                <w:sz w:val="32"/>
                <w:szCs w:val="32"/>
              </w:rPr>
              <w:t>10</w:t>
            </w:r>
          </w:p>
        </w:tc>
        <w:tc>
          <w:tcPr>
            <w:tcW w:w="7121" w:type="dxa"/>
            <w:tcBorders>
              <w:top w:val="single" w:color="auto" w:sz="4" w:space="0"/>
              <w:left w:val="nil"/>
              <w:bottom w:val="single" w:color="auto" w:sz="4" w:space="0"/>
              <w:right w:val="single" w:color="auto" w:sz="4" w:space="0"/>
            </w:tcBorders>
            <w:vAlign w:val="center"/>
          </w:tcPr>
          <w:p w14:paraId="10964C66">
            <w:pPr>
              <w:widowControl/>
              <w:jc w:val="left"/>
              <w:rPr>
                <w:rFonts w:hint="eastAsia" w:ascii="仿宋" w:hAnsi="仿宋" w:eastAsia="仿宋" w:cs="仿宋"/>
                <w:sz w:val="32"/>
                <w:szCs w:val="32"/>
              </w:rPr>
            </w:pPr>
            <w:r>
              <w:rPr>
                <w:rFonts w:hint="eastAsia" w:ascii="仿宋" w:hAnsi="仿宋" w:eastAsia="仿宋" w:cs="仿宋"/>
                <w:color w:val="000000"/>
                <w:kern w:val="0"/>
                <w:sz w:val="22"/>
                <w:lang w:bidi="ar"/>
              </w:rPr>
              <w:t>项目服务期间所产生的其他非本项目应付费用外由中标人承担。</w:t>
            </w:r>
          </w:p>
        </w:tc>
      </w:tr>
      <w:tr w14:paraId="4D62A7B1">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DBFD4D5">
            <w:pPr>
              <w:widowControl/>
              <w:jc w:val="center"/>
              <w:rPr>
                <w:rFonts w:hint="eastAsia" w:ascii="仿宋" w:hAnsi="仿宋" w:eastAsia="仿宋" w:cs="仿宋"/>
                <w:color w:val="000000"/>
                <w:kern w:val="0"/>
                <w:sz w:val="22"/>
                <w:lang w:bidi="ar"/>
              </w:rPr>
            </w:pPr>
          </w:p>
        </w:tc>
        <w:tc>
          <w:tcPr>
            <w:tcW w:w="1134" w:type="dxa"/>
            <w:tcBorders>
              <w:top w:val="single" w:color="auto" w:sz="4" w:space="0"/>
              <w:left w:val="nil"/>
              <w:bottom w:val="single" w:color="auto" w:sz="4" w:space="0"/>
              <w:right w:val="single" w:color="auto" w:sz="4" w:space="0"/>
            </w:tcBorders>
            <w:vAlign w:val="center"/>
          </w:tcPr>
          <w:p w14:paraId="5354DD00">
            <w:pPr>
              <w:widowControl/>
              <w:jc w:val="center"/>
              <w:rPr>
                <w:rFonts w:hint="eastAsia" w:ascii="仿宋" w:hAnsi="仿宋" w:eastAsia="仿宋" w:cs="仿宋"/>
                <w:sz w:val="32"/>
                <w:szCs w:val="32"/>
              </w:rPr>
            </w:pPr>
            <w:r>
              <w:rPr>
                <w:rFonts w:hint="eastAsia" w:ascii="仿宋" w:hAnsi="仿宋" w:eastAsia="仿宋" w:cs="仿宋"/>
                <w:sz w:val="32"/>
                <w:szCs w:val="32"/>
              </w:rPr>
              <w:t>11</w:t>
            </w:r>
          </w:p>
        </w:tc>
        <w:tc>
          <w:tcPr>
            <w:tcW w:w="7121" w:type="dxa"/>
            <w:tcBorders>
              <w:top w:val="single" w:color="auto" w:sz="4" w:space="0"/>
              <w:left w:val="nil"/>
              <w:bottom w:val="single" w:color="auto" w:sz="4" w:space="0"/>
              <w:right w:val="single" w:color="auto" w:sz="4" w:space="0"/>
            </w:tcBorders>
            <w:vAlign w:val="center"/>
          </w:tcPr>
          <w:p w14:paraId="6EB09D5C">
            <w:pPr>
              <w:widowControl/>
              <w:numPr>
                <w:ilvl w:val="0"/>
                <w:numId w:val="0"/>
              </w:numPr>
              <w:jc w:val="left"/>
              <w:rPr>
                <w:rFonts w:hint="eastAsia" w:ascii="仿宋" w:hAnsi="仿宋" w:eastAsia="仿宋" w:cs="仿宋"/>
                <w:color w:val="000000"/>
                <w:kern w:val="0"/>
                <w:sz w:val="22"/>
                <w:lang w:val="en-US" w:eastAsia="zh-CN" w:bidi="ar"/>
              </w:rPr>
            </w:pPr>
            <w:r>
              <w:rPr>
                <w:rFonts w:hint="eastAsia" w:ascii="仿宋" w:hAnsi="仿宋" w:eastAsia="仿宋" w:cs="仿宋"/>
                <w:color w:val="000000"/>
                <w:kern w:val="0"/>
                <w:sz w:val="22"/>
                <w:lang w:val="en-US" w:eastAsia="zh-CN" w:bidi="ar"/>
              </w:rPr>
              <w:t>技术要求：</w:t>
            </w:r>
          </w:p>
          <w:p w14:paraId="0745BD70">
            <w:pPr>
              <w:widowControl/>
              <w:numPr>
                <w:ilvl w:val="0"/>
                <w:numId w:val="0"/>
              </w:numPr>
              <w:jc w:val="left"/>
              <w:rPr>
                <w:rFonts w:hint="default" w:ascii="宋体" w:hAnsi="宋体" w:eastAsia="宋体" w:cs="宋体"/>
                <w:color w:val="FF0000"/>
                <w:kern w:val="0"/>
                <w:sz w:val="24"/>
                <w:szCs w:val="24"/>
                <w:highlight w:val="none"/>
                <w:lang w:val="en-US" w:eastAsia="zh-CN" w:bidi="ar"/>
              </w:rPr>
            </w:pPr>
            <w:r>
              <w:rPr>
                <w:rFonts w:hint="eastAsia" w:ascii="仿宋" w:hAnsi="仿宋" w:eastAsia="仿宋" w:cs="仿宋"/>
                <w:color w:val="000000"/>
                <w:kern w:val="0"/>
                <w:sz w:val="22"/>
                <w:lang w:val="en-US" w:eastAsia="zh-CN" w:bidi="ar"/>
              </w:rPr>
              <w:t>1.</w:t>
            </w:r>
            <w:r>
              <w:rPr>
                <w:rFonts w:hint="eastAsia" w:ascii="仿宋" w:hAnsi="仿宋" w:eastAsia="仿宋" w:cs="仿宋"/>
                <w:color w:val="000000"/>
                <w:kern w:val="0"/>
                <w:sz w:val="22"/>
                <w:lang w:bidi="ar"/>
              </w:rPr>
              <w:t>仪器：Thermo Fisher OrbitrapExploris120；</w:t>
            </w:r>
          </w:p>
          <w:p w14:paraId="13E39F4D">
            <w:pPr>
              <w:widowControl/>
              <w:jc w:val="left"/>
              <w:rPr>
                <w:rFonts w:hint="default" w:ascii="仿宋" w:hAnsi="仿宋" w:eastAsia="仿宋" w:cs="仿宋"/>
                <w:color w:val="000000"/>
                <w:kern w:val="0"/>
                <w:sz w:val="22"/>
                <w:lang w:val="en-US" w:bidi="ar"/>
              </w:rPr>
            </w:pPr>
            <w:r>
              <w:rPr>
                <w:rFonts w:hint="eastAsia" w:ascii="仿宋" w:hAnsi="仿宋" w:eastAsia="仿宋" w:cs="仿宋"/>
                <w:color w:val="000000"/>
                <w:kern w:val="0"/>
                <w:sz w:val="22"/>
                <w:lang w:bidi="ar"/>
              </w:rPr>
              <w:t>2.数据库上，由标品自建库和公共库物质构成，并利用MetDNA 2算法获取更多数据；；</w:t>
            </w:r>
          </w:p>
          <w:p w14:paraId="1E6316B4">
            <w:pPr>
              <w:widowControl/>
              <w:jc w:val="left"/>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3.在定性算法上：运用四核算法，对齐顶尖方法学杂志要求；</w:t>
            </w:r>
          </w:p>
          <w:p w14:paraId="5A6AC70A">
            <w:pPr>
              <w:widowControl/>
              <w:jc w:val="left"/>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4.在定性水平上：鉴定结果应对齐《代谢组学标准倡议(MSI)》国际标准。</w:t>
            </w:r>
          </w:p>
          <w:p w14:paraId="4148CE56">
            <w:pPr>
              <w:widowControl/>
              <w:jc w:val="left"/>
              <w:rPr>
                <w:rFonts w:hint="eastAsia" w:ascii="仿宋" w:hAnsi="仿宋" w:eastAsia="仿宋" w:cs="仿宋"/>
                <w:color w:val="000000"/>
                <w:kern w:val="0"/>
                <w:sz w:val="22"/>
                <w:lang w:bidi="ar"/>
              </w:rPr>
            </w:pPr>
            <w:r>
              <w:rPr>
                <w:rFonts w:hint="eastAsia" w:ascii="仿宋" w:hAnsi="仿宋" w:eastAsia="仿宋" w:cs="仿宋"/>
                <w:color w:val="000000"/>
                <w:kern w:val="0"/>
                <w:sz w:val="22"/>
                <w:lang w:bidi="ar"/>
              </w:rPr>
              <w:t>实验室人员需</w:t>
            </w:r>
            <w:r>
              <w:rPr>
                <w:rFonts w:hint="eastAsia" w:ascii="仿宋" w:hAnsi="仿宋" w:eastAsia="仿宋" w:cs="仿宋"/>
                <w:color w:val="000000"/>
                <w:kern w:val="0"/>
                <w:sz w:val="22"/>
                <w:lang w:val="en-US" w:eastAsia="zh-CN" w:bidi="ar"/>
              </w:rPr>
              <w:t>具备</w:t>
            </w:r>
            <w:r>
              <w:rPr>
                <w:rFonts w:hint="eastAsia" w:ascii="仿宋" w:hAnsi="仿宋" w:eastAsia="仿宋" w:cs="仿宋"/>
                <w:color w:val="000000"/>
                <w:kern w:val="0"/>
                <w:sz w:val="22"/>
                <w:lang w:bidi="ar"/>
              </w:rPr>
              <w:t>相应</w:t>
            </w:r>
            <w:r>
              <w:rPr>
                <w:rFonts w:hint="eastAsia" w:ascii="仿宋" w:hAnsi="仿宋" w:eastAsia="仿宋" w:cs="仿宋"/>
                <w:color w:val="000000"/>
                <w:kern w:val="0"/>
                <w:sz w:val="22"/>
                <w:lang w:val="en-US" w:eastAsia="zh-CN" w:bidi="ar"/>
              </w:rPr>
              <w:t>的</w:t>
            </w:r>
            <w:r>
              <w:rPr>
                <w:rFonts w:hint="eastAsia" w:ascii="仿宋" w:hAnsi="仿宋" w:eastAsia="仿宋" w:cs="仿宋"/>
                <w:color w:val="000000"/>
                <w:kern w:val="0"/>
                <w:sz w:val="22"/>
                <w:lang w:bidi="ar"/>
              </w:rPr>
              <w:t>检测资质</w:t>
            </w:r>
          </w:p>
        </w:tc>
      </w:tr>
      <w:tr w14:paraId="3EAD715A">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CC82211">
            <w:pPr>
              <w:widowControl/>
              <w:jc w:val="center"/>
              <w:rPr>
                <w:rFonts w:hint="eastAsia" w:ascii="仿宋" w:hAnsi="仿宋" w:eastAsia="仿宋" w:cs="仿宋"/>
                <w:color w:val="000000"/>
                <w:kern w:val="0"/>
                <w:sz w:val="22"/>
                <w:lang w:bidi="ar"/>
              </w:rPr>
            </w:pPr>
          </w:p>
        </w:tc>
        <w:tc>
          <w:tcPr>
            <w:tcW w:w="1134" w:type="dxa"/>
            <w:tcBorders>
              <w:top w:val="single" w:color="auto" w:sz="4" w:space="0"/>
              <w:left w:val="nil"/>
              <w:bottom w:val="single" w:color="auto" w:sz="4" w:space="0"/>
              <w:right w:val="single" w:color="auto" w:sz="4" w:space="0"/>
            </w:tcBorders>
            <w:vAlign w:val="center"/>
          </w:tcPr>
          <w:p w14:paraId="04CFCE2E">
            <w:pPr>
              <w:widowControl/>
              <w:jc w:val="center"/>
              <w:rPr>
                <w:rFonts w:hint="eastAsia" w:ascii="仿宋" w:hAnsi="仿宋" w:eastAsia="仿宋" w:cs="仿宋"/>
                <w:sz w:val="32"/>
                <w:szCs w:val="32"/>
              </w:rPr>
            </w:pPr>
            <w:r>
              <w:rPr>
                <w:rFonts w:hint="eastAsia" w:ascii="仿宋" w:hAnsi="仿宋" w:eastAsia="仿宋" w:cs="仿宋"/>
                <w:sz w:val="32"/>
                <w:szCs w:val="32"/>
              </w:rPr>
              <w:t>12</w:t>
            </w:r>
          </w:p>
        </w:tc>
        <w:tc>
          <w:tcPr>
            <w:tcW w:w="7121" w:type="dxa"/>
            <w:tcBorders>
              <w:top w:val="single" w:color="auto" w:sz="4" w:space="0"/>
              <w:left w:val="nil"/>
              <w:bottom w:val="single" w:color="auto" w:sz="4" w:space="0"/>
              <w:right w:val="single" w:color="auto" w:sz="4" w:space="0"/>
            </w:tcBorders>
            <w:vAlign w:val="center"/>
          </w:tcPr>
          <w:p w14:paraId="332572AF">
            <w:pPr>
              <w:widowControl/>
              <w:jc w:val="left"/>
              <w:rPr>
                <w:rFonts w:hint="eastAsia" w:ascii="仿宋" w:hAnsi="仿宋" w:eastAsia="仿宋" w:cs="仿宋"/>
                <w:color w:val="000000"/>
                <w:kern w:val="0"/>
                <w:sz w:val="24"/>
                <w:szCs w:val="24"/>
                <w:lang w:bidi="ar"/>
              </w:rPr>
            </w:pPr>
            <w:r>
              <w:rPr>
                <w:rFonts w:ascii="仿宋" w:hAnsi="仿宋" w:eastAsia="仿宋" w:cs="仿宋"/>
                <w:color w:val="000000"/>
                <w:kern w:val="0"/>
                <w:sz w:val="22"/>
                <w:lang w:bidi="ar"/>
              </w:rPr>
              <w:t>如合同期内，本采购</w:t>
            </w:r>
            <w:r>
              <w:rPr>
                <w:rFonts w:hint="eastAsia" w:ascii="仿宋" w:hAnsi="仿宋" w:eastAsia="仿宋" w:cs="仿宋"/>
                <w:color w:val="000000"/>
                <w:kern w:val="0"/>
                <w:sz w:val="22"/>
                <w:lang w:bidi="ar"/>
              </w:rPr>
              <w:t>包含的</w:t>
            </w:r>
            <w:r>
              <w:rPr>
                <w:rFonts w:ascii="仿宋" w:hAnsi="仿宋" w:eastAsia="仿宋" w:cs="仿宋"/>
                <w:color w:val="000000"/>
                <w:kern w:val="0"/>
                <w:sz w:val="22"/>
                <w:lang w:bidi="ar"/>
              </w:rPr>
              <w:t>检测服务项目，若我院具备自行开展 检测能力，我院可停止该项检测项目的</w:t>
            </w:r>
            <w:r>
              <w:rPr>
                <w:rFonts w:hint="eastAsia" w:ascii="仿宋" w:hAnsi="仿宋" w:eastAsia="仿宋" w:cs="仿宋"/>
                <w:color w:val="000000"/>
                <w:kern w:val="0"/>
                <w:sz w:val="22"/>
                <w:lang w:bidi="ar"/>
              </w:rPr>
              <w:t>外送</w:t>
            </w:r>
            <w:r>
              <w:rPr>
                <w:rFonts w:ascii="仿宋" w:hAnsi="仿宋" w:eastAsia="仿宋" w:cs="仿宋"/>
                <w:color w:val="000000"/>
                <w:kern w:val="0"/>
                <w:sz w:val="22"/>
                <w:lang w:bidi="ar"/>
              </w:rPr>
              <w:t>检测服务。</w:t>
            </w:r>
          </w:p>
        </w:tc>
      </w:tr>
    </w:tbl>
    <w:p w14:paraId="08459D80">
      <w:pPr>
        <w:numPr>
          <w:ilvl w:val="0"/>
          <w:numId w:val="0"/>
        </w:numPr>
        <w:tabs>
          <w:tab w:val="left" w:pos="312"/>
        </w:tabs>
        <w:spacing w:line="360" w:lineRule="auto"/>
        <w:jc w:val="left"/>
        <w:rPr>
          <w:rFonts w:hint="eastAsia" w:hAnsi="宋体"/>
          <w:sz w:val="24"/>
          <w:szCs w:val="24"/>
        </w:rPr>
      </w:pPr>
    </w:p>
    <w:p w14:paraId="5A9BE0B0">
      <w:pPr>
        <w:numPr>
          <w:ilvl w:val="0"/>
          <w:numId w:val="0"/>
        </w:numPr>
        <w:tabs>
          <w:tab w:val="left" w:pos="312"/>
        </w:tabs>
        <w:spacing w:line="360" w:lineRule="auto"/>
        <w:jc w:val="left"/>
        <w:rPr>
          <w:rFonts w:hint="eastAsia" w:hAnsi="宋体"/>
          <w:sz w:val="24"/>
          <w:szCs w:val="24"/>
        </w:rPr>
      </w:pPr>
    </w:p>
    <w:p w14:paraId="350BF7FD">
      <w:pPr>
        <w:numPr>
          <w:ilvl w:val="0"/>
          <w:numId w:val="0"/>
        </w:numPr>
        <w:tabs>
          <w:tab w:val="left" w:pos="312"/>
        </w:tabs>
        <w:spacing w:line="360" w:lineRule="auto"/>
        <w:jc w:val="left"/>
        <w:rPr>
          <w:rFonts w:hint="eastAsia" w:hAnsi="宋体"/>
          <w:sz w:val="24"/>
          <w:szCs w:val="24"/>
        </w:rPr>
      </w:pPr>
    </w:p>
    <w:p w14:paraId="093B312B">
      <w:pPr>
        <w:numPr>
          <w:ilvl w:val="0"/>
          <w:numId w:val="0"/>
        </w:numPr>
        <w:tabs>
          <w:tab w:val="left" w:pos="312"/>
        </w:tabs>
        <w:spacing w:line="360" w:lineRule="auto"/>
        <w:jc w:val="left"/>
        <w:rPr>
          <w:rFonts w:hint="eastAsia" w:hAnsi="宋体"/>
          <w:sz w:val="24"/>
          <w:szCs w:val="24"/>
        </w:rPr>
      </w:pPr>
    </w:p>
    <w:p w14:paraId="008AA415">
      <w:pPr>
        <w:numPr>
          <w:ilvl w:val="0"/>
          <w:numId w:val="0"/>
        </w:numPr>
        <w:tabs>
          <w:tab w:val="left" w:pos="312"/>
        </w:tabs>
        <w:spacing w:line="360" w:lineRule="auto"/>
        <w:jc w:val="left"/>
        <w:rPr>
          <w:rFonts w:hint="eastAsia" w:hAnsi="宋体"/>
          <w:sz w:val="24"/>
          <w:szCs w:val="24"/>
        </w:rPr>
      </w:pPr>
    </w:p>
    <w:p w14:paraId="79DB6FA3">
      <w:pPr>
        <w:numPr>
          <w:ilvl w:val="0"/>
          <w:numId w:val="0"/>
        </w:numPr>
        <w:tabs>
          <w:tab w:val="left" w:pos="312"/>
        </w:tabs>
        <w:spacing w:line="360" w:lineRule="auto"/>
        <w:jc w:val="left"/>
        <w:rPr>
          <w:rFonts w:hint="eastAsia" w:hAnsi="宋体"/>
          <w:sz w:val="24"/>
          <w:szCs w:val="24"/>
        </w:rPr>
      </w:pPr>
    </w:p>
    <w:p w14:paraId="33E20997">
      <w:pPr>
        <w:numPr>
          <w:ilvl w:val="0"/>
          <w:numId w:val="0"/>
        </w:numPr>
        <w:tabs>
          <w:tab w:val="left" w:pos="312"/>
        </w:tabs>
        <w:spacing w:line="360" w:lineRule="auto"/>
        <w:jc w:val="left"/>
        <w:rPr>
          <w:rFonts w:hint="eastAsia" w:hAnsi="宋体"/>
          <w:sz w:val="24"/>
          <w:szCs w:val="24"/>
        </w:rPr>
      </w:pPr>
    </w:p>
    <w:p w14:paraId="07698E52">
      <w:pPr>
        <w:numPr>
          <w:ilvl w:val="0"/>
          <w:numId w:val="0"/>
        </w:numPr>
        <w:tabs>
          <w:tab w:val="left" w:pos="312"/>
        </w:tabs>
        <w:spacing w:line="360" w:lineRule="auto"/>
        <w:jc w:val="left"/>
        <w:rPr>
          <w:rFonts w:hint="eastAsia" w:hAnsi="宋体"/>
          <w:sz w:val="24"/>
          <w:szCs w:val="24"/>
        </w:rPr>
      </w:pPr>
    </w:p>
    <w:p w14:paraId="194FF213">
      <w:pPr>
        <w:numPr>
          <w:ilvl w:val="0"/>
          <w:numId w:val="0"/>
        </w:numPr>
        <w:tabs>
          <w:tab w:val="left" w:pos="312"/>
        </w:tabs>
        <w:spacing w:line="360" w:lineRule="auto"/>
        <w:jc w:val="left"/>
        <w:rPr>
          <w:rFonts w:hint="eastAsia" w:hAnsi="宋体"/>
          <w:sz w:val="24"/>
          <w:szCs w:val="24"/>
        </w:rPr>
      </w:pPr>
    </w:p>
    <w:p w14:paraId="2B809987">
      <w:pPr>
        <w:numPr>
          <w:ilvl w:val="0"/>
          <w:numId w:val="0"/>
        </w:numPr>
        <w:tabs>
          <w:tab w:val="left" w:pos="312"/>
        </w:tabs>
        <w:spacing w:line="360" w:lineRule="auto"/>
        <w:jc w:val="left"/>
        <w:rPr>
          <w:rFonts w:hint="eastAsia" w:hAnsi="宋体"/>
          <w:sz w:val="24"/>
          <w:szCs w:val="24"/>
        </w:rPr>
      </w:pPr>
    </w:p>
    <w:p w14:paraId="2D403A98">
      <w:pPr>
        <w:numPr>
          <w:ilvl w:val="0"/>
          <w:numId w:val="0"/>
        </w:numPr>
        <w:tabs>
          <w:tab w:val="left" w:pos="312"/>
        </w:tabs>
        <w:spacing w:line="360" w:lineRule="auto"/>
        <w:jc w:val="left"/>
        <w:rPr>
          <w:rFonts w:hint="eastAsia" w:hAnsi="宋体"/>
          <w:sz w:val="24"/>
          <w:szCs w:val="24"/>
        </w:rPr>
      </w:pPr>
    </w:p>
    <w:p w14:paraId="2A6B8D48">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三、表1 资格审查表</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0D219B9F">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表2 综合评审表</w:t>
      </w:r>
    </w:p>
    <w:tbl>
      <w:tblPr>
        <w:tblStyle w:val="10"/>
        <w:tblpPr w:leftFromText="180" w:rightFromText="180" w:vertAnchor="text" w:horzAnchor="page" w:tblpX="1290" w:tblpY="666"/>
        <w:tblOverlap w:val="never"/>
        <w:tblW w:w="97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5"/>
        <w:gridCol w:w="1695"/>
        <w:gridCol w:w="7099"/>
      </w:tblGrid>
      <w:tr w14:paraId="39266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FFEA">
            <w:pPr>
              <w:jc w:val="center"/>
              <w:rPr>
                <w:rFonts w:hint="eastAsia" w:ascii="等线" w:hAnsi="等线" w:eastAsia="等线" w:cs="等线"/>
                <w:b/>
                <w:bCs/>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B42A">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评审因素</w:t>
            </w:r>
          </w:p>
        </w:tc>
        <w:tc>
          <w:tcPr>
            <w:tcW w:w="7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256F">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评审标准</w:t>
            </w:r>
          </w:p>
        </w:tc>
      </w:tr>
      <w:tr w14:paraId="738AC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37B9">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分值构成</w:t>
            </w:r>
          </w:p>
        </w:tc>
        <w:tc>
          <w:tcPr>
            <w:tcW w:w="8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D949B">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技术部分80.0分 商务部分10.0分 报价得分10.0分</w:t>
            </w:r>
          </w:p>
        </w:tc>
      </w:tr>
      <w:tr w14:paraId="24A0B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8" w:hRule="atLeast"/>
        </w:trPr>
        <w:tc>
          <w:tcPr>
            <w:tcW w:w="985" w:type="dxa"/>
            <w:vMerge w:val="restart"/>
            <w:tcBorders>
              <w:top w:val="single" w:color="000000" w:sz="4" w:space="0"/>
              <w:left w:val="single" w:color="000000" w:sz="4" w:space="0"/>
              <w:bottom w:val="nil"/>
              <w:right w:val="single" w:color="000000" w:sz="4" w:space="0"/>
            </w:tcBorders>
            <w:shd w:val="clear" w:color="auto" w:fill="auto"/>
            <w:vAlign w:val="center"/>
          </w:tcPr>
          <w:p w14:paraId="06D1E062">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技术部分</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E504">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服务方案 (24.0分)</w:t>
            </w:r>
          </w:p>
        </w:tc>
        <w:tc>
          <w:tcPr>
            <w:tcW w:w="7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3122">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根据供应商提供的服务方案进行评价，内容包括但不限于以下内容： ①项目人员配备； ②样本采集规范； ③标本保存方案； ④检测工作流程规范； ⑤发送检测结果报告方法； ⑥报告出具时间控制方案。对以上内容进行综合评估。以上6项方案内容全面完整、清晰合理、可行性强得24分；以上6项</w:t>
            </w:r>
            <w:r>
              <w:rPr>
                <w:rFonts w:hint="eastAsia" w:ascii="等线" w:hAnsi="等线" w:eastAsia="等线" w:cs="等线"/>
                <w:i w:val="0"/>
                <w:iCs w:val="0"/>
                <w:color w:val="000000"/>
                <w:kern w:val="0"/>
                <w:sz w:val="22"/>
                <w:szCs w:val="22"/>
                <w:u w:val="none"/>
                <w:lang w:val="en-US" w:eastAsia="zh-CN" w:bidi="ar"/>
              </w:rPr>
              <w:t>方案内容比较全面完整、较清晰合理、可行性较强得18分；以上6项方案内容全面完整性、清晰合理性、可行性均一般得10分；</w:t>
            </w:r>
            <w:r>
              <w:rPr>
                <w:rFonts w:hint="eastAsia" w:ascii="等线" w:hAnsi="等线" w:eastAsia="等线" w:cs="等线"/>
                <w:i w:val="0"/>
                <w:iCs w:val="0"/>
                <w:color w:val="000000"/>
                <w:kern w:val="0"/>
                <w:sz w:val="22"/>
                <w:szCs w:val="22"/>
                <w:u w:val="none"/>
                <w:lang w:val="en-US" w:eastAsia="zh-CN" w:bidi="ar"/>
              </w:rPr>
              <w:t>未提供不得分。</w:t>
            </w:r>
          </w:p>
        </w:tc>
      </w:tr>
      <w:tr w14:paraId="3223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8" w:hRule="atLeast"/>
        </w:trPr>
        <w:tc>
          <w:tcPr>
            <w:tcW w:w="985" w:type="dxa"/>
            <w:vMerge w:val="continue"/>
            <w:tcBorders>
              <w:top w:val="single" w:color="000000" w:sz="4" w:space="0"/>
              <w:left w:val="single" w:color="000000" w:sz="4" w:space="0"/>
              <w:bottom w:val="nil"/>
              <w:right w:val="single" w:color="000000" w:sz="4" w:space="0"/>
            </w:tcBorders>
            <w:shd w:val="clear" w:color="auto" w:fill="auto"/>
            <w:vAlign w:val="center"/>
          </w:tcPr>
          <w:p w14:paraId="5EA90513">
            <w:pPr>
              <w:jc w:val="center"/>
              <w:rPr>
                <w:rFonts w:hint="eastAsia" w:ascii="等线" w:hAnsi="等线" w:eastAsia="等线" w:cs="等线"/>
                <w:b/>
                <w:bCs/>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C392">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服务质量保障方案 (10.0分)</w:t>
            </w:r>
          </w:p>
        </w:tc>
        <w:tc>
          <w:tcPr>
            <w:tcW w:w="7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8D64">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根据供应商提供的服务质量保障方案进行评价，内容包括但不限于以下内 容：①检测方法方面的质量控制（包括不限于：室内质控及室间质评） ② 样本方面的质量控制; ③技术人员方面的质量控制; ④检测设备方面的质量控制; ⑤标本运输质量控制。对以上内容进行综合评估。以上5项</w:t>
            </w:r>
            <w:r>
              <w:rPr>
                <w:rFonts w:hint="eastAsia" w:ascii="等线" w:hAnsi="等线" w:eastAsia="等线" w:cs="等线"/>
                <w:i w:val="0"/>
                <w:iCs w:val="0"/>
                <w:color w:val="000000"/>
                <w:kern w:val="0"/>
                <w:sz w:val="22"/>
                <w:szCs w:val="22"/>
                <w:u w:val="none"/>
                <w:lang w:val="en-US" w:eastAsia="zh-CN" w:bidi="ar"/>
              </w:rPr>
              <w:t>方案内容全面完整，合理有效，逻辑清晰得10分；以上5项方案内容较全面完整，较合理有效，逻辑较清晰得6分；以上5项方案在内容全面完整性，合理有效性，逻辑清晰方面均一般得2分；未提供不得分。</w:t>
            </w:r>
          </w:p>
        </w:tc>
      </w:tr>
      <w:tr w14:paraId="70ADC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85" w:type="dxa"/>
            <w:vMerge w:val="continue"/>
            <w:tcBorders>
              <w:top w:val="single" w:color="000000" w:sz="4" w:space="0"/>
              <w:left w:val="single" w:color="000000" w:sz="4" w:space="0"/>
              <w:bottom w:val="nil"/>
              <w:right w:val="single" w:color="000000" w:sz="4" w:space="0"/>
            </w:tcBorders>
            <w:shd w:val="clear" w:color="auto" w:fill="auto"/>
            <w:vAlign w:val="center"/>
          </w:tcPr>
          <w:p w14:paraId="2AEB87B9">
            <w:pPr>
              <w:jc w:val="center"/>
              <w:rPr>
                <w:rFonts w:hint="eastAsia" w:ascii="等线" w:hAnsi="等线" w:eastAsia="等线" w:cs="等线"/>
                <w:b/>
                <w:bCs/>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8757D">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应急方案 (12.0分)</w:t>
            </w:r>
          </w:p>
        </w:tc>
        <w:tc>
          <w:tcPr>
            <w:tcW w:w="7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D00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根据供应商提供的应急方案进行评价，内容包括但不限于以下内容： ①结果异议应急方案; ②报告丢失应急方案; ③售后支持应急方案; ④仪器、分析软件坏修应急方案 ⑤提供特急标本优先加急特事特办服务； ⑥其他相关应急处理。 对以上内容进行综合评估。</w:t>
            </w:r>
            <w:r>
              <w:rPr>
                <w:rFonts w:hint="eastAsia" w:ascii="等线" w:hAnsi="等线" w:eastAsia="等线" w:cs="等线"/>
                <w:i w:val="0"/>
                <w:iCs w:val="0"/>
                <w:color w:val="000000"/>
                <w:kern w:val="0"/>
                <w:sz w:val="22"/>
                <w:szCs w:val="22"/>
                <w:u w:val="none"/>
                <w:lang w:val="en-US" w:eastAsia="zh-CN" w:bidi="ar"/>
              </w:rPr>
              <w:t>以上5项方案内容全面完整，合理有效，逻辑清晰得12分；以上5项方案内容较全面完整，较合理有效，逻辑较清晰得7分；以上5项方案在内容全面完整性，合理有效性，逻辑清晰方面均一般得2分；未提供不得分。</w:t>
            </w:r>
          </w:p>
        </w:tc>
      </w:tr>
      <w:tr w14:paraId="54F00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5" w:hRule="atLeast"/>
        </w:trPr>
        <w:tc>
          <w:tcPr>
            <w:tcW w:w="985" w:type="dxa"/>
            <w:vMerge w:val="continue"/>
            <w:tcBorders>
              <w:top w:val="single" w:color="000000" w:sz="4" w:space="0"/>
              <w:left w:val="single" w:color="000000" w:sz="4" w:space="0"/>
              <w:bottom w:val="nil"/>
              <w:right w:val="single" w:color="000000" w:sz="4" w:space="0"/>
            </w:tcBorders>
            <w:shd w:val="clear" w:color="auto" w:fill="auto"/>
            <w:vAlign w:val="center"/>
          </w:tcPr>
          <w:p w14:paraId="22731770">
            <w:pPr>
              <w:jc w:val="center"/>
              <w:rPr>
                <w:rFonts w:hint="eastAsia" w:ascii="等线" w:hAnsi="等线" w:eastAsia="等线" w:cs="等线"/>
                <w:b/>
                <w:bCs/>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3B93">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安全方案 (9.0分)</w:t>
            </w:r>
          </w:p>
        </w:tc>
        <w:tc>
          <w:tcPr>
            <w:tcW w:w="7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AE91">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根据供应商提供的安全方案进行评价，内容包括但不限于以下内容： ①配送环境（冷链运输）及运输安全方案； ②样品储存环境安全方案； ③检测团队安全保障; 及设备安全操作方案; 对以上内容进行综合评估。</w:t>
            </w:r>
            <w:r>
              <w:rPr>
                <w:rFonts w:hint="eastAsia" w:ascii="等线" w:hAnsi="等线" w:eastAsia="等线" w:cs="等线"/>
                <w:i w:val="0"/>
                <w:iCs w:val="0"/>
                <w:color w:val="000000"/>
                <w:kern w:val="0"/>
                <w:sz w:val="22"/>
                <w:szCs w:val="22"/>
                <w:u w:val="none"/>
                <w:lang w:val="en-US" w:eastAsia="zh-CN" w:bidi="ar"/>
              </w:rPr>
              <w:t>以上3项方案内容全面完整，合理有效，逻辑清晰得9分；以上3项方案内容较全面完整，较合理有效，逻辑较清晰得5分；以上3项方案在内容全面完整性，合理有效性，逻辑清晰方面均一般得1分；未提供不得分。</w:t>
            </w:r>
          </w:p>
        </w:tc>
      </w:tr>
      <w:tr w14:paraId="2CB4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5" w:hRule="atLeast"/>
        </w:trPr>
        <w:tc>
          <w:tcPr>
            <w:tcW w:w="985" w:type="dxa"/>
            <w:vMerge w:val="continue"/>
            <w:tcBorders>
              <w:top w:val="single" w:color="000000" w:sz="4" w:space="0"/>
              <w:left w:val="single" w:color="000000" w:sz="4" w:space="0"/>
              <w:bottom w:val="nil"/>
              <w:right w:val="single" w:color="000000" w:sz="4" w:space="0"/>
            </w:tcBorders>
            <w:shd w:val="clear" w:color="auto" w:fill="auto"/>
            <w:vAlign w:val="center"/>
          </w:tcPr>
          <w:p w14:paraId="084D8390">
            <w:pPr>
              <w:jc w:val="center"/>
              <w:rPr>
                <w:rFonts w:hint="eastAsia" w:ascii="等线" w:hAnsi="等线" w:eastAsia="等线" w:cs="等线"/>
                <w:b/>
                <w:bCs/>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7909">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售后服务方案 (4.0分)</w:t>
            </w:r>
          </w:p>
        </w:tc>
        <w:tc>
          <w:tcPr>
            <w:tcW w:w="7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1CD9">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根据供应商提供的售后服务方案进行评价，内容包括但不限于以下内容： ①服务响应与支持 ②服务流程优化承诺 ③培训与教育 ④对检验结果提供必要的科研解释及与医生有效沟通方案。对以上内容进行综合评估。</w:t>
            </w:r>
            <w:r>
              <w:rPr>
                <w:rFonts w:hint="eastAsia" w:ascii="等线" w:hAnsi="等线" w:eastAsia="等线" w:cs="等线"/>
                <w:i w:val="0"/>
                <w:iCs w:val="0"/>
                <w:color w:val="000000"/>
                <w:kern w:val="0"/>
                <w:sz w:val="22"/>
                <w:szCs w:val="22"/>
                <w:u w:val="none"/>
                <w:lang w:val="en-US" w:eastAsia="zh-CN" w:bidi="ar"/>
              </w:rPr>
              <w:t>以上4项方案内容全面完整，合理有效，逻辑清晰得4分；以上4项方案内容较全面完整，较合理有效，逻辑较清晰得2分；以上4项方案在内容全面完整性，合理有效性，逻辑清晰方面均一般得1分；未提供不得分。</w:t>
            </w:r>
          </w:p>
        </w:tc>
      </w:tr>
      <w:tr w14:paraId="41A29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5" w:hRule="atLeast"/>
        </w:trPr>
        <w:tc>
          <w:tcPr>
            <w:tcW w:w="985" w:type="dxa"/>
            <w:vMerge w:val="continue"/>
            <w:tcBorders>
              <w:top w:val="single" w:color="000000" w:sz="4" w:space="0"/>
              <w:left w:val="single" w:color="000000" w:sz="4" w:space="0"/>
              <w:bottom w:val="nil"/>
              <w:right w:val="single" w:color="000000" w:sz="4" w:space="0"/>
            </w:tcBorders>
            <w:shd w:val="clear" w:color="auto" w:fill="auto"/>
            <w:vAlign w:val="center"/>
          </w:tcPr>
          <w:p w14:paraId="438ADD18">
            <w:pPr>
              <w:jc w:val="center"/>
              <w:rPr>
                <w:rFonts w:hint="eastAsia" w:ascii="等线" w:hAnsi="等线" w:eastAsia="等线" w:cs="等线"/>
                <w:b/>
                <w:bCs/>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3160">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保密方案 (8.0分)</w:t>
            </w:r>
          </w:p>
        </w:tc>
        <w:tc>
          <w:tcPr>
            <w:tcW w:w="7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67E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根据供应商提供的保密方案进行评价，内容包括但不限于以下内容： ①保密管理制度； ②签署保密协议内容; ③保密培训; ④电子信息保密办法; 对以上内容进行综合评估。</w:t>
            </w:r>
            <w:r>
              <w:rPr>
                <w:rFonts w:hint="eastAsia" w:ascii="等线" w:hAnsi="等线" w:eastAsia="等线" w:cs="等线"/>
                <w:i w:val="0"/>
                <w:iCs w:val="0"/>
                <w:color w:val="000000"/>
                <w:kern w:val="0"/>
                <w:sz w:val="22"/>
                <w:szCs w:val="22"/>
                <w:u w:val="none"/>
                <w:lang w:val="en-US" w:eastAsia="zh-CN" w:bidi="ar"/>
              </w:rPr>
              <w:t>以上4项方案内容全面完整，合理有效，逻辑清晰得8分；以上4项方案内容较全面完整，较合理有效，逻辑较清晰得4分；以上4项方案在内容全面完整性，合理有效性，逻辑清晰方面均一般得1分；未提供不得分。</w:t>
            </w:r>
          </w:p>
        </w:tc>
      </w:tr>
      <w:tr w14:paraId="01347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3" w:hRule="atLeast"/>
        </w:trPr>
        <w:tc>
          <w:tcPr>
            <w:tcW w:w="985" w:type="dxa"/>
            <w:vMerge w:val="continue"/>
            <w:tcBorders>
              <w:top w:val="single" w:color="000000" w:sz="4" w:space="0"/>
              <w:left w:val="single" w:color="000000" w:sz="4" w:space="0"/>
              <w:bottom w:val="nil"/>
              <w:right w:val="single" w:color="000000" w:sz="4" w:space="0"/>
            </w:tcBorders>
            <w:shd w:val="clear" w:color="auto" w:fill="auto"/>
            <w:vAlign w:val="center"/>
          </w:tcPr>
          <w:p w14:paraId="61C597E7">
            <w:pPr>
              <w:jc w:val="center"/>
              <w:rPr>
                <w:rFonts w:hint="eastAsia" w:ascii="等线" w:hAnsi="等线" w:eastAsia="等线" w:cs="等线"/>
                <w:b/>
                <w:bCs/>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8EF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标本运输方案（13.0分)</w:t>
            </w:r>
          </w:p>
        </w:tc>
        <w:tc>
          <w:tcPr>
            <w:tcW w:w="7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6418">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投标实验室具备冷链物流服务能力:</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注:须提供以下相关证明文件的复印件并加盖投标人公章。</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1、投标实验室物流标本箱具备GPS定位和温度监控功能，且可实现全程实时监测得2分，否则得0分;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2、投标实验室具有《道路运输经营许可证》及运输车辆，得2分，否则得0分。证明文件以行驶证以及道路运输经营许可证复印件为准，未提供齐全的本项不得分。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3、投标实验室获得GB/T42186-2022《医学检验生物样本冷链物流运作规范》国家标准达标企业，得2分;否则得0分。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投标实验室提供的标本管理与物流服务方案【包括但不限于:标本采集、标本收取、标本运输、物流人员培训等]进行评分:</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方案合理，内容详细、清晰，完全满足并优于采购需求的，得7分。方案较合理，内容较详细、清晰，完全满足采购需求的，得4</w:t>
            </w:r>
            <w:bookmarkStart w:id="1" w:name="_GoBack"/>
            <w:bookmarkEnd w:id="1"/>
            <w:r>
              <w:rPr>
                <w:rFonts w:hint="eastAsia" w:ascii="等线" w:hAnsi="等线" w:eastAsia="等线" w:cs="等线"/>
                <w:i w:val="0"/>
                <w:iCs w:val="0"/>
                <w:color w:val="000000"/>
                <w:kern w:val="0"/>
                <w:sz w:val="22"/>
                <w:szCs w:val="22"/>
                <w:u w:val="none"/>
                <w:lang w:val="en-US" w:eastAsia="zh-CN" w:bidi="ar"/>
              </w:rPr>
              <w:t>分。方案合理性、内容详细、清晰度均一般，不完全满足采购需求的，得1分。没有提供方案或其被评定为不可行的，不得分。注:提供相关方案的介绍说明、运输专用容器实物图片、提供全程电子监控系统的系统截图及介绍并加盖公章，无提供或资料不全者不得分。</w:t>
            </w:r>
          </w:p>
        </w:tc>
      </w:tr>
      <w:tr w14:paraId="5E2C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3AFEC">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商务部分</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DF2F">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业绩 (4.0分)</w:t>
            </w:r>
          </w:p>
        </w:tc>
        <w:tc>
          <w:tcPr>
            <w:tcW w:w="7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C7F3">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响应文件递交截止时间过去三年内（以合同签订时间为准）每提供一个承接过的类似项目业绩加2分；本项最多得4分。（提供合同扫描或复印件，合同需体现签订日期）</w:t>
            </w:r>
          </w:p>
        </w:tc>
      </w:tr>
      <w:tr w14:paraId="14AA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2D72D">
            <w:pPr>
              <w:jc w:val="center"/>
              <w:rPr>
                <w:rFonts w:hint="eastAsia" w:ascii="等线" w:hAnsi="等线" w:eastAsia="等线" w:cs="等线"/>
                <w:b/>
                <w:bCs/>
                <w:i w:val="0"/>
                <w:iCs w:val="0"/>
                <w:color w:val="000000"/>
                <w:sz w:val="22"/>
                <w:szCs w:val="22"/>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E27F">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实力认证 (6.0分)</w:t>
            </w:r>
          </w:p>
        </w:tc>
        <w:tc>
          <w:tcPr>
            <w:tcW w:w="7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C7E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①供应商实验室通过P2实验室能力认证，提供有效期内认证证书， 得2分，不提供不得分。②供应商具有ISO15189质量管理体系认证的得2分，不提供不得分。③供应商财务具有良好的信用评级证书，需提供原件扫描件，信用评级为3A及以上，得2分，其余不得分。</w:t>
            </w:r>
          </w:p>
        </w:tc>
      </w:tr>
      <w:tr w14:paraId="42D8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13FF">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投标报价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E85D">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等线" w:hAnsi="等线" w:eastAsia="等线" w:cs="等线"/>
                <w:b/>
                <w:bCs/>
                <w:i w:val="0"/>
                <w:iCs w:val="0"/>
                <w:color w:val="000000"/>
                <w:kern w:val="0"/>
                <w:sz w:val="22"/>
                <w:szCs w:val="22"/>
                <w:u w:val="none"/>
                <w:lang w:val="en-US" w:eastAsia="zh-CN" w:bidi="ar"/>
              </w:rPr>
              <w:t>投标报价得分 (10.0分)</w:t>
            </w:r>
          </w:p>
        </w:tc>
        <w:tc>
          <w:tcPr>
            <w:tcW w:w="70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5966">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投标报价得分＝（评标基准价/投标报价）×价格分值（注：满足招标文件 要求且投标价格最高的投标报价为评标基准价。）最高报价不是中标的唯 一依据。</w:t>
            </w:r>
          </w:p>
        </w:tc>
      </w:tr>
    </w:tbl>
    <w:p w14:paraId="4E1CACA4">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352AE3C">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5"/>
      </w:pPr>
    </w:p>
    <w:p w14:paraId="3132B795"/>
    <w:p w14:paraId="0A576042">
      <w:pPr>
        <w:pStyle w:val="5"/>
      </w:pPr>
    </w:p>
    <w:p w14:paraId="6DC81925"/>
    <w:p w14:paraId="73950FA8">
      <w:pPr>
        <w:pStyle w:val="5"/>
      </w:pPr>
    </w:p>
    <w:p w14:paraId="3D3ADE1E"/>
    <w:p w14:paraId="3EA602B9">
      <w:pPr>
        <w:pStyle w:val="5"/>
      </w:pPr>
    </w:p>
    <w:p w14:paraId="1C2369B1"/>
    <w:p w14:paraId="3D46A060">
      <w:pPr>
        <w:pStyle w:val="5"/>
      </w:pPr>
    </w:p>
    <w:p w14:paraId="0941FFCE"/>
    <w:p w14:paraId="46CE1A36">
      <w:pPr>
        <w:pStyle w:val="5"/>
      </w:pPr>
    </w:p>
    <w:p w14:paraId="2D3AA324"/>
    <w:p w14:paraId="5C50B345">
      <w:pPr>
        <w:pStyle w:val="5"/>
      </w:pPr>
    </w:p>
    <w:p w14:paraId="1C24A7AD"/>
    <w:p w14:paraId="38F03B4E">
      <w:pPr>
        <w:pStyle w:val="5"/>
      </w:pPr>
    </w:p>
    <w:p w14:paraId="5AB51ED1"/>
    <w:p w14:paraId="6F67E51F">
      <w:pPr>
        <w:pStyle w:val="5"/>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val="en-US" w:eastAsia="zh-CN"/>
        </w:rPr>
        <w:t>响应</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0DF3664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r>
        <w:rPr>
          <w:rFonts w:hint="eastAsia" w:ascii="宋体" w:hAnsi="宋体" w:eastAsia="宋体" w:cs="宋体"/>
          <w:b w:val="0"/>
          <w:color w:val="000000"/>
          <w:sz w:val="24"/>
          <w:szCs w:val="24"/>
          <w:lang w:eastAsia="zh-CN"/>
        </w:rPr>
        <w:t>（</w:t>
      </w:r>
      <w:r>
        <w:rPr>
          <w:rFonts w:hint="eastAsia" w:ascii="宋体" w:hAnsi="宋体" w:eastAsia="宋体" w:cs="宋体"/>
          <w:b w:val="0"/>
          <w:color w:val="000000"/>
          <w:sz w:val="24"/>
          <w:szCs w:val="24"/>
          <w:lang w:val="en-US" w:eastAsia="zh-CN"/>
        </w:rPr>
        <w:t>如有</w:t>
      </w:r>
      <w:r>
        <w:rPr>
          <w:rFonts w:hint="eastAsia" w:ascii="宋体" w:hAnsi="宋体" w:eastAsia="宋体" w:cs="宋体"/>
          <w:b w:val="0"/>
          <w:color w:val="000000"/>
          <w:sz w:val="24"/>
          <w:szCs w:val="24"/>
          <w:lang w:eastAsia="zh-CN"/>
        </w:rPr>
        <w:t>）</w:t>
      </w:r>
      <w:r>
        <w:rPr>
          <w:rFonts w:ascii="宋体" w:hAnsi="宋体" w:eastAsia="宋体" w:cs="宋体"/>
          <w:b w:val="0"/>
          <w:color w:val="000000"/>
          <w:sz w:val="24"/>
          <w:szCs w:val="24"/>
        </w:rPr>
        <w:t>............................................</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四</w:t>
      </w:r>
      <w:r>
        <w:rPr>
          <w:rFonts w:ascii="宋体" w:hAnsi="宋体" w:eastAsia="宋体" w:cs="宋体"/>
          <w:b w:val="0"/>
          <w:color w:val="000000"/>
          <w:sz w:val="24"/>
          <w:szCs w:val="24"/>
        </w:rPr>
        <w:t>、</w:t>
      </w:r>
      <w:r>
        <w:rPr>
          <w:rFonts w:hint="eastAsia" w:ascii="宋体" w:hAnsi="宋体" w:eastAsia="宋体" w:cs="宋体"/>
          <w:b w:val="0"/>
          <w:color w:val="000000"/>
          <w:sz w:val="24"/>
          <w:szCs w:val="24"/>
          <w:lang w:val="en-US" w:eastAsia="zh-CN"/>
        </w:rPr>
        <w:t>综合评审各项要求</w:t>
      </w:r>
      <w:r>
        <w:rPr>
          <w:rFonts w:ascii="宋体" w:hAnsi="宋体" w:eastAsia="宋体" w:cs="宋体"/>
          <w:b w:val="0"/>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十五、其它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92FA8B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3A4C4B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9A50CF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200E399">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1B09B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2A0A989">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5FB549FD">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BBBAA4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1147F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453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453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服务期（年）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453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453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lang w:eastAsia="zh-CN"/>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r>
        <w:rPr>
          <w:rFonts w:hint="eastAsia" w:ascii="宋体" w:hAnsi="宋体" w:eastAsia="宋体"/>
          <w:b/>
          <w:color w:val="000000"/>
          <w:sz w:val="28"/>
          <w:szCs w:val="28"/>
          <w:lang w:eastAsia="zh-CN"/>
        </w:rPr>
        <w:t>（</w:t>
      </w:r>
      <w:r>
        <w:rPr>
          <w:rFonts w:hint="eastAsia" w:ascii="宋体" w:hAnsi="宋体" w:eastAsia="宋体"/>
          <w:b/>
          <w:color w:val="000000"/>
          <w:sz w:val="28"/>
          <w:szCs w:val="28"/>
          <w:lang w:val="en-US" w:eastAsia="zh-CN"/>
        </w:rPr>
        <w:t>服务项目除外</w:t>
      </w:r>
      <w:r>
        <w:rPr>
          <w:rFonts w:hint="eastAsia" w:ascii="宋体" w:hAnsi="宋体" w:eastAsia="宋体"/>
          <w:b/>
          <w:color w:val="000000"/>
          <w:sz w:val="28"/>
          <w:szCs w:val="28"/>
          <w:lang w:eastAsia="zh-CN"/>
        </w:rPr>
        <w:t>）</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4EF406DE">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综合评审各项要求</w:t>
      </w:r>
    </w:p>
    <w:p w14:paraId="73FD561B">
      <w:pPr>
        <w:keepNext w:val="0"/>
        <w:keepLines w:val="0"/>
        <w:pageBreakBefore w:val="0"/>
        <w:widowControl/>
        <w:numPr>
          <w:ilvl w:val="0"/>
          <w:numId w:val="4"/>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其他</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F0136"/>
    <w:multiLevelType w:val="singleLevel"/>
    <w:tmpl w:val="F7AF0136"/>
    <w:lvl w:ilvl="0" w:tentative="0">
      <w:start w:val="14"/>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5BF2781"/>
    <w:rsid w:val="06B07F83"/>
    <w:rsid w:val="07EE0F70"/>
    <w:rsid w:val="080A65A2"/>
    <w:rsid w:val="0DA07F51"/>
    <w:rsid w:val="0F4E11A2"/>
    <w:rsid w:val="10D60D02"/>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962726"/>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A535799"/>
    <w:rsid w:val="3E650D1D"/>
    <w:rsid w:val="3E9002A8"/>
    <w:rsid w:val="3F552A03"/>
    <w:rsid w:val="44AA028A"/>
    <w:rsid w:val="4603606C"/>
    <w:rsid w:val="47C04769"/>
    <w:rsid w:val="486160DA"/>
    <w:rsid w:val="489F057B"/>
    <w:rsid w:val="4ABC14C5"/>
    <w:rsid w:val="4AED3729"/>
    <w:rsid w:val="4C422DF2"/>
    <w:rsid w:val="4E473895"/>
    <w:rsid w:val="4FAE723C"/>
    <w:rsid w:val="4FB4704D"/>
    <w:rsid w:val="50110E80"/>
    <w:rsid w:val="50A6142B"/>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E47B74"/>
    <w:rsid w:val="65021550"/>
    <w:rsid w:val="6585763E"/>
    <w:rsid w:val="661108EC"/>
    <w:rsid w:val="665F0BE6"/>
    <w:rsid w:val="669049D8"/>
    <w:rsid w:val="67D14995"/>
    <w:rsid w:val="68204E22"/>
    <w:rsid w:val="6B09652B"/>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2">
    <w:name w:val="Default Paragraph Font"/>
    <w:autoRedefine/>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5">
    <w:name w:val="Plain Text"/>
    <w:basedOn w:val="6"/>
    <w:next w:val="1"/>
    <w:qFormat/>
    <w:uiPriority w:val="0"/>
    <w:rPr>
      <w:rFonts w:ascii="宋体" w:hAnsi="Courier New"/>
    </w:rPr>
  </w:style>
  <w:style w:type="paragraph" w:customStyle="1" w:styleId="6">
    <w:name w:val="Normal_6"/>
    <w:next w:val="5"/>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qFormat/>
    <w:uiPriority w:val="151"/>
    <w:pPr>
      <w:tabs>
        <w:tab w:val="center" w:pos="4153"/>
        <w:tab w:val="right" w:pos="8306"/>
      </w:tabs>
      <w:snapToGrid w:val="0"/>
      <w:jc w:val="left"/>
    </w:pPr>
    <w:rPr>
      <w:sz w:val="18"/>
      <w:szCs w:val="18"/>
    </w:rPr>
  </w:style>
  <w:style w:type="paragraph" w:styleId="8">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9">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autoRedefine/>
    <w:qFormat/>
    <w:uiPriority w:val="0"/>
    <w:rPr>
      <w:rFonts w:hint="eastAsia" w:ascii="宋体" w:hAnsi="宋体" w:eastAsia="宋体" w:cs="宋体"/>
      <w:color w:val="000000"/>
      <w:sz w:val="24"/>
      <w:szCs w:val="24"/>
      <w:u w:val="none"/>
    </w:rPr>
  </w:style>
  <w:style w:type="character" w:customStyle="1" w:styleId="16">
    <w:name w:val="font31"/>
    <w:basedOn w:val="12"/>
    <w:autoRedefine/>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autoRedefine/>
    <w:qFormat/>
    <w:uiPriority w:val="0"/>
    <w:rPr>
      <w:rFonts w:ascii="Calibri" w:hAnsi="Calibri" w:cs="Calibri"/>
      <w:color w:val="000000"/>
      <w:sz w:val="28"/>
      <w:szCs w:val="28"/>
      <w:u w:val="none"/>
    </w:rPr>
  </w:style>
  <w:style w:type="character" w:customStyle="1" w:styleId="19">
    <w:name w:val="font21"/>
    <w:basedOn w:val="12"/>
    <w:autoRedefine/>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 w:type="paragraph" w:customStyle="1" w:styleId="22">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4753</Words>
  <Characters>5007</Characters>
  <Lines>0</Lines>
  <Paragraphs>0</Paragraphs>
  <TotalTime>204</TotalTime>
  <ScaleCrop>false</ScaleCrop>
  <LinksUpToDate>false</LinksUpToDate>
  <CharactersWithSpaces>5155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2025-05-28T07:32:51Z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0FB8D95EC05142C6ABDE6F6B5931B238_13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