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1B176DEB">
      <w:pPr>
        <w:numPr>
          <w:ilvl w:val="0"/>
          <w:numId w:val="0"/>
        </w:numPr>
        <w:jc w:val="center"/>
        <w:rPr>
          <w:rFonts w:hint="eastAsia"/>
          <w:b/>
          <w:bCs/>
          <w:sz w:val="36"/>
          <w:szCs w:val="36"/>
          <w:lang w:val="en-US" w:eastAsia="zh-CN"/>
        </w:rPr>
      </w:pPr>
      <w:r>
        <w:rPr>
          <w:rFonts w:hint="eastAsia"/>
          <w:b/>
          <w:bCs/>
          <w:sz w:val="36"/>
          <w:szCs w:val="36"/>
          <w:lang w:val="en-US" w:eastAsia="zh-CN"/>
        </w:rPr>
        <w:t>东胜部弱电间及机房梳理迁移服务（二次</w:t>
      </w:r>
      <w:bookmarkStart w:id="3" w:name="_GoBack"/>
      <w:bookmarkEnd w:id="3"/>
      <w:r>
        <w:rPr>
          <w:rFonts w:hint="eastAsia"/>
          <w:b/>
          <w:bCs/>
          <w:sz w:val="36"/>
          <w:szCs w:val="36"/>
          <w:lang w:val="en-US" w:eastAsia="zh-CN"/>
        </w:rPr>
        <w:t>）</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2025年6月16日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3"/>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东胜部弱电间及机房梳理迁移服务</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250000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D96DA2">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60日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lang w:val="en-US" w:eastAsia="zh-CN"/>
              </w:rPr>
              <w:t>合同</w:t>
            </w:r>
            <w:r>
              <w:rPr>
                <w:rFonts w:hint="eastAsia" w:ascii="宋体" w:hAnsi="宋体" w:eastAsia="宋体" w:cs="宋体"/>
                <w:sz w:val="24"/>
                <w:szCs w:val="24"/>
              </w:rPr>
              <w:t>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验收合格后一次性付清</w:t>
            </w:r>
          </w:p>
        </w:tc>
      </w:tr>
      <w:tr w14:paraId="1ACA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D27994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D36D1A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4663" w:type="dxa"/>
            <w:gridSpan w:val="4"/>
            <w:vAlign w:val="center"/>
          </w:tcPr>
          <w:p w14:paraId="53BBDC3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验收合格后1年质保期</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6E23911D">
      <w:pPr>
        <w:spacing w:line="360" w:lineRule="auto"/>
        <w:jc w:val="left"/>
        <w:rPr>
          <w:rFonts w:hint="eastAsia" w:ascii="宋体" w:hAnsi="宋体" w:eastAsia="宋体"/>
          <w:sz w:val="32"/>
          <w:szCs w:val="32"/>
          <w:u w:val="single"/>
        </w:rPr>
      </w:pPr>
      <w:r>
        <w:rPr>
          <w:rFonts w:hint="eastAsia" w:ascii="宋体" w:hAnsi="宋体" w:eastAsia="宋体"/>
          <w:sz w:val="24"/>
          <w:szCs w:val="24"/>
        </w:rPr>
        <w:t>（1）项目基本情况介绍：</w:t>
      </w:r>
      <w:r>
        <w:rPr>
          <w:rFonts w:hint="eastAsia" w:ascii="宋体" w:hAnsi="宋体" w:eastAsia="宋体"/>
          <w:sz w:val="24"/>
          <w:szCs w:val="24"/>
          <w:u w:val="single"/>
        </w:rPr>
        <w:t>东胜部核心机房及门诊住院楼弱电井线路杂乱，存在安全隐患，</w:t>
      </w:r>
      <w:r>
        <w:rPr>
          <w:rFonts w:hint="eastAsia" w:ascii="宋体" w:hAnsi="宋体" w:eastAsia="宋体"/>
          <w:sz w:val="24"/>
          <w:szCs w:val="24"/>
          <w:u w:val="single"/>
          <w:lang w:val="en-US" w:eastAsia="zh-CN"/>
        </w:rPr>
        <w:t>经院长办公</w:t>
      </w:r>
      <w:r>
        <w:rPr>
          <w:rFonts w:hint="eastAsia" w:ascii="宋体" w:hAnsi="宋体" w:eastAsia="宋体"/>
          <w:sz w:val="24"/>
          <w:szCs w:val="24"/>
          <w:u w:val="single"/>
        </w:rPr>
        <w:t>会议同意对核心机房机柜及设备位置进行规则清理，对门诊住院楼弱电井进行线缆梳理，对信息科办公室、信息科库房等游离在机房外的设备进行迁移。</w:t>
      </w:r>
    </w:p>
    <w:p w14:paraId="75CA7EFA">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技术参数和要求（功能和质量）</w:t>
      </w:r>
    </w:p>
    <w:p w14:paraId="65DCCDC7">
      <w:pPr>
        <w:pStyle w:val="2"/>
        <w:numPr>
          <w:ilvl w:val="0"/>
          <w:numId w:val="0"/>
        </w:numPr>
        <w:rPr>
          <w:rFonts w:hint="default" w:eastAsia="宋体"/>
          <w:b/>
          <w:bCs/>
          <w:sz w:val="24"/>
          <w:szCs w:val="22"/>
          <w:lang w:val="en-US" w:eastAsia="zh-CN"/>
        </w:rPr>
      </w:pPr>
      <w:r>
        <w:rPr>
          <w:rFonts w:hint="eastAsia"/>
          <w:b/>
          <w:bCs/>
          <w:sz w:val="24"/>
          <w:szCs w:val="22"/>
          <w:lang w:val="en-US" w:eastAsia="zh-CN"/>
        </w:rPr>
        <w:t>2.1</w:t>
      </w:r>
      <w:r>
        <w:rPr>
          <w:rFonts w:hint="eastAsia"/>
          <w:b/>
          <w:bCs/>
          <w:sz w:val="24"/>
          <w:szCs w:val="22"/>
        </w:rPr>
        <w:t>东住院楼网络中心机房改造</w:t>
      </w:r>
      <w:r>
        <w:rPr>
          <w:rFonts w:hint="eastAsia"/>
          <w:b/>
          <w:bCs/>
          <w:sz w:val="24"/>
          <w:szCs w:val="22"/>
          <w:lang w:val="en-US" w:eastAsia="zh-CN"/>
        </w:rPr>
        <w:t xml:space="preserve">  附表1</w:t>
      </w:r>
    </w:p>
    <w:tbl>
      <w:tblPr>
        <w:tblStyle w:val="12"/>
        <w:tblW w:w="5055" w:type="pct"/>
        <w:tblInd w:w="0" w:type="dxa"/>
        <w:tblLayout w:type="fixed"/>
        <w:tblCellMar>
          <w:top w:w="0" w:type="dxa"/>
          <w:left w:w="108" w:type="dxa"/>
          <w:bottom w:w="0" w:type="dxa"/>
          <w:right w:w="108" w:type="dxa"/>
        </w:tblCellMar>
      </w:tblPr>
      <w:tblGrid>
        <w:gridCol w:w="701"/>
        <w:gridCol w:w="739"/>
        <w:gridCol w:w="7176"/>
      </w:tblGrid>
      <w:tr w14:paraId="63581824">
        <w:tblPrEx>
          <w:tblCellMar>
            <w:top w:w="0" w:type="dxa"/>
            <w:left w:w="108" w:type="dxa"/>
            <w:bottom w:w="0" w:type="dxa"/>
            <w:right w:w="108" w:type="dxa"/>
          </w:tblCellMar>
        </w:tblPrEx>
        <w:trPr>
          <w:trHeight w:val="396" w:hRule="atLeast"/>
        </w:trPr>
        <w:tc>
          <w:tcPr>
            <w:tcW w:w="406" w:type="pct"/>
            <w:tcBorders>
              <w:top w:val="single" w:color="auto" w:sz="4" w:space="0"/>
              <w:left w:val="single" w:color="auto" w:sz="4" w:space="0"/>
              <w:bottom w:val="single" w:color="auto" w:sz="4" w:space="0"/>
              <w:right w:val="single" w:color="auto" w:sz="4" w:space="0"/>
            </w:tcBorders>
            <w:vAlign w:val="center"/>
          </w:tcPr>
          <w:p w14:paraId="6BB92B6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参数性质</w:t>
            </w:r>
          </w:p>
        </w:tc>
        <w:tc>
          <w:tcPr>
            <w:tcW w:w="428" w:type="pct"/>
            <w:tcBorders>
              <w:top w:val="single" w:color="auto" w:sz="4" w:space="0"/>
              <w:left w:val="nil"/>
              <w:bottom w:val="single" w:color="auto" w:sz="4" w:space="0"/>
              <w:right w:val="single" w:color="auto" w:sz="4" w:space="0"/>
            </w:tcBorders>
            <w:vAlign w:val="center"/>
          </w:tcPr>
          <w:p w14:paraId="54341D7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序号</w:t>
            </w:r>
          </w:p>
        </w:tc>
        <w:tc>
          <w:tcPr>
            <w:tcW w:w="4164" w:type="pct"/>
            <w:tcBorders>
              <w:top w:val="single" w:color="auto" w:sz="4" w:space="0"/>
              <w:left w:val="nil"/>
              <w:bottom w:val="single" w:color="auto" w:sz="4" w:space="0"/>
              <w:right w:val="single" w:color="auto" w:sz="4" w:space="0"/>
            </w:tcBorders>
            <w:vAlign w:val="center"/>
          </w:tcPr>
          <w:p w14:paraId="3E229D6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技术参数和性能指标</w:t>
            </w:r>
          </w:p>
        </w:tc>
      </w:tr>
      <w:tr w14:paraId="4023A0D5">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23BBC17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428" w:type="pct"/>
            <w:tcBorders>
              <w:top w:val="single" w:color="auto" w:sz="4" w:space="0"/>
              <w:left w:val="nil"/>
              <w:bottom w:val="single" w:color="auto" w:sz="4" w:space="0"/>
              <w:right w:val="single" w:color="auto" w:sz="4" w:space="0"/>
            </w:tcBorders>
            <w:vAlign w:val="center"/>
          </w:tcPr>
          <w:p w14:paraId="169DD02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p>
        </w:tc>
        <w:tc>
          <w:tcPr>
            <w:tcW w:w="4164" w:type="pct"/>
            <w:tcBorders>
              <w:top w:val="single" w:color="auto" w:sz="4" w:space="0"/>
              <w:left w:val="nil"/>
              <w:bottom w:val="single" w:color="auto" w:sz="4" w:space="0"/>
              <w:right w:val="single" w:color="auto" w:sz="4" w:space="0"/>
            </w:tcBorders>
            <w:vAlign w:val="center"/>
          </w:tcPr>
          <w:p w14:paraId="61E4670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静电地板</w:t>
            </w:r>
            <w:r>
              <w:rPr>
                <w:rFonts w:hint="eastAsia" w:cs="方正仿宋简体"/>
                <w:bCs/>
                <w:kern w:val="2"/>
                <w:sz w:val="21"/>
                <w:szCs w:val="24"/>
                <w:lang w:val="en-US" w:eastAsia="zh-CN" w:bidi="ar-SA"/>
              </w:rPr>
              <w:t>更换：</w:t>
            </w:r>
            <w:r>
              <w:rPr>
                <w:rFonts w:hint="eastAsia" w:ascii="方正仿宋简体" w:hAnsi="方正仿宋简体" w:eastAsia="宋体" w:cs="方正仿宋简体"/>
                <w:bCs/>
                <w:kern w:val="2"/>
                <w:sz w:val="21"/>
                <w:szCs w:val="24"/>
                <w:lang w:val="en-US" w:eastAsia="zh-CN" w:bidi="ar-SA"/>
              </w:rPr>
              <w:t>全钢陶瓷高架活动地板，用优质钢壳机构与优质陶瓷砖相结合，先粘贴瓷砖再灌浆的行业领先技术保证瓷砖与钢壳的完美结合。填充为标号425的硅酸盐优质水泥+发泡剂的混合物。不得掺粉煤灰，不允许含有有毒材料。地板经除油，磷化等步骤后进行静电喷涂处理，喷涂层材料为热固性聚脂涂料，图层不低于8um。产品规格和指标：60</w:t>
            </w:r>
            <w:r>
              <w:rPr>
                <w:rFonts w:hint="eastAsia" w:eastAsia="宋体" w:cs="方正仿宋简体"/>
                <w:bCs/>
                <w:kern w:val="2"/>
                <w:sz w:val="21"/>
                <w:szCs w:val="24"/>
                <w:lang w:val="en-US" w:eastAsia="zh-CN" w:bidi="ar-SA"/>
              </w:rPr>
              <w:t>2</w:t>
            </w:r>
            <w:r>
              <w:rPr>
                <w:rFonts w:hint="eastAsia" w:ascii="方正仿宋简体" w:hAnsi="方正仿宋简体" w:eastAsia="宋体" w:cs="方正仿宋简体"/>
                <w:bCs/>
                <w:kern w:val="2"/>
                <w:sz w:val="21"/>
                <w:szCs w:val="24"/>
                <w:lang w:val="en-US" w:eastAsia="zh-CN" w:bidi="ar-SA"/>
              </w:rPr>
              <w:t>*60</w:t>
            </w:r>
            <w:r>
              <w:rPr>
                <w:rFonts w:hint="eastAsia" w:eastAsia="宋体" w:cs="方正仿宋简体"/>
                <w:bCs/>
                <w:kern w:val="2"/>
                <w:sz w:val="21"/>
                <w:szCs w:val="24"/>
                <w:lang w:val="en-US" w:eastAsia="zh-CN" w:bidi="ar-SA"/>
              </w:rPr>
              <w:t>2</w:t>
            </w:r>
            <w:r>
              <w:rPr>
                <w:rFonts w:hint="eastAsia" w:ascii="方正仿宋简体" w:hAnsi="方正仿宋简体" w:eastAsia="宋体" w:cs="方正仿宋简体"/>
                <w:bCs/>
                <w:kern w:val="2"/>
                <w:sz w:val="21"/>
                <w:szCs w:val="24"/>
                <w:lang w:val="en-US" w:eastAsia="zh-CN" w:bidi="ar-SA"/>
              </w:rPr>
              <w:t>*40mm导静电型;集中载荷≥1800N（扰度≤2mm,永久变形≤0.25mm）；均布载荷≥9720N/ m2；极限集中载荷≥5880N；板幅极限偏差0/-0.4mm；板厚极限偏差±0.3mm；表面平面度≤0.6mm；支架上片≥3mm，下片≥2mm , 横梁厚度0.8mm。供应商提供的货物和配件均需为国产优质原装正品，不接受改配、改新、二手产品,投标时须提供产品检测报告和合格证书。机房内配电柜、机柜、UPS间蓄电池架等超重设备均根据需要制作钢质支架。静电地板脚、钢制支架均做等电位连接。机房区出入口应采用抗静电地板平铺；机房出入口收口处应采用不小于1mm厚发纹不锈钢板装饰条，出入口地板应采用角钢网架做牢靠固定。</w:t>
            </w:r>
          </w:p>
        </w:tc>
      </w:tr>
      <w:tr w14:paraId="7FBE8E59">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788112C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41FB0EA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w:t>
            </w:r>
          </w:p>
        </w:tc>
        <w:tc>
          <w:tcPr>
            <w:tcW w:w="4164" w:type="pct"/>
            <w:tcBorders>
              <w:top w:val="single" w:color="auto" w:sz="4" w:space="0"/>
              <w:left w:val="nil"/>
              <w:bottom w:val="single" w:color="auto" w:sz="4" w:space="0"/>
              <w:right w:val="single" w:color="auto" w:sz="4" w:space="0"/>
            </w:tcBorders>
            <w:vAlign w:val="center"/>
          </w:tcPr>
          <w:p w14:paraId="41D20DB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地面防尘处理</w:t>
            </w:r>
            <w:r>
              <w:rPr>
                <w:rFonts w:hint="eastAsia" w:cs="方正仿宋简体"/>
                <w:bCs/>
                <w:kern w:val="2"/>
                <w:sz w:val="21"/>
                <w:szCs w:val="24"/>
                <w:lang w:val="en-US" w:eastAsia="zh-CN" w:bidi="ar-SA"/>
              </w:rPr>
              <w:t>：要求</w:t>
            </w:r>
            <w:r>
              <w:rPr>
                <w:rFonts w:hint="eastAsia" w:ascii="方正仿宋简体" w:hAnsi="方正仿宋简体" w:eastAsia="宋体" w:cs="方正仿宋简体"/>
                <w:bCs/>
                <w:kern w:val="2"/>
                <w:sz w:val="21"/>
                <w:szCs w:val="24"/>
                <w:lang w:val="en-US" w:eastAsia="zh-CN" w:bidi="ar-SA"/>
              </w:rPr>
              <w:t>环保型，灰色、防火、防腐、防潮性能且无毒、无味，与水泥面层有很强的结合性，不脱离、不起皮，且防水防潮</w:t>
            </w:r>
            <w:r>
              <w:rPr>
                <w:rFonts w:hint="eastAsia" w:cs="方正仿宋简体"/>
                <w:bCs/>
                <w:kern w:val="2"/>
                <w:sz w:val="21"/>
                <w:szCs w:val="24"/>
                <w:lang w:val="en-US" w:eastAsia="zh-CN" w:bidi="ar-SA"/>
              </w:rPr>
              <w:t>。面积≥90平方米</w:t>
            </w:r>
          </w:p>
        </w:tc>
      </w:tr>
      <w:tr w14:paraId="29819BC7">
        <w:tblPrEx>
          <w:tblCellMar>
            <w:top w:w="0" w:type="dxa"/>
            <w:left w:w="108" w:type="dxa"/>
            <w:bottom w:w="0" w:type="dxa"/>
            <w:right w:w="108" w:type="dxa"/>
          </w:tblCellMar>
        </w:tblPrEx>
        <w:trPr>
          <w:trHeight w:val="90" w:hRule="atLeast"/>
        </w:trPr>
        <w:tc>
          <w:tcPr>
            <w:tcW w:w="406" w:type="pct"/>
            <w:tcBorders>
              <w:top w:val="single" w:color="auto" w:sz="4" w:space="0"/>
              <w:left w:val="single" w:color="auto" w:sz="4" w:space="0"/>
              <w:bottom w:val="single" w:color="auto" w:sz="4" w:space="0"/>
              <w:right w:val="single" w:color="auto" w:sz="4" w:space="0"/>
            </w:tcBorders>
            <w:vAlign w:val="center"/>
          </w:tcPr>
          <w:p w14:paraId="729784E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110B797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3</w:t>
            </w:r>
          </w:p>
        </w:tc>
        <w:tc>
          <w:tcPr>
            <w:tcW w:w="4164" w:type="pct"/>
            <w:tcBorders>
              <w:top w:val="single" w:color="auto" w:sz="4" w:space="0"/>
              <w:left w:val="nil"/>
              <w:bottom w:val="single" w:color="auto" w:sz="4" w:space="0"/>
              <w:right w:val="single" w:color="auto" w:sz="4" w:space="0"/>
            </w:tcBorders>
            <w:vAlign w:val="center"/>
          </w:tcPr>
          <w:p w14:paraId="7D28BB4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玻璃门</w:t>
            </w:r>
            <w:r>
              <w:rPr>
                <w:rFonts w:hint="eastAsia" w:cs="方正仿宋简体"/>
                <w:bCs/>
                <w:kern w:val="2"/>
                <w:sz w:val="21"/>
                <w:szCs w:val="24"/>
                <w:lang w:val="en-US" w:eastAsia="zh-CN" w:bidi="ar-SA"/>
              </w:rPr>
              <w:t>改造：</w:t>
            </w:r>
            <w:r>
              <w:rPr>
                <w:rFonts w:hint="eastAsia" w:ascii="方正仿宋简体" w:hAnsi="方正仿宋简体" w:eastAsia="宋体" w:cs="方正仿宋简体"/>
                <w:bCs/>
                <w:kern w:val="2"/>
                <w:sz w:val="21"/>
                <w:szCs w:val="24"/>
                <w:lang w:val="en-US" w:eastAsia="zh-CN" w:bidi="ar-SA"/>
              </w:rPr>
              <w:t>机房房入口静电地板铺设前对入口玻璃门进行拆除，地板架设好后恢复玻璃门。玻璃门约12㎡，</w:t>
            </w:r>
            <w:r>
              <w:rPr>
                <w:rFonts w:hint="eastAsia" w:cs="方正仿宋简体"/>
                <w:bCs/>
                <w:kern w:val="2"/>
                <w:sz w:val="21"/>
                <w:szCs w:val="24"/>
                <w:lang w:val="en-US" w:eastAsia="zh-CN" w:bidi="ar-SA"/>
              </w:rPr>
              <w:t>数量1。</w:t>
            </w:r>
            <w:r>
              <w:rPr>
                <w:rFonts w:hint="eastAsia" w:ascii="方正仿宋简体" w:hAnsi="方正仿宋简体" w:eastAsia="宋体" w:cs="方正仿宋简体"/>
                <w:bCs/>
                <w:kern w:val="2"/>
                <w:sz w:val="21"/>
                <w:szCs w:val="24"/>
                <w:lang w:val="en-US" w:eastAsia="zh-CN" w:bidi="ar-SA"/>
              </w:rPr>
              <w:t>玻璃门完整恢复之后，起到防尘、防潮、防火、防静电的作用，满足大型设备的进出需求。</w:t>
            </w:r>
          </w:p>
        </w:tc>
      </w:tr>
      <w:tr w14:paraId="0934A7ED">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0274F0B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4704A71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4</w:t>
            </w:r>
          </w:p>
        </w:tc>
        <w:tc>
          <w:tcPr>
            <w:tcW w:w="4164" w:type="pct"/>
            <w:tcBorders>
              <w:top w:val="single" w:color="auto" w:sz="4" w:space="0"/>
              <w:left w:val="nil"/>
              <w:bottom w:val="single" w:color="auto" w:sz="4" w:space="0"/>
              <w:right w:val="single" w:color="auto" w:sz="4" w:space="0"/>
            </w:tcBorders>
            <w:vAlign w:val="center"/>
          </w:tcPr>
          <w:p w14:paraId="6F82CFD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铝扣板集成吊顶</w:t>
            </w:r>
            <w:r>
              <w:rPr>
                <w:rFonts w:hint="eastAsia" w:cs="方正仿宋简体"/>
                <w:bCs/>
                <w:kern w:val="2"/>
                <w:sz w:val="21"/>
                <w:szCs w:val="24"/>
                <w:lang w:val="en-US" w:eastAsia="zh-CN" w:bidi="ar-SA"/>
              </w:rPr>
              <w:t>更换：</w:t>
            </w:r>
            <w:r>
              <w:rPr>
                <w:rFonts w:hint="eastAsia" w:ascii="方正仿宋简体" w:hAnsi="方正仿宋简体" w:eastAsia="宋体" w:cs="方正仿宋简体"/>
                <w:bCs/>
                <w:kern w:val="2"/>
                <w:sz w:val="21"/>
                <w:szCs w:val="24"/>
                <w:lang w:val="en-US" w:eastAsia="zh-CN" w:bidi="ar-SA"/>
              </w:rPr>
              <w:t>600mm*600mm*1mm厚 ，铝合金材质，纯白，孔径1.8mm，机房区域吊顶</w:t>
            </w:r>
            <w:r>
              <w:rPr>
                <w:rFonts w:hint="eastAsia" w:cs="方正仿宋简体"/>
                <w:bCs/>
                <w:kern w:val="2"/>
                <w:sz w:val="21"/>
                <w:szCs w:val="24"/>
                <w:lang w:val="en-US" w:eastAsia="zh-CN" w:bidi="ar-SA"/>
              </w:rPr>
              <w:t>。面积≥90平方米</w:t>
            </w:r>
          </w:p>
        </w:tc>
      </w:tr>
      <w:tr w14:paraId="0F3ACA22">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1A20389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6E233A0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5</w:t>
            </w:r>
          </w:p>
        </w:tc>
        <w:tc>
          <w:tcPr>
            <w:tcW w:w="4164" w:type="pct"/>
            <w:tcBorders>
              <w:top w:val="single" w:color="auto" w:sz="4" w:space="0"/>
              <w:left w:val="nil"/>
              <w:bottom w:val="single" w:color="auto" w:sz="4" w:space="0"/>
              <w:right w:val="single" w:color="auto" w:sz="4" w:space="0"/>
            </w:tcBorders>
            <w:vAlign w:val="center"/>
          </w:tcPr>
          <w:p w14:paraId="0637468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集成吊顶灯</w:t>
            </w:r>
            <w:r>
              <w:rPr>
                <w:rFonts w:hint="eastAsia" w:cs="方正仿宋简体"/>
                <w:bCs/>
                <w:kern w:val="2"/>
                <w:sz w:val="21"/>
                <w:szCs w:val="24"/>
                <w:lang w:val="en-US" w:eastAsia="zh-CN" w:bidi="ar-SA"/>
              </w:rPr>
              <w:t>更换：数量大于等于12个。要求</w:t>
            </w:r>
            <w:r>
              <w:rPr>
                <w:rFonts w:hint="eastAsia" w:ascii="方正仿宋简体" w:hAnsi="方正仿宋简体" w:eastAsia="宋体" w:cs="方正仿宋简体"/>
                <w:bCs/>
                <w:kern w:val="2"/>
                <w:sz w:val="21"/>
                <w:szCs w:val="24"/>
                <w:lang w:val="en-US" w:eastAsia="zh-CN" w:bidi="ar-SA"/>
              </w:rPr>
              <w:t>32W,220V-50Hz嵌入式集成，60*60CM，国产优质</w:t>
            </w:r>
          </w:p>
        </w:tc>
      </w:tr>
      <w:tr w14:paraId="33C89A0E">
        <w:tblPrEx>
          <w:tblCellMar>
            <w:top w:w="0" w:type="dxa"/>
            <w:left w:w="108" w:type="dxa"/>
            <w:bottom w:w="0" w:type="dxa"/>
            <w:right w:w="108" w:type="dxa"/>
          </w:tblCellMar>
        </w:tblPrEx>
        <w:trPr>
          <w:trHeight w:val="464" w:hRule="atLeast"/>
        </w:trPr>
        <w:tc>
          <w:tcPr>
            <w:tcW w:w="406" w:type="pct"/>
            <w:tcBorders>
              <w:top w:val="single" w:color="auto" w:sz="4" w:space="0"/>
              <w:left w:val="single" w:color="auto" w:sz="4" w:space="0"/>
              <w:bottom w:val="single" w:color="auto" w:sz="4" w:space="0"/>
              <w:right w:val="single" w:color="auto" w:sz="4" w:space="0"/>
            </w:tcBorders>
            <w:vAlign w:val="center"/>
          </w:tcPr>
          <w:p w14:paraId="33E7861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69BED42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6</w:t>
            </w:r>
          </w:p>
        </w:tc>
        <w:tc>
          <w:tcPr>
            <w:tcW w:w="4164" w:type="pct"/>
            <w:tcBorders>
              <w:top w:val="single" w:color="auto" w:sz="4" w:space="0"/>
              <w:left w:val="nil"/>
              <w:bottom w:val="single" w:color="auto" w:sz="4" w:space="0"/>
              <w:right w:val="single" w:color="auto" w:sz="4" w:space="0"/>
            </w:tcBorders>
            <w:vAlign w:val="center"/>
          </w:tcPr>
          <w:p w14:paraId="45C902B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顶面防尘处理</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环保型，灰色、防火、防腐、防潮性能且无毒、无味，与水泥面层有很强的结合性，不脱离、不起皮，且防水防潮</w:t>
            </w:r>
            <w:r>
              <w:rPr>
                <w:rFonts w:hint="eastAsia" w:cs="方正仿宋简体"/>
                <w:bCs/>
                <w:kern w:val="2"/>
                <w:sz w:val="21"/>
                <w:szCs w:val="24"/>
                <w:lang w:val="en-US" w:eastAsia="zh-CN" w:bidi="ar-SA"/>
              </w:rPr>
              <w:t>，处理面积≥90平方米</w:t>
            </w:r>
          </w:p>
        </w:tc>
      </w:tr>
      <w:tr w14:paraId="5C231D19">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5243B62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428" w:type="pct"/>
            <w:tcBorders>
              <w:top w:val="single" w:color="auto" w:sz="4" w:space="0"/>
              <w:left w:val="nil"/>
              <w:bottom w:val="single" w:color="auto" w:sz="4" w:space="0"/>
              <w:right w:val="single" w:color="auto" w:sz="4" w:space="0"/>
            </w:tcBorders>
            <w:vAlign w:val="center"/>
          </w:tcPr>
          <w:p w14:paraId="0BDA5F4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7</w:t>
            </w:r>
          </w:p>
        </w:tc>
        <w:tc>
          <w:tcPr>
            <w:tcW w:w="4164" w:type="pct"/>
            <w:tcBorders>
              <w:top w:val="single" w:color="auto" w:sz="4" w:space="0"/>
              <w:left w:val="nil"/>
              <w:bottom w:val="single" w:color="auto" w:sz="4" w:space="0"/>
              <w:right w:val="single" w:color="auto" w:sz="4" w:space="0"/>
            </w:tcBorders>
            <w:vAlign w:val="center"/>
          </w:tcPr>
          <w:p w14:paraId="05A2355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机柜整理</w:t>
            </w:r>
            <w:r>
              <w:rPr>
                <w:rFonts w:hint="eastAsia" w:cs="方正仿宋简体"/>
                <w:bCs/>
                <w:kern w:val="2"/>
                <w:sz w:val="21"/>
                <w:szCs w:val="24"/>
                <w:lang w:val="en-US" w:eastAsia="zh-CN" w:bidi="ar-SA"/>
              </w:rPr>
              <w:t>：数量≥20个。包含：</w:t>
            </w:r>
            <w:r>
              <w:rPr>
                <w:rFonts w:hint="eastAsia" w:ascii="方正仿宋简体" w:hAnsi="方正仿宋简体" w:eastAsia="宋体" w:cs="方正仿宋简体"/>
                <w:bCs/>
                <w:kern w:val="2"/>
                <w:sz w:val="21"/>
                <w:szCs w:val="24"/>
                <w:lang w:val="en-US" w:eastAsia="zh-CN" w:bidi="ar-SA"/>
              </w:rPr>
              <w:t>1、机柜重新排列摆放，要求整齐美观。2、机柜内设备根据网络中心统一部署按照网络拓扑图、设备分类重新划分柜位，设备重新部署后对机柜、配线架、设备、网络端口全部进行标识统一管理。3、完成网线梳理/打标（机房-弱电井机柜-终端设备）工作，要求机柜内及机柜间各种线缆横平竖直，排列有序，各线缆之间不得交叉、打结，线缆本身要求无应力铺设，适应机房的设备部署及业务开展，数据配线须采用六类屏蔽双绞线及以上，光纤配线须采用室内万兆光纤及以上，使机柜和走线美观整洁。标签标识应“固定”在距线缆接头 3 厘米左右的范围之内。使用的标签纸规格为 9MM。字体为“黑体”，字号为“极小”，格式为“无边框”。标签的全部内容均应朝向机柜外侧，标签间应有明显层次，不能相互遮挡。</w:t>
            </w:r>
          </w:p>
        </w:tc>
      </w:tr>
      <w:tr w14:paraId="163EA931">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2AF1EF1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28AD128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8</w:t>
            </w:r>
          </w:p>
        </w:tc>
        <w:tc>
          <w:tcPr>
            <w:tcW w:w="4164" w:type="pct"/>
            <w:tcBorders>
              <w:top w:val="single" w:color="auto" w:sz="4" w:space="0"/>
              <w:left w:val="nil"/>
              <w:bottom w:val="single" w:color="auto" w:sz="4" w:space="0"/>
              <w:right w:val="single" w:color="auto" w:sz="4" w:space="0"/>
            </w:tcBorders>
            <w:vAlign w:val="center"/>
          </w:tcPr>
          <w:p w14:paraId="23D13EC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桥架整理</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使用合适的工具将桥架固定在防静电地板下，确保桥架稳固且不晃动。桥架上电缆进行线缆捆绑，排列整齐，避免交叉和缠绕。确保电缆固定牢固，不易脱落。</w:t>
            </w:r>
            <w:r>
              <w:rPr>
                <w:rFonts w:hint="eastAsia" w:cs="方正仿宋简体"/>
                <w:bCs/>
                <w:kern w:val="2"/>
                <w:sz w:val="21"/>
                <w:szCs w:val="24"/>
                <w:lang w:val="en-US" w:eastAsia="zh-CN" w:bidi="ar-SA"/>
              </w:rPr>
              <w:t>数量4项。</w:t>
            </w:r>
            <w:r>
              <w:rPr>
                <w:rFonts w:hint="eastAsia" w:ascii="方正仿宋简体" w:hAnsi="方正仿宋简体" w:eastAsia="宋体" w:cs="方正仿宋简体"/>
                <w:bCs/>
                <w:kern w:val="2"/>
                <w:sz w:val="21"/>
                <w:szCs w:val="24"/>
                <w:lang w:val="en-US" w:eastAsia="zh-CN" w:bidi="ar-SA"/>
              </w:rPr>
              <w:t>完成线缆敷设后做接地连接，确保所有指标符合规范要求，并进行验收。</w:t>
            </w:r>
          </w:p>
        </w:tc>
      </w:tr>
      <w:tr w14:paraId="1B7D4239">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48AF92E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78A6899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9</w:t>
            </w:r>
          </w:p>
        </w:tc>
        <w:tc>
          <w:tcPr>
            <w:tcW w:w="4164" w:type="pct"/>
            <w:tcBorders>
              <w:top w:val="single" w:color="auto" w:sz="4" w:space="0"/>
              <w:left w:val="nil"/>
              <w:bottom w:val="single" w:color="auto" w:sz="4" w:space="0"/>
              <w:right w:val="single" w:color="auto" w:sz="4" w:space="0"/>
            </w:tcBorders>
            <w:vAlign w:val="center"/>
          </w:tcPr>
          <w:p w14:paraId="2C869CD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PDU：数量12个。</w:t>
            </w:r>
            <w:r>
              <w:rPr>
                <w:rFonts w:hint="eastAsia" w:ascii="方正仿宋简体" w:hAnsi="方正仿宋简体" w:eastAsia="宋体" w:cs="方正仿宋简体"/>
                <w:bCs/>
                <w:kern w:val="2"/>
                <w:sz w:val="21"/>
                <w:szCs w:val="24"/>
                <w:lang w:val="en-US" w:eastAsia="zh-CN" w:bidi="ar-SA"/>
              </w:rPr>
              <w:t>电流16A/7个10A组合孔+1个16A专用孔</w:t>
            </w:r>
          </w:p>
        </w:tc>
      </w:tr>
      <w:tr w14:paraId="0ED62A68">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153DE24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4EC8159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10</w:t>
            </w:r>
          </w:p>
        </w:tc>
        <w:tc>
          <w:tcPr>
            <w:tcW w:w="4164" w:type="pct"/>
            <w:tcBorders>
              <w:top w:val="single" w:color="auto" w:sz="4" w:space="0"/>
              <w:left w:val="nil"/>
              <w:bottom w:val="single" w:color="auto" w:sz="4" w:space="0"/>
              <w:right w:val="single" w:color="auto" w:sz="4" w:space="0"/>
            </w:tcBorders>
            <w:vAlign w:val="center"/>
          </w:tcPr>
          <w:p w14:paraId="4495406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机柜搬迁</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办公室机房机柜和设备搬迁至中心机房，重新布线</w:t>
            </w:r>
            <w:r>
              <w:rPr>
                <w:rFonts w:hint="eastAsia" w:cs="方正仿宋简体"/>
                <w:bCs/>
                <w:kern w:val="2"/>
                <w:sz w:val="21"/>
                <w:szCs w:val="24"/>
                <w:lang w:val="en-US" w:eastAsia="zh-CN" w:bidi="ar-SA"/>
              </w:rPr>
              <w:t>，含所需全部材料</w:t>
            </w:r>
          </w:p>
        </w:tc>
      </w:tr>
      <w:tr w14:paraId="7482140E">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0C3551A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1F37172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r>
              <w:rPr>
                <w:rFonts w:hint="eastAsia" w:eastAsia="宋体" w:cs="方正仿宋简体"/>
                <w:bCs/>
                <w:kern w:val="2"/>
                <w:sz w:val="21"/>
                <w:szCs w:val="24"/>
                <w:lang w:val="en-US" w:eastAsia="zh-CN" w:bidi="ar-SA"/>
              </w:rPr>
              <w:t>1</w:t>
            </w:r>
          </w:p>
        </w:tc>
        <w:tc>
          <w:tcPr>
            <w:tcW w:w="4164" w:type="pct"/>
            <w:tcBorders>
              <w:top w:val="single" w:color="auto" w:sz="4" w:space="0"/>
              <w:left w:val="nil"/>
              <w:bottom w:val="single" w:color="auto" w:sz="4" w:space="0"/>
              <w:right w:val="single" w:color="auto" w:sz="4" w:space="0"/>
            </w:tcBorders>
            <w:vAlign w:val="center"/>
          </w:tcPr>
          <w:p w14:paraId="257D328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拆除</w:t>
            </w:r>
            <w:r>
              <w:rPr>
                <w:rFonts w:hint="eastAsia" w:cs="方正仿宋简体"/>
                <w:bCs/>
                <w:kern w:val="2"/>
                <w:sz w:val="21"/>
                <w:szCs w:val="24"/>
                <w:lang w:val="en-US" w:eastAsia="zh-CN" w:bidi="ar-SA"/>
              </w:rPr>
              <w:t>项目1项：</w:t>
            </w:r>
            <w:r>
              <w:rPr>
                <w:rFonts w:hint="eastAsia" w:ascii="方正仿宋简体" w:hAnsi="方正仿宋简体" w:eastAsia="宋体" w:cs="方正仿宋简体"/>
                <w:bCs/>
                <w:kern w:val="2"/>
                <w:sz w:val="21"/>
                <w:szCs w:val="24"/>
                <w:lang w:val="en-US" w:eastAsia="zh-CN" w:bidi="ar-SA"/>
              </w:rPr>
              <w:t>在规定时间内进行施工，对UPS电源、精密空调、机柜等设备进行遮盖保护，不得影响机房设备正常运行，吊顶、龙骨、灯具、静电地板、支架、烟感、温感拆除。工程完工后，把烟感和温湿度传感器重新安装上，在动环系统进行调测，恢复正常通讯。</w:t>
            </w:r>
          </w:p>
        </w:tc>
      </w:tr>
      <w:tr w14:paraId="65E2EDBB">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28BF1F0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7E23F80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r>
              <w:rPr>
                <w:rFonts w:hint="eastAsia" w:eastAsia="宋体" w:cs="方正仿宋简体"/>
                <w:bCs/>
                <w:kern w:val="2"/>
                <w:sz w:val="21"/>
                <w:szCs w:val="24"/>
                <w:lang w:val="en-US" w:eastAsia="zh-CN" w:bidi="ar-SA"/>
              </w:rPr>
              <w:t>2</w:t>
            </w:r>
          </w:p>
        </w:tc>
        <w:tc>
          <w:tcPr>
            <w:tcW w:w="4164" w:type="pct"/>
            <w:tcBorders>
              <w:top w:val="single" w:color="auto" w:sz="4" w:space="0"/>
              <w:left w:val="nil"/>
              <w:bottom w:val="single" w:color="auto" w:sz="4" w:space="0"/>
              <w:right w:val="single" w:color="auto" w:sz="4" w:space="0"/>
            </w:tcBorders>
            <w:vAlign w:val="center"/>
          </w:tcPr>
          <w:p w14:paraId="3983BFA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垃圾清运</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旧静电地板、铝扣板搬运至指定地点、机房施工垃圾清运</w:t>
            </w:r>
            <w:r>
              <w:rPr>
                <w:rFonts w:hint="eastAsia" w:cs="方正仿宋简体"/>
                <w:bCs/>
                <w:kern w:val="2"/>
                <w:sz w:val="21"/>
                <w:szCs w:val="24"/>
                <w:lang w:val="en-US" w:eastAsia="zh-CN" w:bidi="ar-SA"/>
              </w:rPr>
              <w:t>至东胜区指定的建筑垃圾转运站</w:t>
            </w:r>
          </w:p>
        </w:tc>
      </w:tr>
      <w:tr w14:paraId="2D13ADF6">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268AAD4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428" w:type="pct"/>
            <w:tcBorders>
              <w:top w:val="single" w:color="auto" w:sz="4" w:space="0"/>
              <w:left w:val="nil"/>
              <w:bottom w:val="single" w:color="auto" w:sz="4" w:space="0"/>
              <w:right w:val="single" w:color="auto" w:sz="4" w:space="0"/>
            </w:tcBorders>
            <w:shd w:val="clear" w:color="auto" w:fill="auto"/>
            <w:vAlign w:val="center"/>
          </w:tcPr>
          <w:p w14:paraId="7745B20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eastAsia="宋体" w:cs="方正仿宋简体"/>
                <w:bCs/>
                <w:kern w:val="2"/>
                <w:sz w:val="21"/>
                <w:szCs w:val="24"/>
                <w:lang w:val="en-US" w:eastAsia="zh-CN" w:bidi="ar-SA"/>
              </w:rPr>
              <w:t>13</w:t>
            </w:r>
          </w:p>
        </w:tc>
        <w:tc>
          <w:tcPr>
            <w:tcW w:w="4164" w:type="pct"/>
            <w:tcBorders>
              <w:top w:val="single" w:color="auto" w:sz="4" w:space="0"/>
              <w:left w:val="nil"/>
              <w:bottom w:val="single" w:color="auto" w:sz="4" w:space="0"/>
              <w:right w:val="single" w:color="auto" w:sz="4" w:space="0"/>
            </w:tcBorders>
            <w:vAlign w:val="center"/>
          </w:tcPr>
          <w:p w14:paraId="402DE4C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精密空调</w:t>
            </w:r>
            <w:r>
              <w:rPr>
                <w:rFonts w:hint="eastAsia" w:cs="方正仿宋简体"/>
                <w:bCs/>
                <w:kern w:val="2"/>
                <w:sz w:val="21"/>
                <w:szCs w:val="24"/>
                <w:lang w:val="en-US" w:eastAsia="zh-CN" w:bidi="ar-SA"/>
              </w:rPr>
              <w:t>维护1项：</w:t>
            </w:r>
            <w:r>
              <w:rPr>
                <w:rFonts w:hint="eastAsia" w:ascii="方正仿宋简体" w:hAnsi="方正仿宋简体" w:eastAsia="宋体" w:cs="方正仿宋简体"/>
                <w:bCs/>
                <w:kern w:val="2"/>
                <w:sz w:val="21"/>
                <w:szCs w:val="24"/>
                <w:lang w:val="en-US" w:eastAsia="zh-CN" w:bidi="ar-SA"/>
              </w:rPr>
              <w:t>空调周围采用角钢制一圈挡水坝，并使用聚氨酯防水涂料做好防水处理，或者水泥做防水围堰，围堰高度不低于100mm，安装地漏或者导水管。</w:t>
            </w:r>
          </w:p>
          <w:p w14:paraId="25F009B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提供精密空调 3年维保服务。具体为1台维谛30KW恒温恒湿机房专用精密空调。维保方式：全包服务。即乙方对甲方的机房专用空调进行全包服务方式。乙方负责甲方机房空调的正常使用，通过对甲方设备的日常维护以及维修等服务手段，使甲方设备正常、安全的运行。在合同期内，空调机所有零部件（如室外风扇、膨胀阀、温度控制器、LP开关、过流保护器、干燥过滤器、电磁阀、相序保护器、压力继电器、接触器、上水阀等）在使用中发生损坏，如需更换配件，乙方应在五日内提供配件并更换，配件费及相关工具租赁费用由乙方承担，氟里昂由甲方负责承担。投标时须提供制冷作业证书。</w:t>
            </w:r>
          </w:p>
        </w:tc>
      </w:tr>
      <w:tr w14:paraId="30C1A2FD">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2E7F6C7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428" w:type="pct"/>
            <w:tcBorders>
              <w:top w:val="single" w:color="auto" w:sz="4" w:space="0"/>
              <w:left w:val="nil"/>
              <w:bottom w:val="single" w:color="auto" w:sz="4" w:space="0"/>
              <w:right w:val="single" w:color="auto" w:sz="4" w:space="0"/>
            </w:tcBorders>
            <w:shd w:val="clear" w:color="auto" w:fill="auto"/>
            <w:vAlign w:val="center"/>
          </w:tcPr>
          <w:p w14:paraId="6F97AFA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eastAsia="宋体" w:cs="方正仿宋简体"/>
                <w:bCs/>
                <w:kern w:val="2"/>
                <w:sz w:val="21"/>
                <w:szCs w:val="24"/>
                <w:lang w:val="en-US" w:eastAsia="zh-CN" w:bidi="ar-SA"/>
              </w:rPr>
              <w:t>14</w:t>
            </w:r>
          </w:p>
        </w:tc>
        <w:tc>
          <w:tcPr>
            <w:tcW w:w="4164" w:type="pct"/>
            <w:tcBorders>
              <w:top w:val="single" w:color="auto" w:sz="4" w:space="0"/>
              <w:left w:val="nil"/>
              <w:bottom w:val="single" w:color="auto" w:sz="4" w:space="0"/>
              <w:right w:val="single" w:color="auto" w:sz="4" w:space="0"/>
            </w:tcBorders>
            <w:vAlign w:val="center"/>
          </w:tcPr>
          <w:p w14:paraId="26A10E4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UPS电源</w:t>
            </w:r>
            <w:r>
              <w:rPr>
                <w:rFonts w:hint="eastAsia" w:cs="方正仿宋简体"/>
                <w:bCs/>
                <w:kern w:val="2"/>
                <w:sz w:val="21"/>
                <w:szCs w:val="24"/>
                <w:lang w:val="en-US" w:eastAsia="zh-CN" w:bidi="ar-SA"/>
              </w:rPr>
              <w:t>维护1项：</w:t>
            </w:r>
            <w:r>
              <w:rPr>
                <w:rFonts w:hint="eastAsia" w:ascii="方正仿宋简体" w:hAnsi="方正仿宋简体" w:eastAsia="宋体" w:cs="方正仿宋简体"/>
                <w:bCs/>
                <w:kern w:val="2"/>
                <w:sz w:val="21"/>
                <w:szCs w:val="24"/>
                <w:lang w:val="en-US" w:eastAsia="zh-CN" w:bidi="ar-SA"/>
              </w:rPr>
              <w:t>对UPS电源和蓄电池组进行移位，跟机房其他设施保持协调整齐，满足安全用电要求。重新安装后，在动环系统进行调试，恢复UPS通讯监测。</w:t>
            </w:r>
          </w:p>
          <w:p w14:paraId="7822F1C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和提供UPS电源3年维保服务。维保方式：全包服务，即乙方对甲方的机房UPS不间断电源系统提供1年全包服务方式。乙方负责甲方机房UPS系统的正常使用，通过对甲方设备的日常维护以及维修等服务手段，使甲方设备正常、安全的运行。每季度提供1次现场巡检服务，出现故障时随时到现场处理，巡。包括检查UPS运行环境（布线、温度、湿度、市电电压频率参数等）；检查UPS输入输出运行参数；主机开机除尘；检查UPS室蓄电池放电及回充状况等；单节蓄电池在充电状态和放电状态的电压数据、内阻数据；蓄电池充电电流、放电电流数据；检查和维护中心机房配电线路、开关，排除隐患。提出合理使用建议，确保UPS处于最佳运行状态。PS设备出现故障时，投标人负责免费提供原厂部件（除蓄电池、UPS主板），并安排工程师免费上门维修或更换。UPS设备出现故障时，投标人需在接到报障电话后5分钟内做出响应，15分钟内给出解决方案，30分钟内排除故障，在2小时内恢复旁路供电，最迟应在6小时内恢复供电。投标时须提供UPS工程师证书及电工证。</w:t>
            </w:r>
          </w:p>
        </w:tc>
      </w:tr>
      <w:tr w14:paraId="5269B32D">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3C1CF24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428" w:type="pct"/>
            <w:tcBorders>
              <w:top w:val="single" w:color="auto" w:sz="4" w:space="0"/>
              <w:left w:val="nil"/>
              <w:bottom w:val="single" w:color="auto" w:sz="4" w:space="0"/>
              <w:right w:val="single" w:color="auto" w:sz="4" w:space="0"/>
            </w:tcBorders>
            <w:shd w:val="clear" w:color="auto" w:fill="auto"/>
            <w:vAlign w:val="center"/>
          </w:tcPr>
          <w:p w14:paraId="037CE7F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eastAsia="宋体" w:cs="方正仿宋简体"/>
                <w:bCs/>
                <w:kern w:val="2"/>
                <w:sz w:val="21"/>
                <w:szCs w:val="24"/>
                <w:lang w:val="en-US" w:eastAsia="zh-CN" w:bidi="ar-SA"/>
              </w:rPr>
              <w:t>15</w:t>
            </w:r>
          </w:p>
        </w:tc>
        <w:tc>
          <w:tcPr>
            <w:tcW w:w="4164" w:type="pct"/>
            <w:tcBorders>
              <w:top w:val="single" w:color="auto" w:sz="4" w:space="0"/>
              <w:left w:val="nil"/>
              <w:bottom w:val="single" w:color="auto" w:sz="4" w:space="0"/>
              <w:right w:val="single" w:color="auto" w:sz="4" w:space="0"/>
            </w:tcBorders>
            <w:vAlign w:val="center"/>
          </w:tcPr>
          <w:p w14:paraId="67210C4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系统集成</w:t>
            </w:r>
            <w:r>
              <w:rPr>
                <w:rFonts w:hint="eastAsia" w:eastAsia="宋体" w:cs="方正仿宋简体"/>
                <w:bCs/>
                <w:kern w:val="2"/>
                <w:sz w:val="21"/>
                <w:szCs w:val="24"/>
                <w:lang w:val="en-US" w:eastAsia="zh-CN" w:bidi="ar-SA"/>
              </w:rPr>
              <w:t>技术</w:t>
            </w:r>
            <w:r>
              <w:rPr>
                <w:rFonts w:hint="eastAsia" w:cs="方正仿宋简体"/>
                <w:bCs/>
                <w:kern w:val="2"/>
                <w:sz w:val="21"/>
                <w:szCs w:val="24"/>
                <w:lang w:val="en-US" w:eastAsia="zh-CN" w:bidi="ar-SA"/>
              </w:rPr>
              <w:t>服务：1项。包含：</w:t>
            </w:r>
            <w:r>
              <w:rPr>
                <w:rFonts w:hint="eastAsia" w:eastAsia="宋体" w:cs="方正仿宋简体"/>
                <w:bCs/>
                <w:kern w:val="2"/>
                <w:sz w:val="21"/>
                <w:szCs w:val="24"/>
                <w:lang w:val="en-US" w:eastAsia="zh-CN" w:bidi="ar-SA"/>
              </w:rPr>
              <w:t>完成整体网络规划方案，使网络负载均衡、安全，满足办公需求，包含机房出入登记表、IP地址规划方案、设备一览表、设备故障排除维修等。服务报价为一次性报价，包含机房防雷接地系统、</w:t>
            </w:r>
            <w:r>
              <w:rPr>
                <w:rFonts w:hint="eastAsia" w:ascii="方正仿宋简体" w:hAnsi="方正仿宋简体" w:eastAsia="宋体" w:cs="方正仿宋简体"/>
                <w:bCs/>
                <w:kern w:val="2"/>
                <w:sz w:val="21"/>
                <w:szCs w:val="24"/>
                <w:lang w:val="en-US" w:eastAsia="zh-CN" w:bidi="ar-SA"/>
              </w:rPr>
              <w:t>机柜底座、电缆、网线、水晶头、扎带、防锈漆、光纤跳线、水晶头、光模块、电盒、电荷支架、线盒、软管等</w:t>
            </w:r>
            <w:r>
              <w:rPr>
                <w:rFonts w:hint="eastAsia" w:eastAsia="宋体" w:cs="方正仿宋简体"/>
                <w:bCs/>
                <w:kern w:val="2"/>
                <w:sz w:val="21"/>
                <w:szCs w:val="24"/>
                <w:lang w:val="en-US" w:eastAsia="zh-CN" w:bidi="ar-SA"/>
              </w:rPr>
              <w:t>所有辅材。投标时提供一份近三年来医疗系统机房弱电改造案例，附合同和发票复印件。提供智能化系统集成项目经理证书</w:t>
            </w:r>
          </w:p>
        </w:tc>
      </w:tr>
      <w:tr w14:paraId="4D115C74">
        <w:tblPrEx>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vAlign w:val="center"/>
          </w:tcPr>
          <w:p w14:paraId="6181902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注：1.标“★”条款为实质性条款，若有任何一条负偏离或不满足则做废标处理。非“★”号条款，若大于一条负偏离或不满足则做废标处理。</w:t>
            </w:r>
          </w:p>
        </w:tc>
      </w:tr>
    </w:tbl>
    <w:p w14:paraId="623C0AA3">
      <w:pPr>
        <w:rPr>
          <w:rFonts w:ascii="宋体" w:hAnsi="宋体" w:eastAsia="宋体"/>
          <w:sz w:val="32"/>
          <w:szCs w:val="32"/>
        </w:rPr>
      </w:pPr>
    </w:p>
    <w:p w14:paraId="4820CD05">
      <w:pPr>
        <w:rPr>
          <w:rFonts w:hint="eastAsia"/>
          <w:b/>
          <w:bCs/>
          <w:sz w:val="24"/>
          <w:szCs w:val="28"/>
          <w:lang w:val="en-US" w:eastAsia="zh-CN"/>
        </w:rPr>
      </w:pPr>
      <w:r>
        <w:rPr>
          <w:rFonts w:hint="eastAsia"/>
          <w:b/>
          <w:bCs/>
          <w:sz w:val="24"/>
          <w:szCs w:val="28"/>
          <w:lang w:val="en-US" w:eastAsia="zh-CN"/>
        </w:rPr>
        <w:t xml:space="preserve">2.2 </w:t>
      </w:r>
      <w:r>
        <w:rPr>
          <w:rFonts w:hint="eastAsia"/>
          <w:b/>
          <w:bCs/>
          <w:sz w:val="24"/>
          <w:szCs w:val="28"/>
        </w:rPr>
        <w:t>科研楼网络中心机房的改造</w:t>
      </w:r>
      <w:r>
        <w:rPr>
          <w:rFonts w:hint="eastAsia"/>
          <w:b/>
          <w:bCs/>
          <w:sz w:val="24"/>
          <w:szCs w:val="28"/>
          <w:lang w:val="en-US" w:eastAsia="zh-CN"/>
        </w:rPr>
        <w:t xml:space="preserve"> 附表2</w:t>
      </w:r>
    </w:p>
    <w:tbl>
      <w:tblPr>
        <w:tblStyle w:val="12"/>
        <w:tblW w:w="4879" w:type="pct"/>
        <w:jc w:val="center"/>
        <w:tblLayout w:type="fixed"/>
        <w:tblCellMar>
          <w:top w:w="0" w:type="dxa"/>
          <w:left w:w="108" w:type="dxa"/>
          <w:bottom w:w="0" w:type="dxa"/>
          <w:right w:w="108" w:type="dxa"/>
        </w:tblCellMar>
      </w:tblPr>
      <w:tblGrid>
        <w:gridCol w:w="569"/>
        <w:gridCol w:w="520"/>
        <w:gridCol w:w="7227"/>
      </w:tblGrid>
      <w:tr w14:paraId="66C123A0">
        <w:tblPrEx>
          <w:tblCellMar>
            <w:top w:w="0" w:type="dxa"/>
            <w:left w:w="108" w:type="dxa"/>
            <w:bottom w:w="0" w:type="dxa"/>
            <w:right w:w="108" w:type="dxa"/>
          </w:tblCellMar>
        </w:tblPrEx>
        <w:trPr>
          <w:trHeight w:val="464"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1EBD384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参数性质</w:t>
            </w:r>
          </w:p>
        </w:tc>
        <w:tc>
          <w:tcPr>
            <w:tcW w:w="312" w:type="pct"/>
            <w:tcBorders>
              <w:top w:val="single" w:color="auto" w:sz="4" w:space="0"/>
              <w:left w:val="nil"/>
              <w:bottom w:val="single" w:color="auto" w:sz="4" w:space="0"/>
              <w:right w:val="single" w:color="auto" w:sz="4" w:space="0"/>
            </w:tcBorders>
            <w:vAlign w:val="center"/>
          </w:tcPr>
          <w:p w14:paraId="423D08A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序号</w:t>
            </w:r>
          </w:p>
        </w:tc>
        <w:tc>
          <w:tcPr>
            <w:tcW w:w="4345" w:type="pct"/>
            <w:tcBorders>
              <w:top w:val="single" w:color="auto" w:sz="4" w:space="0"/>
              <w:left w:val="nil"/>
              <w:bottom w:val="single" w:color="auto" w:sz="4" w:space="0"/>
              <w:right w:val="single" w:color="auto" w:sz="4" w:space="0"/>
            </w:tcBorders>
            <w:vAlign w:val="center"/>
          </w:tcPr>
          <w:p w14:paraId="65F0961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技术参数和性能指标</w:t>
            </w:r>
          </w:p>
        </w:tc>
      </w:tr>
      <w:tr w14:paraId="33576957">
        <w:tblPrEx>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427EA97C">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12" w:type="pct"/>
            <w:tcBorders>
              <w:top w:val="single" w:color="auto" w:sz="4" w:space="0"/>
              <w:left w:val="nil"/>
              <w:bottom w:val="single" w:color="auto" w:sz="4" w:space="0"/>
              <w:right w:val="single" w:color="auto" w:sz="4" w:space="0"/>
            </w:tcBorders>
            <w:vAlign w:val="center"/>
          </w:tcPr>
          <w:p w14:paraId="564C522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p>
        </w:tc>
        <w:tc>
          <w:tcPr>
            <w:tcW w:w="4345" w:type="pct"/>
            <w:tcBorders>
              <w:top w:val="single" w:color="auto" w:sz="4" w:space="0"/>
              <w:left w:val="nil"/>
              <w:bottom w:val="single" w:color="auto" w:sz="4" w:space="0"/>
              <w:right w:val="single" w:color="auto" w:sz="4" w:space="0"/>
            </w:tcBorders>
            <w:vAlign w:val="center"/>
          </w:tcPr>
          <w:p w14:paraId="409F1360">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机柜整理</w:t>
            </w:r>
            <w:r>
              <w:rPr>
                <w:rFonts w:hint="eastAsia" w:cs="方正仿宋简体"/>
                <w:bCs/>
                <w:kern w:val="2"/>
                <w:sz w:val="21"/>
                <w:szCs w:val="24"/>
                <w:lang w:val="en-US" w:eastAsia="zh-CN" w:bidi="ar-SA"/>
              </w:rPr>
              <w:t>：数量≥9个。包含：</w:t>
            </w:r>
            <w:r>
              <w:rPr>
                <w:rFonts w:hint="eastAsia" w:ascii="方正仿宋简体" w:hAnsi="方正仿宋简体" w:eastAsia="宋体" w:cs="方正仿宋简体"/>
                <w:bCs/>
                <w:kern w:val="2"/>
                <w:sz w:val="21"/>
                <w:szCs w:val="24"/>
                <w:lang w:val="en-US" w:eastAsia="zh-CN" w:bidi="ar-SA"/>
              </w:rPr>
              <w:t>1、机柜重新排列摆放，要求整齐美观。2、机柜内设备根据网络中心统一部署按照网络拓扑图、设备分类重新划分柜位，设备重新部署后对机柜、配线架、设备、网络端口全部进行标识统一管理。3、完成网线梳理/打标（机房-弱电井机柜-终端设备）工作，要求机柜内及机柜间各种线缆横平竖直，排列有序，各线缆之间不得交叉、打结，线缆本身要求无应力铺设，适应机房的设备部署及业务开展，数据配线须采用六类屏蔽双绞线及以上，光纤配线须采用室内万兆光纤及以上，使机柜和走线美观整洁。标签标识应“固定”在距线缆接头 3 厘米左右的范围之内。使用的标签纸规格为9MM。字体为“黑体”，字号为“极小”，格式为“无边框”。标签的全部内容均应朝向机柜外侧，标签间应有明显层次，不能相互遮挡。</w:t>
            </w:r>
          </w:p>
        </w:tc>
      </w:tr>
      <w:tr w14:paraId="097B5F61">
        <w:tblPrEx>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5C9E36D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12" w:type="pct"/>
            <w:tcBorders>
              <w:top w:val="single" w:color="auto" w:sz="4" w:space="0"/>
              <w:left w:val="nil"/>
              <w:bottom w:val="single" w:color="auto" w:sz="4" w:space="0"/>
              <w:right w:val="single" w:color="auto" w:sz="4" w:space="0"/>
            </w:tcBorders>
            <w:vAlign w:val="center"/>
          </w:tcPr>
          <w:p w14:paraId="5CB03F9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w:t>
            </w:r>
          </w:p>
        </w:tc>
        <w:tc>
          <w:tcPr>
            <w:tcW w:w="4345" w:type="pct"/>
            <w:tcBorders>
              <w:top w:val="single" w:color="auto" w:sz="4" w:space="0"/>
              <w:left w:val="nil"/>
              <w:bottom w:val="single" w:color="auto" w:sz="4" w:space="0"/>
              <w:right w:val="single" w:color="auto" w:sz="4" w:space="0"/>
            </w:tcBorders>
            <w:vAlign w:val="center"/>
          </w:tcPr>
          <w:p w14:paraId="7DD224C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综合布线</w:t>
            </w:r>
            <w:r>
              <w:rPr>
                <w:rFonts w:hint="eastAsia" w:cs="方正仿宋简体"/>
                <w:bCs/>
                <w:kern w:val="2"/>
                <w:sz w:val="21"/>
                <w:szCs w:val="24"/>
                <w:lang w:val="en-US" w:eastAsia="zh-CN" w:bidi="ar-SA"/>
              </w:rPr>
              <w:t>：1项。包含：</w:t>
            </w:r>
            <w:r>
              <w:rPr>
                <w:rFonts w:hint="eastAsia" w:ascii="方正仿宋简体" w:hAnsi="方正仿宋简体" w:eastAsia="宋体" w:cs="方正仿宋简体"/>
                <w:bCs/>
                <w:kern w:val="2"/>
                <w:sz w:val="21"/>
                <w:szCs w:val="24"/>
                <w:lang w:val="en-US" w:eastAsia="zh-CN" w:bidi="ar-SA"/>
              </w:rPr>
              <w:t>机房综合布线系统要求距离尽量短而整齐，排列有序，且需适应机房的设备部署及业务开展需要，数据配线须采用六类屏蔽双绞线及以上，光纤配线须采用室内万兆光纤及以上。</w:t>
            </w:r>
          </w:p>
          <w:p w14:paraId="1DE3130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本项目机房所有桥架、线缆必须平铺、压实、拉紧，并采用线缆配套固线器固定，固线器底座须安装在同一水平线上。机柜、配线架、设备、网络端口需全部做好标识统一管理。</w:t>
            </w:r>
          </w:p>
          <w:p w14:paraId="732122C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数据和光纤都集中配线至网络配线柜中做好标识统一管理，每台服务器机柜中应配置数据配线架和光纤配线架。</w:t>
            </w:r>
          </w:p>
        </w:tc>
      </w:tr>
      <w:tr w14:paraId="1619623E">
        <w:tblPrEx>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14:paraId="1BD6761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12" w:type="pct"/>
            <w:tcBorders>
              <w:top w:val="single" w:color="auto" w:sz="4" w:space="0"/>
              <w:left w:val="nil"/>
              <w:bottom w:val="single" w:color="auto" w:sz="4" w:space="0"/>
              <w:right w:val="single" w:color="auto" w:sz="4" w:space="0"/>
            </w:tcBorders>
            <w:shd w:val="clear" w:color="auto" w:fill="auto"/>
            <w:vAlign w:val="center"/>
          </w:tcPr>
          <w:p w14:paraId="609C62B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eastAsia="宋体" w:cs="方正仿宋简体"/>
                <w:bCs/>
                <w:kern w:val="2"/>
                <w:sz w:val="21"/>
                <w:szCs w:val="24"/>
                <w:lang w:val="en-US" w:eastAsia="zh-CN" w:bidi="ar-SA"/>
              </w:rPr>
              <w:t>3</w:t>
            </w:r>
          </w:p>
        </w:tc>
        <w:tc>
          <w:tcPr>
            <w:tcW w:w="4345" w:type="pct"/>
            <w:tcBorders>
              <w:top w:val="single" w:color="auto" w:sz="4" w:space="0"/>
              <w:left w:val="nil"/>
              <w:bottom w:val="single" w:color="auto" w:sz="4" w:space="0"/>
              <w:right w:val="single" w:color="auto" w:sz="4" w:space="0"/>
            </w:tcBorders>
            <w:shd w:val="clear" w:color="auto" w:fill="auto"/>
            <w:vAlign w:val="center"/>
          </w:tcPr>
          <w:p w14:paraId="5E981DC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系统集成</w:t>
            </w:r>
            <w:r>
              <w:rPr>
                <w:rFonts w:hint="eastAsia" w:eastAsia="宋体" w:cs="方正仿宋简体"/>
                <w:bCs/>
                <w:kern w:val="2"/>
                <w:sz w:val="21"/>
                <w:szCs w:val="24"/>
                <w:lang w:val="en-US" w:eastAsia="zh-CN" w:bidi="ar-SA"/>
              </w:rPr>
              <w:t>技术</w:t>
            </w:r>
            <w:r>
              <w:rPr>
                <w:rFonts w:hint="eastAsia" w:cs="方正仿宋简体"/>
                <w:bCs/>
                <w:kern w:val="2"/>
                <w:sz w:val="21"/>
                <w:szCs w:val="24"/>
                <w:lang w:val="en-US" w:eastAsia="zh-CN" w:bidi="ar-SA"/>
              </w:rPr>
              <w:t>服务：1项。包含：</w:t>
            </w:r>
            <w:r>
              <w:rPr>
                <w:rFonts w:hint="eastAsia" w:ascii="方正仿宋简体" w:hAnsi="方正仿宋简体" w:eastAsia="宋体" w:cs="方正仿宋简体"/>
                <w:bCs/>
                <w:kern w:val="2"/>
                <w:sz w:val="21"/>
                <w:szCs w:val="24"/>
                <w:lang w:val="en-US" w:eastAsia="zh-CN" w:bidi="ar-SA"/>
              </w:rPr>
              <w:t>完成整体网络规划方案，使网络负载均衡、安全，满足办公需求，包含机房出入登记表、IP地址规划方案、设备一览表、设备故障排除维修等</w:t>
            </w:r>
            <w:r>
              <w:rPr>
                <w:rFonts w:hint="eastAsia" w:eastAsia="宋体" w:cs="方正仿宋简体"/>
                <w:bCs/>
                <w:kern w:val="2"/>
                <w:sz w:val="21"/>
                <w:szCs w:val="24"/>
                <w:lang w:val="en-US" w:eastAsia="zh-CN" w:bidi="ar-SA"/>
              </w:rPr>
              <w:t>。服务报价为一次性报价，包含机房防雷接地系统、桥架、网（线）络跳线、光纤跳线、水晶头、扎带、光模块等所有辅材。投标时提供一份近三年来医疗系统机房弱电改造案例，附合同和发票复印件。提供智能化系统集成项目经理证书</w:t>
            </w:r>
          </w:p>
        </w:tc>
      </w:tr>
      <w:tr w14:paraId="45768C14">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F516CB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注：1.标“★”条款为实质性条款，若有任何一条负偏离或不满足则做废标处理。</w:t>
            </w:r>
          </w:p>
        </w:tc>
      </w:tr>
    </w:tbl>
    <w:p w14:paraId="3FB1850A">
      <w:pPr>
        <w:widowControl w:val="0"/>
        <w:spacing w:line="240" w:lineRule="auto"/>
        <w:jc w:val="both"/>
        <w:rPr>
          <w:rFonts w:hint="eastAsia" w:ascii="方正仿宋简体" w:hAnsi="方正仿宋简体" w:eastAsia="宋体" w:cs="方正仿宋简体"/>
          <w:bCs/>
          <w:kern w:val="2"/>
          <w:sz w:val="21"/>
          <w:szCs w:val="24"/>
          <w:lang w:val="en-US" w:eastAsia="zh-CN" w:bidi="ar-SA"/>
        </w:rPr>
      </w:pPr>
      <w:bookmarkStart w:id="0" w:name="_Toc17963"/>
    </w:p>
    <w:p w14:paraId="469232A6">
      <w:pPr>
        <w:pStyle w:val="7"/>
        <w:rPr>
          <w:rFonts w:hint="eastAsia"/>
          <w:lang w:val="en-US" w:eastAsia="zh-CN"/>
        </w:rPr>
      </w:pPr>
      <w:r>
        <w:rPr>
          <w:rFonts w:hint="eastAsia"/>
          <w:lang w:val="en-US" w:eastAsia="zh-CN"/>
        </w:rPr>
        <w:t>2.3项目基本情况：办公室老机房的迁移割接</w:t>
      </w:r>
      <w:bookmarkEnd w:id="0"/>
      <w:r>
        <w:rPr>
          <w:rFonts w:hint="eastAsia"/>
          <w:lang w:val="en-US" w:eastAsia="zh-CN"/>
        </w:rPr>
        <w:t xml:space="preserve"> 附表3</w:t>
      </w:r>
    </w:p>
    <w:p w14:paraId="7714B6A3">
      <w:pPr>
        <w:rPr>
          <w:rFonts w:hint="default"/>
          <w:lang w:val="en-US" w:eastAsia="zh-CN"/>
        </w:rPr>
      </w:pPr>
    </w:p>
    <w:tbl>
      <w:tblPr>
        <w:tblStyle w:val="12"/>
        <w:tblW w:w="5058" w:type="pct"/>
        <w:jc w:val="center"/>
        <w:tblLayout w:type="fixed"/>
        <w:tblCellMar>
          <w:top w:w="0" w:type="dxa"/>
          <w:left w:w="108" w:type="dxa"/>
          <w:bottom w:w="0" w:type="dxa"/>
          <w:right w:w="108" w:type="dxa"/>
        </w:tblCellMar>
      </w:tblPr>
      <w:tblGrid>
        <w:gridCol w:w="804"/>
        <w:gridCol w:w="662"/>
        <w:gridCol w:w="7155"/>
      </w:tblGrid>
      <w:tr w14:paraId="318571B7">
        <w:tblPrEx>
          <w:tblCellMar>
            <w:top w:w="0" w:type="dxa"/>
            <w:left w:w="108" w:type="dxa"/>
            <w:bottom w:w="0" w:type="dxa"/>
            <w:right w:w="108" w:type="dxa"/>
          </w:tblCellMar>
        </w:tblPrEx>
        <w:trPr>
          <w:trHeight w:val="46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8B1040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参数性质</w:t>
            </w:r>
          </w:p>
        </w:tc>
        <w:tc>
          <w:tcPr>
            <w:tcW w:w="383" w:type="pct"/>
            <w:tcBorders>
              <w:top w:val="single" w:color="auto" w:sz="4" w:space="0"/>
              <w:left w:val="nil"/>
              <w:bottom w:val="single" w:color="auto" w:sz="4" w:space="0"/>
              <w:right w:val="single" w:color="auto" w:sz="4" w:space="0"/>
            </w:tcBorders>
            <w:vAlign w:val="center"/>
          </w:tcPr>
          <w:p w14:paraId="0EF4C85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序号</w:t>
            </w:r>
          </w:p>
        </w:tc>
        <w:tc>
          <w:tcPr>
            <w:tcW w:w="4149" w:type="pct"/>
            <w:tcBorders>
              <w:top w:val="single" w:color="auto" w:sz="4" w:space="0"/>
              <w:left w:val="nil"/>
              <w:bottom w:val="single" w:color="auto" w:sz="4" w:space="0"/>
              <w:right w:val="single" w:color="auto" w:sz="4" w:space="0"/>
            </w:tcBorders>
            <w:vAlign w:val="center"/>
          </w:tcPr>
          <w:p w14:paraId="32113B8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技术参数和性能指标</w:t>
            </w:r>
          </w:p>
        </w:tc>
      </w:tr>
      <w:tr w14:paraId="21228CCA">
        <w:tblPrEx>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vAlign w:val="center"/>
          </w:tcPr>
          <w:p w14:paraId="5B1F4B15">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83" w:type="pct"/>
            <w:tcBorders>
              <w:top w:val="single" w:color="auto" w:sz="4" w:space="0"/>
              <w:left w:val="nil"/>
              <w:bottom w:val="single" w:color="auto" w:sz="4" w:space="0"/>
              <w:right w:val="single" w:color="auto" w:sz="4" w:space="0"/>
            </w:tcBorders>
            <w:vAlign w:val="center"/>
          </w:tcPr>
          <w:p w14:paraId="343BD3A8">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p>
        </w:tc>
        <w:tc>
          <w:tcPr>
            <w:tcW w:w="4149" w:type="pct"/>
            <w:tcBorders>
              <w:top w:val="single" w:color="auto" w:sz="4" w:space="0"/>
              <w:left w:val="nil"/>
              <w:bottom w:val="single" w:color="auto" w:sz="4" w:space="0"/>
              <w:right w:val="single" w:color="auto" w:sz="4" w:space="0"/>
            </w:tcBorders>
            <w:shd w:val="clear" w:color="auto" w:fill="auto"/>
            <w:vAlign w:val="center"/>
          </w:tcPr>
          <w:p w14:paraId="2D0A1E19">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光缆铺设：</w:t>
            </w:r>
          </w:p>
          <w:p w14:paraId="7B400BB8">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光缆单元：</w:t>
            </w:r>
            <w:r>
              <w:rPr>
                <w:rFonts w:hint="eastAsia" w:cs="方正仿宋简体"/>
                <w:bCs/>
                <w:kern w:val="2"/>
                <w:sz w:val="21"/>
                <w:szCs w:val="24"/>
                <w:lang w:val="en-US" w:eastAsia="zh-CN" w:bidi="ar-SA"/>
              </w:rPr>
              <w:t>数量：&gt;320米 （包含光纤熔接）。</w:t>
            </w:r>
            <w:r>
              <w:rPr>
                <w:rFonts w:hint="eastAsia" w:ascii="方正仿宋简体" w:hAnsi="方正仿宋简体" w:eastAsia="宋体" w:cs="方正仿宋简体"/>
                <w:bCs/>
                <w:kern w:val="2"/>
                <w:sz w:val="21"/>
                <w:szCs w:val="24"/>
                <w:lang w:val="en-US" w:eastAsia="zh-CN" w:bidi="ar-SA"/>
              </w:rPr>
              <w:t>芯数：24芯 加强件：芳纶纱（Kevlar）或玻璃纤维增强塑料（FRP），提供高抗拉强度（如芳纶纱拉伸强度≥3,000 MPa）。</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eastAsia="宋体" w:cs="方正仿宋简体"/>
                <w:bCs/>
                <w:kern w:val="2"/>
                <w:sz w:val="21"/>
                <w:szCs w:val="24"/>
                <w:lang w:val="en-US" w:eastAsia="zh-CN" w:bidi="ar-SA"/>
              </w:rPr>
              <w:t>内护套：阻水材料（如阻水带/油膏）防潮。</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eastAsia="宋体" w:cs="方正仿宋简体"/>
                <w:bCs/>
                <w:kern w:val="2"/>
                <w:sz w:val="21"/>
                <w:szCs w:val="24"/>
                <w:lang w:val="en-US" w:eastAsia="zh-CN" w:bidi="ar-SA"/>
              </w:rPr>
              <w:t>外护套：耐电痕聚乙烯（AT/PE）或聚烯烃，抗紫外线（UV）及恶劣环境。</w:t>
            </w:r>
          </w:p>
          <w:p w14:paraId="740D956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抗拉强度（RTS）：典型值≥30 kN，依据跨距需求设计。</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eastAsia="宋体" w:cs="方正仿宋简体"/>
                <w:bCs/>
                <w:kern w:val="2"/>
                <w:sz w:val="21"/>
                <w:szCs w:val="24"/>
                <w:lang w:val="en-US" w:eastAsia="zh-CN" w:bidi="ar-SA"/>
              </w:rPr>
              <w:t>最大工作张力（MAT）：通常为RTS的25%-40%（如10-15 kN）。</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eastAsia="宋体" w:cs="方正仿宋简体"/>
                <w:bCs/>
                <w:kern w:val="2"/>
                <w:sz w:val="21"/>
                <w:szCs w:val="24"/>
                <w:lang w:val="en-US" w:eastAsia="zh-CN" w:bidi="ar-SA"/>
              </w:rPr>
              <w:t>杨氏模量：芳纶加强件约70-120 GPa，FRP约50-60 GPa。</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eastAsia="宋体" w:cs="方正仿宋简体"/>
                <w:bCs/>
                <w:kern w:val="2"/>
                <w:sz w:val="21"/>
                <w:szCs w:val="24"/>
                <w:lang w:val="en-US" w:eastAsia="zh-CN" w:bidi="ar-SA"/>
              </w:rPr>
              <w:t>弯曲半径：安装时≥20倍光缆直径，运行时≥10倍。</w:t>
            </w:r>
          </w:p>
          <w:p w14:paraId="71FCD0D9">
            <w:pPr>
              <w:pStyle w:val="2"/>
              <w:rPr>
                <w:rFonts w:hint="default"/>
                <w:lang w:val="en-US" w:eastAsia="zh-CN"/>
              </w:rPr>
            </w:pPr>
            <w:r>
              <w:rPr>
                <w:rFonts w:hint="eastAsia" w:ascii="方正仿宋简体" w:hAnsi="方正仿宋简体" w:eastAsia="宋体" w:cs="方正仿宋简体"/>
                <w:bCs/>
                <w:kern w:val="2"/>
                <w:sz w:val="21"/>
                <w:szCs w:val="24"/>
                <w:lang w:val="en-US" w:eastAsia="zh-CN" w:bidi="ar-SA"/>
              </w:rPr>
              <w:t>多模光纤</w:t>
            </w:r>
            <w:r>
              <w:rPr>
                <w:rFonts w:hint="eastAsia" w:ascii="方正仿宋简体" w:hAnsi="方正仿宋简体" w:cs="方正仿宋简体"/>
                <w:bCs/>
                <w:kern w:val="2"/>
                <w:sz w:val="21"/>
                <w:szCs w:val="24"/>
                <w:lang w:val="en-US" w:eastAsia="zh-CN" w:bidi="ar-SA"/>
              </w:rPr>
              <w:t xml:space="preserve">：数量：&gt;750米 </w:t>
            </w:r>
            <w:r>
              <w:rPr>
                <w:rFonts w:hint="eastAsia" w:ascii="方正仿宋简体" w:hAnsi="方正仿宋简体" w:eastAsia="宋体" w:cs="方正仿宋简体"/>
                <w:bCs/>
                <w:kern w:val="2"/>
                <w:sz w:val="21"/>
                <w:szCs w:val="24"/>
                <w:lang w:val="en-US" w:eastAsia="zh-CN" w:bidi="ar-SA"/>
              </w:rPr>
              <w:t>全新环保低烟无卤外被，高模量芳纶加强丝，采用A+级纤芯，损耗低，易弯曲、强韧性、易剥离、易熔接</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cs="方正仿宋简体"/>
                <w:bCs/>
                <w:kern w:val="2"/>
                <w:sz w:val="21"/>
                <w:szCs w:val="24"/>
                <w:lang w:val="en-US" w:eastAsia="zh-CN" w:bidi="ar-SA"/>
              </w:rPr>
              <w:t>包含其他材料：</w:t>
            </w:r>
            <w:r>
              <w:rPr>
                <w:rFonts w:hint="eastAsia" w:ascii="方正仿宋简体" w:hAnsi="方正仿宋简体" w:eastAsia="宋体" w:cs="方正仿宋简体"/>
                <w:bCs/>
                <w:kern w:val="2"/>
                <w:sz w:val="21"/>
                <w:szCs w:val="24"/>
                <w:lang w:val="en-US" w:eastAsia="zh-CN" w:bidi="ar-SA"/>
              </w:rPr>
              <w:t>光纤熔接盘</w:t>
            </w:r>
            <w:r>
              <w:rPr>
                <w:rFonts w:hint="eastAsia" w:ascii="方正仿宋简体" w:hAnsi="方正仿宋简体" w:cs="方正仿宋简体"/>
                <w:bCs/>
                <w:kern w:val="2"/>
                <w:sz w:val="21"/>
                <w:szCs w:val="24"/>
                <w:lang w:val="en-US" w:eastAsia="zh-CN" w:bidi="ar-SA"/>
              </w:rPr>
              <w:t>2个，</w:t>
            </w:r>
            <w:r>
              <w:rPr>
                <w:rFonts w:hint="eastAsia" w:ascii="方正仿宋简体" w:hAnsi="方正仿宋简体" w:eastAsia="宋体" w:cs="方正仿宋简体"/>
                <w:bCs/>
                <w:kern w:val="2"/>
                <w:sz w:val="21"/>
                <w:szCs w:val="24"/>
                <w:lang w:val="en-US" w:eastAsia="zh-CN" w:bidi="ar-SA"/>
              </w:rPr>
              <w:t>熔接盒</w:t>
            </w:r>
            <w:r>
              <w:rPr>
                <w:rFonts w:hint="eastAsia" w:ascii="方正仿宋简体" w:hAnsi="方正仿宋简体" w:cs="方正仿宋简体"/>
                <w:bCs/>
                <w:kern w:val="2"/>
                <w:sz w:val="21"/>
                <w:szCs w:val="24"/>
                <w:lang w:val="en-US" w:eastAsia="zh-CN" w:bidi="ar-SA"/>
              </w:rPr>
              <w:t>17个，</w:t>
            </w:r>
            <w:r>
              <w:rPr>
                <w:rFonts w:hint="eastAsia" w:ascii="方正仿宋简体" w:hAnsi="方正仿宋简体" w:eastAsia="宋体" w:cs="方正仿宋简体"/>
                <w:bCs/>
                <w:kern w:val="2"/>
                <w:sz w:val="21"/>
                <w:szCs w:val="24"/>
                <w:lang w:val="en-US" w:eastAsia="zh-CN" w:bidi="ar-SA"/>
              </w:rPr>
              <w:t>多模、LC-LC单工跳线</w:t>
            </w:r>
            <w:r>
              <w:rPr>
                <w:rFonts w:hint="eastAsia" w:ascii="方正仿宋简体" w:hAnsi="方正仿宋简体" w:cs="方正仿宋简体"/>
                <w:bCs/>
                <w:kern w:val="2"/>
                <w:sz w:val="21"/>
                <w:szCs w:val="24"/>
                <w:lang w:val="en-US" w:eastAsia="zh-CN" w:bidi="ar-SA"/>
              </w:rPr>
              <w:t>140条，法兰：60个，</w:t>
            </w:r>
            <w:r>
              <w:rPr>
                <w:rFonts w:hint="eastAsia" w:ascii="方正仿宋简体" w:hAnsi="方正仿宋简体" w:eastAsia="宋体" w:cs="方正仿宋简体"/>
                <w:bCs/>
                <w:kern w:val="2"/>
                <w:sz w:val="21"/>
                <w:szCs w:val="24"/>
                <w:lang w:val="en-US" w:eastAsia="zh-CN" w:bidi="ar-SA"/>
              </w:rPr>
              <w:t>万兆多模1.25G-10KM</w:t>
            </w:r>
            <w:r>
              <w:rPr>
                <w:rFonts w:hint="eastAsia" w:ascii="方正仿宋简体" w:hAnsi="方正仿宋简体" w:cs="方正仿宋简体"/>
                <w:bCs/>
                <w:kern w:val="2"/>
                <w:sz w:val="21"/>
                <w:szCs w:val="24"/>
                <w:lang w:val="en-US" w:eastAsia="zh-CN" w:bidi="ar-SA"/>
              </w:rPr>
              <w:t xml:space="preserve"> 2对 </w:t>
            </w:r>
          </w:p>
        </w:tc>
      </w:tr>
      <w:tr w14:paraId="0CBDEB7E">
        <w:tblPrEx>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vAlign w:val="center"/>
          </w:tcPr>
          <w:p w14:paraId="3FCB31FC">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83" w:type="pct"/>
            <w:tcBorders>
              <w:top w:val="single" w:color="auto" w:sz="4" w:space="0"/>
              <w:left w:val="nil"/>
              <w:bottom w:val="single" w:color="auto" w:sz="4" w:space="0"/>
              <w:right w:val="single" w:color="auto" w:sz="4" w:space="0"/>
            </w:tcBorders>
            <w:vAlign w:val="center"/>
          </w:tcPr>
          <w:p w14:paraId="0C209480">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w:t>
            </w:r>
          </w:p>
        </w:tc>
        <w:tc>
          <w:tcPr>
            <w:tcW w:w="4149" w:type="pct"/>
            <w:tcBorders>
              <w:top w:val="single" w:color="auto" w:sz="4" w:space="0"/>
              <w:left w:val="nil"/>
              <w:bottom w:val="single" w:color="auto" w:sz="4" w:space="0"/>
              <w:right w:val="single" w:color="auto" w:sz="4" w:space="0"/>
            </w:tcBorders>
            <w:shd w:val="clear" w:color="auto" w:fill="auto"/>
            <w:vAlign w:val="center"/>
          </w:tcPr>
          <w:p w14:paraId="7B7D52D6">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更换</w:t>
            </w:r>
            <w:r>
              <w:rPr>
                <w:rFonts w:hint="eastAsia" w:ascii="方正仿宋简体" w:hAnsi="方正仿宋简体" w:eastAsia="宋体" w:cs="方正仿宋简体"/>
                <w:bCs/>
                <w:kern w:val="2"/>
                <w:sz w:val="21"/>
                <w:szCs w:val="24"/>
                <w:lang w:val="en-US" w:eastAsia="zh-CN" w:bidi="ar-SA"/>
              </w:rPr>
              <w:t>24口光汇聚交换机</w:t>
            </w:r>
            <w:r>
              <w:rPr>
                <w:rFonts w:hint="eastAsia" w:cs="方正仿宋简体"/>
                <w:bCs/>
                <w:kern w:val="2"/>
                <w:sz w:val="21"/>
                <w:szCs w:val="24"/>
                <w:lang w:val="en-US" w:eastAsia="zh-CN" w:bidi="ar-SA"/>
              </w:rPr>
              <w:t>：数量2台。要求：</w:t>
            </w:r>
            <w:r>
              <w:rPr>
                <w:rFonts w:hint="eastAsia" w:ascii="方正仿宋简体" w:hAnsi="方正仿宋简体" w:eastAsia="宋体" w:cs="方正仿宋简体"/>
                <w:bCs/>
                <w:kern w:val="2"/>
                <w:sz w:val="21"/>
                <w:szCs w:val="24"/>
                <w:lang w:val="en-US" w:eastAsia="zh-CN" w:bidi="ar-SA"/>
              </w:rPr>
              <w:t>1.硬件性能：整机交换容量≥432Gbps；转发性能≥166Mpps</w:t>
            </w:r>
          </w:p>
          <w:p w14:paraId="19F0C0E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2.单台端口：≥8个千兆电口，≥4个万兆SFP+口，≥24个SFP口，提供产品端口截图。</w:t>
            </w:r>
          </w:p>
          <w:p w14:paraId="1FF8A0B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3.MAC地址表≥32K，IPv4路由表容量≥8K，整机最大ARP地址表≥4K；</w:t>
            </w:r>
          </w:p>
          <w:p w14:paraId="1792B49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4.实现CPU保护功能，能限制非法报文对CPU的攻击，保护交换机在各种环境下稳定工作；</w:t>
            </w:r>
          </w:p>
          <w:p w14:paraId="57ACFB9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5.支持VRRP、OSPFv1/v2、OSPF v3、BGP、ISIS等增强三层路由协议，提供官网证明截图；</w:t>
            </w:r>
          </w:p>
          <w:p w14:paraId="71F9B2A1">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6. 支持RRPP，支持ERPS以太环保护协议，切换时间≤50ms，提供官网证明截图；</w:t>
            </w:r>
          </w:p>
          <w:p w14:paraId="14098DE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7.本次实配智能管理中心，支持图形化操作的方式实现对网络的统一运维及管理，提供官网证明截图；</w:t>
            </w:r>
          </w:p>
          <w:p w14:paraId="326CC96C">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8.提供中国节能产品认证证书、产品进网检测报告、进网许可证；</w:t>
            </w:r>
          </w:p>
          <w:p w14:paraId="5C732463">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9.产品含3年质保和软件升级</w:t>
            </w:r>
          </w:p>
        </w:tc>
      </w:tr>
      <w:tr w14:paraId="6515950F">
        <w:tblPrEx>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vAlign w:val="center"/>
          </w:tcPr>
          <w:p w14:paraId="4EDDF0F5">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83" w:type="pct"/>
            <w:tcBorders>
              <w:top w:val="single" w:color="auto" w:sz="4" w:space="0"/>
              <w:left w:val="nil"/>
              <w:bottom w:val="single" w:color="auto" w:sz="4" w:space="0"/>
              <w:right w:val="single" w:color="auto" w:sz="4" w:space="0"/>
            </w:tcBorders>
            <w:vAlign w:val="center"/>
          </w:tcPr>
          <w:p w14:paraId="54F90573">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3</w:t>
            </w:r>
          </w:p>
        </w:tc>
        <w:tc>
          <w:tcPr>
            <w:tcW w:w="4149" w:type="pct"/>
            <w:tcBorders>
              <w:top w:val="single" w:color="auto" w:sz="4" w:space="0"/>
              <w:left w:val="nil"/>
              <w:bottom w:val="single" w:color="auto" w:sz="4" w:space="0"/>
              <w:right w:val="single" w:color="auto" w:sz="4" w:space="0"/>
            </w:tcBorders>
            <w:shd w:val="clear" w:color="auto" w:fill="auto"/>
            <w:vAlign w:val="center"/>
          </w:tcPr>
          <w:p w14:paraId="7E36A14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施工布线</w:t>
            </w:r>
            <w:r>
              <w:rPr>
                <w:rFonts w:hint="eastAsia" w:cs="方正仿宋简体"/>
                <w:bCs/>
                <w:kern w:val="2"/>
                <w:sz w:val="21"/>
                <w:szCs w:val="24"/>
                <w:lang w:val="en-US" w:eastAsia="zh-CN" w:bidi="ar-SA"/>
              </w:rPr>
              <w:t>：要求</w:t>
            </w:r>
            <w:r>
              <w:rPr>
                <w:rFonts w:hint="eastAsia" w:ascii="方正仿宋简体" w:hAnsi="方正仿宋简体" w:eastAsia="宋体" w:cs="方正仿宋简体"/>
                <w:bCs/>
                <w:kern w:val="2"/>
                <w:sz w:val="21"/>
                <w:szCs w:val="24"/>
                <w:lang w:val="en-US" w:eastAsia="zh-CN" w:bidi="ar-SA"/>
              </w:rPr>
              <w:t>机房综合布线系统要求距离尽量短而整齐，排列有序，且需适应机房的设备部署及业务开展需要，数据配线须采用六类屏蔽双绞线及以上，光纤配线须采用室内万兆光纤及以上。</w:t>
            </w:r>
          </w:p>
          <w:p w14:paraId="6A8EC39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本项目机房所有桥架、线缆必须平铺、压实、拉紧，并采用线缆配套固线器固定，固线器底座须安装在同一水平线上。机柜、配线架、设备、网络端口需全部做好标识统一管理。</w:t>
            </w:r>
          </w:p>
          <w:p w14:paraId="4A250F4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数据和光纤都集中配线至网络配线柜中做好标识统一管理，每台服务器机柜中应配置数据配线架和光纤配线架。</w:t>
            </w:r>
          </w:p>
        </w:tc>
      </w:tr>
      <w:tr w14:paraId="5E2786B5">
        <w:tblPrEx>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vAlign w:val="center"/>
          </w:tcPr>
          <w:p w14:paraId="453DC4CA">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83" w:type="pct"/>
            <w:tcBorders>
              <w:top w:val="single" w:color="auto" w:sz="4" w:space="0"/>
              <w:left w:val="nil"/>
              <w:bottom w:val="single" w:color="auto" w:sz="4" w:space="0"/>
              <w:right w:val="single" w:color="auto" w:sz="4" w:space="0"/>
            </w:tcBorders>
            <w:vAlign w:val="center"/>
          </w:tcPr>
          <w:p w14:paraId="1EC0B83D">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4</w:t>
            </w:r>
          </w:p>
        </w:tc>
        <w:tc>
          <w:tcPr>
            <w:tcW w:w="4149" w:type="pct"/>
            <w:tcBorders>
              <w:top w:val="single" w:color="auto" w:sz="4" w:space="0"/>
              <w:left w:val="nil"/>
              <w:bottom w:val="single" w:color="auto" w:sz="4" w:space="0"/>
              <w:right w:val="single" w:color="auto" w:sz="4" w:space="0"/>
            </w:tcBorders>
            <w:vAlign w:val="center"/>
          </w:tcPr>
          <w:p w14:paraId="0AAF4BE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旧机房拆除整理</w:t>
            </w:r>
            <w:r>
              <w:rPr>
                <w:rFonts w:hint="eastAsia" w:cs="方正仿宋简体"/>
                <w:bCs/>
                <w:kern w:val="2"/>
                <w:sz w:val="21"/>
                <w:szCs w:val="24"/>
                <w:lang w:val="en-US" w:eastAsia="zh-CN" w:bidi="ar-SA"/>
              </w:rPr>
              <w:t>：要求</w:t>
            </w:r>
            <w:r>
              <w:rPr>
                <w:rFonts w:hint="eastAsia" w:ascii="方正仿宋简体" w:hAnsi="方正仿宋简体" w:eastAsia="宋体" w:cs="方正仿宋简体"/>
                <w:bCs/>
                <w:kern w:val="2"/>
                <w:sz w:val="21"/>
                <w:szCs w:val="24"/>
                <w:lang w:val="en-US" w:eastAsia="zh-CN" w:bidi="ar-SA"/>
              </w:rPr>
              <w:t>在搬迁前，对所有设备进行关机，并进行数据备份以确认数据安全性。将设备拆卸下架并小心包装，安全运输至核心机房，再上架重装。机房其余杂物全部分类打包成箱，按照业主要求搬运至指定位置并做好标识以便统一管理。</w:t>
            </w:r>
          </w:p>
        </w:tc>
      </w:tr>
      <w:tr w14:paraId="4A392677">
        <w:tblPrEx>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666FC582">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83" w:type="pct"/>
            <w:tcBorders>
              <w:top w:val="single" w:color="auto" w:sz="4" w:space="0"/>
              <w:left w:val="nil"/>
              <w:bottom w:val="single" w:color="auto" w:sz="4" w:space="0"/>
              <w:right w:val="single" w:color="auto" w:sz="4" w:space="0"/>
            </w:tcBorders>
            <w:shd w:val="clear" w:color="auto" w:fill="auto"/>
            <w:vAlign w:val="center"/>
          </w:tcPr>
          <w:p w14:paraId="08B3D9F7">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5</w:t>
            </w:r>
          </w:p>
        </w:tc>
        <w:tc>
          <w:tcPr>
            <w:tcW w:w="4149" w:type="pct"/>
            <w:tcBorders>
              <w:top w:val="single" w:color="auto" w:sz="4" w:space="0"/>
              <w:left w:val="nil"/>
              <w:bottom w:val="single" w:color="auto" w:sz="4" w:space="0"/>
              <w:right w:val="single" w:color="auto" w:sz="4" w:space="0"/>
            </w:tcBorders>
            <w:shd w:val="clear" w:color="auto" w:fill="auto"/>
            <w:vAlign w:val="center"/>
          </w:tcPr>
          <w:p w14:paraId="50111125">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系统集成</w:t>
            </w:r>
            <w:r>
              <w:rPr>
                <w:rFonts w:hint="eastAsia" w:eastAsia="宋体" w:cs="方正仿宋简体"/>
                <w:bCs/>
                <w:kern w:val="2"/>
                <w:sz w:val="21"/>
                <w:szCs w:val="24"/>
                <w:lang w:val="en-US" w:eastAsia="zh-CN" w:bidi="ar-SA"/>
              </w:rPr>
              <w:t>技术服务</w:t>
            </w:r>
            <w:r>
              <w:rPr>
                <w:rFonts w:hint="eastAsia" w:cs="方正仿宋简体"/>
                <w:bCs/>
                <w:kern w:val="2"/>
                <w:sz w:val="21"/>
                <w:szCs w:val="24"/>
                <w:lang w:val="en-US" w:eastAsia="zh-CN" w:bidi="ar-SA"/>
              </w:rPr>
              <w:t>：要求</w:t>
            </w:r>
            <w:r>
              <w:rPr>
                <w:rFonts w:hint="eastAsia" w:ascii="方正仿宋简体" w:hAnsi="方正仿宋简体" w:eastAsia="宋体" w:cs="方正仿宋简体"/>
                <w:bCs/>
                <w:kern w:val="2"/>
                <w:sz w:val="21"/>
                <w:szCs w:val="24"/>
                <w:lang w:val="en-US" w:eastAsia="zh-CN" w:bidi="ar-SA"/>
              </w:rPr>
              <w:t>完成整体网络规划方案，使网络负载均衡、安全，满足办公需求，包含机房出入登记表、IP地址规划方案、设备一览表、设备故障排除维修等。服务报价为一次性报价，包含光纤桥架、网（线）络跳线、光纤跳线、水晶头、光模块、数据配线架、光纤配线架、理线架、理线夹等</w:t>
            </w:r>
            <w:r>
              <w:rPr>
                <w:rFonts w:hint="eastAsia" w:eastAsia="宋体" w:cs="方正仿宋简体"/>
                <w:bCs/>
                <w:kern w:val="2"/>
                <w:sz w:val="21"/>
                <w:szCs w:val="24"/>
                <w:lang w:val="en-US" w:eastAsia="zh-CN" w:bidi="ar-SA"/>
              </w:rPr>
              <w:t>所有辅材</w:t>
            </w:r>
            <w:r>
              <w:rPr>
                <w:rFonts w:hint="eastAsia" w:ascii="方正仿宋简体" w:hAnsi="方正仿宋简体" w:eastAsia="宋体" w:cs="方正仿宋简体"/>
                <w:bCs/>
                <w:kern w:val="2"/>
                <w:sz w:val="21"/>
                <w:szCs w:val="24"/>
                <w:lang w:val="en-US" w:eastAsia="zh-CN" w:bidi="ar-SA"/>
              </w:rPr>
              <w:t>。投标时提供一份近三年来医疗系统机房弱电改造</w:t>
            </w:r>
            <w:r>
              <w:rPr>
                <w:rFonts w:hint="eastAsia" w:eastAsia="宋体" w:cs="方正仿宋简体"/>
                <w:bCs/>
                <w:kern w:val="2"/>
                <w:sz w:val="21"/>
                <w:szCs w:val="24"/>
                <w:lang w:val="en-US" w:eastAsia="zh-CN" w:bidi="ar-SA"/>
              </w:rPr>
              <w:t>项目</w:t>
            </w:r>
            <w:r>
              <w:rPr>
                <w:rFonts w:hint="eastAsia" w:ascii="方正仿宋简体" w:hAnsi="方正仿宋简体" w:eastAsia="宋体" w:cs="方正仿宋简体"/>
                <w:bCs/>
                <w:kern w:val="2"/>
                <w:sz w:val="21"/>
                <w:szCs w:val="24"/>
                <w:lang w:val="en-US" w:eastAsia="zh-CN" w:bidi="ar-SA"/>
              </w:rPr>
              <w:t>案例，附合同和发票复印件。提供智能化系统集成项目经理证书</w:t>
            </w:r>
            <w:r>
              <w:rPr>
                <w:rFonts w:hint="eastAsia" w:eastAsia="宋体" w:cs="方正仿宋简体"/>
                <w:bCs/>
                <w:kern w:val="2"/>
                <w:sz w:val="21"/>
                <w:szCs w:val="24"/>
                <w:lang w:val="en-US" w:eastAsia="zh-CN" w:bidi="ar-SA"/>
              </w:rPr>
              <w:t>。</w:t>
            </w:r>
          </w:p>
        </w:tc>
      </w:tr>
      <w:tr w14:paraId="11470D40">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4253F12">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注：1.标“★”条款为实质性条款，若有任何一条负偏离或不满足则做废标处理。非“★”号条款，若大于一条负偏离或不满足则做废标处理。</w:t>
            </w:r>
          </w:p>
        </w:tc>
      </w:tr>
    </w:tbl>
    <w:p w14:paraId="338F096D">
      <w:pPr>
        <w:pStyle w:val="2"/>
        <w:rPr>
          <w:b/>
          <w:bCs/>
          <w:sz w:val="24"/>
          <w:szCs w:val="22"/>
        </w:rPr>
      </w:pPr>
    </w:p>
    <w:p w14:paraId="1C05875C">
      <w:pPr>
        <w:rPr>
          <w:rFonts w:hint="eastAsia" w:eastAsia="黑体"/>
          <w:b/>
          <w:bCs/>
          <w:sz w:val="24"/>
          <w:szCs w:val="28"/>
          <w:lang w:val="en-US" w:eastAsia="zh-CN"/>
        </w:rPr>
      </w:pPr>
      <w:bookmarkStart w:id="1" w:name="_Toc4377"/>
      <w:r>
        <w:rPr>
          <w:rFonts w:hint="eastAsia"/>
          <w:b/>
          <w:bCs/>
          <w:sz w:val="24"/>
          <w:szCs w:val="28"/>
        </w:rPr>
        <w:t>2.</w:t>
      </w:r>
      <w:r>
        <w:rPr>
          <w:rFonts w:hint="eastAsia"/>
          <w:b/>
          <w:bCs/>
          <w:sz w:val="24"/>
          <w:szCs w:val="28"/>
          <w:lang w:val="en-US" w:eastAsia="zh-CN"/>
        </w:rPr>
        <w:t xml:space="preserve">4 </w:t>
      </w:r>
      <w:r>
        <w:rPr>
          <w:rFonts w:hint="eastAsia"/>
          <w:b/>
          <w:bCs/>
          <w:sz w:val="24"/>
          <w:szCs w:val="28"/>
          <w:lang w:eastAsia="zh-CN"/>
        </w:rPr>
        <w:t>项目基本情况</w:t>
      </w:r>
      <w:r>
        <w:rPr>
          <w:rFonts w:hint="eastAsia"/>
          <w:b/>
          <w:bCs/>
          <w:sz w:val="24"/>
          <w:szCs w:val="28"/>
        </w:rPr>
        <w:t>：弱电机房搬迁</w:t>
      </w:r>
      <w:bookmarkEnd w:id="1"/>
      <w:r>
        <w:rPr>
          <w:rFonts w:hint="eastAsia"/>
          <w:b/>
          <w:bCs/>
          <w:sz w:val="24"/>
          <w:szCs w:val="28"/>
        </w:rPr>
        <w:t>割接</w:t>
      </w:r>
      <w:r>
        <w:rPr>
          <w:rFonts w:hint="eastAsia"/>
          <w:b/>
          <w:bCs/>
          <w:sz w:val="24"/>
          <w:szCs w:val="28"/>
          <w:lang w:val="en-US" w:eastAsia="zh-CN"/>
        </w:rPr>
        <w:t xml:space="preserve"> 附表4</w:t>
      </w:r>
    </w:p>
    <w:tbl>
      <w:tblPr>
        <w:tblStyle w:val="12"/>
        <w:tblW w:w="4811" w:type="pct"/>
        <w:jc w:val="center"/>
        <w:tblLayout w:type="autofit"/>
        <w:tblCellMar>
          <w:top w:w="0" w:type="dxa"/>
          <w:left w:w="108" w:type="dxa"/>
          <w:bottom w:w="0" w:type="dxa"/>
          <w:right w:w="108" w:type="dxa"/>
        </w:tblCellMar>
      </w:tblPr>
      <w:tblGrid>
        <w:gridCol w:w="833"/>
        <w:gridCol w:w="653"/>
        <w:gridCol w:w="6714"/>
      </w:tblGrid>
      <w:tr w14:paraId="55E7B475">
        <w:tblPrEx>
          <w:tblCellMar>
            <w:top w:w="0" w:type="dxa"/>
            <w:left w:w="108" w:type="dxa"/>
            <w:bottom w:w="0" w:type="dxa"/>
            <w:right w:w="108" w:type="dxa"/>
          </w:tblCellMar>
        </w:tblPrEx>
        <w:trPr>
          <w:trHeight w:val="46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4DB3D20">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参数性质</w:t>
            </w:r>
          </w:p>
        </w:tc>
        <w:tc>
          <w:tcPr>
            <w:tcW w:w="398" w:type="pct"/>
            <w:tcBorders>
              <w:top w:val="single" w:color="auto" w:sz="4" w:space="0"/>
              <w:left w:val="nil"/>
              <w:bottom w:val="single" w:color="auto" w:sz="4" w:space="0"/>
              <w:right w:val="single" w:color="auto" w:sz="4" w:space="0"/>
            </w:tcBorders>
            <w:vAlign w:val="center"/>
          </w:tcPr>
          <w:p w14:paraId="73518DF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编号</w:t>
            </w:r>
          </w:p>
        </w:tc>
        <w:tc>
          <w:tcPr>
            <w:tcW w:w="4093" w:type="pct"/>
            <w:tcBorders>
              <w:top w:val="single" w:color="auto" w:sz="4" w:space="0"/>
              <w:left w:val="nil"/>
              <w:bottom w:val="single" w:color="auto" w:sz="4" w:space="0"/>
              <w:right w:val="single" w:color="auto" w:sz="4" w:space="0"/>
            </w:tcBorders>
            <w:vAlign w:val="center"/>
          </w:tcPr>
          <w:p w14:paraId="205FB8CC">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技术参数和性能指标</w:t>
            </w:r>
          </w:p>
        </w:tc>
      </w:tr>
      <w:tr w14:paraId="2801E136">
        <w:tblPrEx>
          <w:tblCellMar>
            <w:top w:w="0" w:type="dxa"/>
            <w:left w:w="108" w:type="dxa"/>
            <w:bottom w:w="0" w:type="dxa"/>
            <w:right w:w="108" w:type="dxa"/>
          </w:tblCellMar>
        </w:tblPrEx>
        <w:trPr>
          <w:jc w:val="center"/>
        </w:trPr>
        <w:tc>
          <w:tcPr>
            <w:tcW w:w="508" w:type="pct"/>
            <w:tcBorders>
              <w:top w:val="single" w:color="auto" w:sz="4" w:space="0"/>
              <w:left w:val="single" w:color="auto" w:sz="4" w:space="0"/>
              <w:bottom w:val="single" w:color="auto" w:sz="4" w:space="0"/>
              <w:right w:val="single" w:color="auto" w:sz="4" w:space="0"/>
            </w:tcBorders>
            <w:vAlign w:val="center"/>
          </w:tcPr>
          <w:p w14:paraId="0F39241F">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98" w:type="pct"/>
            <w:tcBorders>
              <w:top w:val="single" w:color="auto" w:sz="4" w:space="0"/>
              <w:left w:val="nil"/>
              <w:bottom w:val="single" w:color="auto" w:sz="4" w:space="0"/>
              <w:right w:val="single" w:color="auto" w:sz="4" w:space="0"/>
            </w:tcBorders>
            <w:vAlign w:val="center"/>
          </w:tcPr>
          <w:p w14:paraId="2EB647F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p>
        </w:tc>
        <w:tc>
          <w:tcPr>
            <w:tcW w:w="4093" w:type="pct"/>
            <w:tcBorders>
              <w:top w:val="single" w:color="auto" w:sz="4" w:space="0"/>
              <w:left w:val="nil"/>
              <w:bottom w:val="single" w:color="auto" w:sz="4" w:space="0"/>
              <w:right w:val="single" w:color="auto" w:sz="4" w:space="0"/>
            </w:tcBorders>
            <w:shd w:val="clear" w:color="auto" w:fill="auto"/>
            <w:vAlign w:val="center"/>
          </w:tcPr>
          <w:p w14:paraId="0A65F286">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机柜搬迁</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确定搬迁时间、工作人员、资源，制订详细的搬迁计划，并提前与有关部门进行沟通和确认。对原有设备进行详细的登记，记录其位置、规格、连接等信息，以便在搬迁后重新部署和标识。搬迁过程中不得影响医院的秩序。</w:t>
            </w:r>
          </w:p>
        </w:tc>
      </w:tr>
      <w:tr w14:paraId="0E130A7A">
        <w:tblPrEx>
          <w:tblCellMar>
            <w:top w:w="0" w:type="dxa"/>
            <w:left w:w="108" w:type="dxa"/>
            <w:bottom w:w="0" w:type="dxa"/>
            <w:right w:w="108" w:type="dxa"/>
          </w:tblCellMar>
        </w:tblPrEx>
        <w:trPr>
          <w:jc w:val="center"/>
        </w:trPr>
        <w:tc>
          <w:tcPr>
            <w:tcW w:w="508" w:type="pct"/>
            <w:tcBorders>
              <w:top w:val="single" w:color="auto" w:sz="4" w:space="0"/>
              <w:left w:val="single" w:color="auto" w:sz="4" w:space="0"/>
              <w:bottom w:val="single" w:color="auto" w:sz="4" w:space="0"/>
              <w:right w:val="single" w:color="auto" w:sz="4" w:space="0"/>
            </w:tcBorders>
            <w:vAlign w:val="center"/>
          </w:tcPr>
          <w:p w14:paraId="4DB616F1">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98" w:type="pct"/>
            <w:tcBorders>
              <w:top w:val="single" w:color="auto" w:sz="4" w:space="0"/>
              <w:left w:val="nil"/>
              <w:bottom w:val="single" w:color="auto" w:sz="4" w:space="0"/>
              <w:right w:val="single" w:color="auto" w:sz="4" w:space="0"/>
            </w:tcBorders>
            <w:vAlign w:val="center"/>
          </w:tcPr>
          <w:p w14:paraId="6C7FAD5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w:t>
            </w:r>
          </w:p>
        </w:tc>
        <w:tc>
          <w:tcPr>
            <w:tcW w:w="4093" w:type="pct"/>
            <w:tcBorders>
              <w:top w:val="single" w:color="auto" w:sz="4" w:space="0"/>
              <w:left w:val="nil"/>
              <w:bottom w:val="single" w:color="auto" w:sz="4" w:space="0"/>
              <w:right w:val="single" w:color="auto" w:sz="4" w:space="0"/>
            </w:tcBorders>
            <w:shd w:val="clear" w:color="auto" w:fill="auto"/>
            <w:vAlign w:val="center"/>
          </w:tcPr>
          <w:p w14:paraId="770D9BB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光纤熔接</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将处理好的两根光纤分别放入熔接机的左右夹具中，确保光纤端面对齐且紧密贴合。然后，启动熔接机进行熔接。由电信专业人员进行操作。</w:t>
            </w:r>
          </w:p>
        </w:tc>
      </w:tr>
      <w:tr w14:paraId="2201DE72">
        <w:tblPrEx>
          <w:tblCellMar>
            <w:top w:w="0" w:type="dxa"/>
            <w:left w:w="108" w:type="dxa"/>
            <w:bottom w:w="0" w:type="dxa"/>
            <w:right w:w="108" w:type="dxa"/>
          </w:tblCellMar>
        </w:tblPrEx>
        <w:trPr>
          <w:trHeight w:val="90"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92E642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98" w:type="pct"/>
            <w:tcBorders>
              <w:top w:val="single" w:color="auto" w:sz="4" w:space="0"/>
              <w:left w:val="nil"/>
              <w:bottom w:val="single" w:color="auto" w:sz="4" w:space="0"/>
              <w:right w:val="single" w:color="auto" w:sz="4" w:space="0"/>
            </w:tcBorders>
            <w:vAlign w:val="center"/>
          </w:tcPr>
          <w:p w14:paraId="2B67F0B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3</w:t>
            </w:r>
          </w:p>
        </w:tc>
        <w:tc>
          <w:tcPr>
            <w:tcW w:w="4093" w:type="pct"/>
            <w:tcBorders>
              <w:top w:val="single" w:color="auto" w:sz="4" w:space="0"/>
              <w:left w:val="nil"/>
              <w:bottom w:val="single" w:color="auto" w:sz="4" w:space="0"/>
              <w:right w:val="single" w:color="auto" w:sz="4" w:space="0"/>
            </w:tcBorders>
            <w:shd w:val="clear" w:color="auto" w:fill="auto"/>
            <w:vAlign w:val="center"/>
          </w:tcPr>
          <w:p w14:paraId="54A0A824">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综合布线：</w:t>
            </w:r>
            <w:r>
              <w:rPr>
                <w:rFonts w:hint="eastAsia" w:ascii="方正仿宋简体" w:hAnsi="方正仿宋简体" w:eastAsia="宋体" w:cs="方正仿宋简体"/>
                <w:bCs/>
                <w:kern w:val="2"/>
                <w:sz w:val="21"/>
                <w:szCs w:val="24"/>
                <w:lang w:val="en-US" w:eastAsia="zh-CN" w:bidi="ar-SA"/>
              </w:rPr>
              <w:t xml:space="preserve">采用六类屏蔽双绞线及以上，完成网线梳理/打标（机房-弱电井机柜-终端设备）工作，要求机柜内及机柜间各种线缆横平竖直，排列有序，各线缆之间不得交叉、打结，线缆本身要求无应力铺设，适应机房的设备部署及业务开展，数据配线须采用六类屏蔽双绞线及以上，光纤配线须采用室内万兆光纤及以上，使机柜和走线美观整洁。标签标识应“固定”在距线缆接头 3 厘米左右的范围之内。使用的标签纸规格为 </w:t>
            </w:r>
            <w:r>
              <w:rPr>
                <w:rFonts w:hint="eastAsia" w:ascii="宋体" w:hAnsi="宋体" w:eastAsia="宋体" w:cs="宋体"/>
                <w:bCs/>
                <w:kern w:val="2"/>
                <w:sz w:val="21"/>
                <w:szCs w:val="24"/>
                <w:lang w:val="en-US" w:eastAsia="zh-CN" w:bidi="ar-SA"/>
              </w:rPr>
              <w:t>9MM。</w:t>
            </w:r>
            <w:r>
              <w:rPr>
                <w:rFonts w:hint="eastAsia" w:ascii="方正仿宋简体" w:hAnsi="方正仿宋简体" w:eastAsia="宋体" w:cs="方正仿宋简体"/>
                <w:bCs/>
                <w:kern w:val="2"/>
                <w:sz w:val="21"/>
                <w:szCs w:val="24"/>
                <w:lang w:val="en-US" w:eastAsia="zh-CN" w:bidi="ar-SA"/>
              </w:rPr>
              <w:t>字体为“黑体”，字号为“极小”，格式为“无边框”。标签的全部内容均应朝向机柜外侧，标签间应有明显层次，不能相互遮挡。</w:t>
            </w:r>
          </w:p>
        </w:tc>
      </w:tr>
      <w:tr w14:paraId="4F6A6637">
        <w:tblPrEx>
          <w:tblCellMar>
            <w:top w:w="0" w:type="dxa"/>
            <w:left w:w="108" w:type="dxa"/>
            <w:bottom w:w="0" w:type="dxa"/>
            <w:right w:w="108" w:type="dxa"/>
          </w:tblCellMar>
        </w:tblPrEx>
        <w:trPr>
          <w:jc w:val="center"/>
        </w:trPr>
        <w:tc>
          <w:tcPr>
            <w:tcW w:w="508" w:type="pct"/>
            <w:tcBorders>
              <w:top w:val="single" w:color="auto" w:sz="4" w:space="0"/>
              <w:left w:val="single" w:color="auto" w:sz="4" w:space="0"/>
              <w:bottom w:val="single" w:color="auto" w:sz="4" w:space="0"/>
              <w:right w:val="single" w:color="auto" w:sz="4" w:space="0"/>
            </w:tcBorders>
            <w:vAlign w:val="center"/>
          </w:tcPr>
          <w:p w14:paraId="485E8619">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98" w:type="pct"/>
            <w:tcBorders>
              <w:top w:val="single" w:color="auto" w:sz="4" w:space="0"/>
              <w:left w:val="nil"/>
              <w:bottom w:val="single" w:color="auto" w:sz="4" w:space="0"/>
              <w:right w:val="single" w:color="auto" w:sz="4" w:space="0"/>
            </w:tcBorders>
            <w:vAlign w:val="center"/>
          </w:tcPr>
          <w:p w14:paraId="78F0156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4</w:t>
            </w:r>
          </w:p>
        </w:tc>
        <w:tc>
          <w:tcPr>
            <w:tcW w:w="4093" w:type="pct"/>
            <w:tcBorders>
              <w:top w:val="single" w:color="auto" w:sz="4" w:space="0"/>
              <w:left w:val="nil"/>
              <w:bottom w:val="single" w:color="auto" w:sz="4" w:space="0"/>
              <w:right w:val="single" w:color="auto" w:sz="4" w:space="0"/>
            </w:tcBorders>
            <w:shd w:val="clear" w:color="auto" w:fill="auto"/>
            <w:vAlign w:val="center"/>
          </w:tcPr>
          <w:p w14:paraId="68344FE4">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旧机房拆除整理</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在搬迁前，对所有设备进行关机，并进行数据备份以确认数据安全性。将设备拆卸下架并小心包装，安全运输至核心机房，再上架重装。机房其余杂物全部分类打包成箱，按照业主要求搬运至指定位置并做好标识以便统一管理。</w:t>
            </w:r>
          </w:p>
        </w:tc>
      </w:tr>
      <w:tr w14:paraId="5805E8AF">
        <w:tblPrEx>
          <w:tblCellMar>
            <w:top w:w="0" w:type="dxa"/>
            <w:left w:w="108" w:type="dxa"/>
            <w:bottom w:w="0" w:type="dxa"/>
            <w:right w:w="108" w:type="dxa"/>
          </w:tblCellMar>
        </w:tblPrEx>
        <w:trPr>
          <w:jc w:val="center"/>
        </w:trPr>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004A0004">
            <w:pPr>
              <w:widowControl w:val="0"/>
              <w:spacing w:line="240" w:lineRule="auto"/>
              <w:ind w:firstLine="210" w:firstLineChars="100"/>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98" w:type="pct"/>
            <w:tcBorders>
              <w:top w:val="single" w:color="auto" w:sz="4" w:space="0"/>
              <w:left w:val="nil"/>
              <w:bottom w:val="single" w:color="auto" w:sz="4" w:space="0"/>
              <w:right w:val="single" w:color="auto" w:sz="4" w:space="0"/>
            </w:tcBorders>
            <w:shd w:val="clear" w:color="auto" w:fill="auto"/>
            <w:vAlign w:val="center"/>
          </w:tcPr>
          <w:p w14:paraId="754B0E0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5</w:t>
            </w:r>
          </w:p>
        </w:tc>
        <w:tc>
          <w:tcPr>
            <w:tcW w:w="4093" w:type="pct"/>
            <w:tcBorders>
              <w:top w:val="single" w:color="auto" w:sz="4" w:space="0"/>
              <w:left w:val="nil"/>
              <w:bottom w:val="single" w:color="auto" w:sz="4" w:space="0"/>
              <w:right w:val="single" w:color="auto" w:sz="4" w:space="0"/>
            </w:tcBorders>
            <w:shd w:val="clear" w:color="auto" w:fill="auto"/>
            <w:vAlign w:val="center"/>
          </w:tcPr>
          <w:p w14:paraId="2CDD389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系统集成技术服务</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完成整体网络规划方案，使网络负载均衡、安全，满足办公需求，包含机房出入登记表、IP地址规划方案、设备一览表、设备故障排除维修等。服务报价为一次性报价，包含光纤桥架、网（线）络跳线、光纤跳线、水晶头、光模块、数据配线架、光纤配线架、理线架、理线夹等所有辅材。投标时提供一份近三年来医疗系统机房弱电改造项目案例，附合同和发票复印件。提供智能化系统集成项目经理证书。</w:t>
            </w:r>
          </w:p>
        </w:tc>
      </w:tr>
      <w:tr w14:paraId="655A1515">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5EF4A7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注：1.标“★”条款为实质性条款，若有任何一条负偏离或不满足则做废标处理。非“★”号条款，若大于一条负偏离或不满足则做废标处理。。</w:t>
            </w:r>
          </w:p>
        </w:tc>
      </w:tr>
    </w:tbl>
    <w:p w14:paraId="73CDCC98">
      <w:pPr>
        <w:pStyle w:val="7"/>
        <w:rPr>
          <w:rFonts w:hint="eastAsia"/>
          <w:lang w:val="en-US" w:eastAsia="zh-CN"/>
        </w:rPr>
      </w:pPr>
      <w:r>
        <w:rPr>
          <w:rFonts w:hint="eastAsia"/>
          <w:lang w:val="en-US" w:eastAsia="zh-CN"/>
        </w:rPr>
        <w:t>.</w:t>
      </w:r>
    </w:p>
    <w:p w14:paraId="25B44ADE">
      <w:pPr>
        <w:rPr>
          <w:rFonts w:hint="eastAsia"/>
          <w:lang w:val="en-US" w:eastAsia="zh-CN"/>
        </w:rPr>
      </w:pPr>
    </w:p>
    <w:p w14:paraId="33EB9D38">
      <w:pPr>
        <w:pStyle w:val="7"/>
        <w:rPr>
          <w:rFonts w:hint="eastAsia"/>
        </w:rPr>
      </w:pPr>
    </w:p>
    <w:p w14:paraId="7F129CBD">
      <w:pPr>
        <w:rPr>
          <w:rFonts w:hint="eastAsia"/>
        </w:rPr>
      </w:pPr>
    </w:p>
    <w:p w14:paraId="6C157054">
      <w:pPr>
        <w:pStyle w:val="7"/>
        <w:rPr>
          <w:rFonts w:hint="eastAsia"/>
        </w:rPr>
      </w:pPr>
    </w:p>
    <w:p w14:paraId="59B3BC0D">
      <w:pPr>
        <w:pStyle w:val="7"/>
        <w:rPr>
          <w:rFonts w:hint="eastAsia" w:eastAsia="黑体"/>
          <w:lang w:val="en-US" w:eastAsia="zh-CN"/>
        </w:rPr>
      </w:pPr>
      <w:r>
        <w:rPr>
          <w:rFonts w:hint="eastAsia"/>
        </w:rPr>
        <w:t>2.5</w:t>
      </w:r>
      <w:r>
        <w:rPr>
          <w:rFonts w:hint="eastAsia"/>
          <w:lang w:eastAsia="zh-CN"/>
        </w:rPr>
        <w:t>项目基本情况</w:t>
      </w:r>
      <w:r>
        <w:rPr>
          <w:rFonts w:hint="eastAsia"/>
        </w:rPr>
        <w:t>：弱电井深度梳理</w:t>
      </w:r>
      <w:r>
        <w:rPr>
          <w:rFonts w:hint="eastAsia"/>
          <w:lang w:val="en-US" w:eastAsia="zh-CN"/>
        </w:rPr>
        <w:t xml:space="preserve"> 附表5</w:t>
      </w:r>
    </w:p>
    <w:tbl>
      <w:tblPr>
        <w:tblStyle w:val="12"/>
        <w:tblW w:w="4693" w:type="pct"/>
        <w:jc w:val="center"/>
        <w:tblLayout w:type="fixed"/>
        <w:tblCellMar>
          <w:top w:w="0" w:type="dxa"/>
          <w:left w:w="108" w:type="dxa"/>
          <w:bottom w:w="0" w:type="dxa"/>
          <w:right w:w="108" w:type="dxa"/>
        </w:tblCellMar>
      </w:tblPr>
      <w:tblGrid>
        <w:gridCol w:w="738"/>
        <w:gridCol w:w="480"/>
        <w:gridCol w:w="6781"/>
      </w:tblGrid>
      <w:tr w14:paraId="7E72297B">
        <w:tblPrEx>
          <w:tblCellMar>
            <w:top w:w="0" w:type="dxa"/>
            <w:left w:w="108" w:type="dxa"/>
            <w:bottom w:w="0" w:type="dxa"/>
            <w:right w:w="108" w:type="dxa"/>
          </w:tblCellMar>
        </w:tblPrEx>
        <w:trPr>
          <w:trHeight w:val="464" w:hRule="atLeast"/>
          <w:jc w:val="center"/>
        </w:trPr>
        <w:tc>
          <w:tcPr>
            <w:tcW w:w="461" w:type="pct"/>
            <w:tcBorders>
              <w:top w:val="single" w:color="auto" w:sz="4" w:space="0"/>
              <w:left w:val="single" w:color="auto" w:sz="4" w:space="0"/>
              <w:bottom w:val="single" w:color="auto" w:sz="4" w:space="0"/>
              <w:right w:val="single" w:color="auto" w:sz="4" w:space="0"/>
            </w:tcBorders>
            <w:vAlign w:val="center"/>
          </w:tcPr>
          <w:p w14:paraId="4B425E7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参数性质</w:t>
            </w:r>
          </w:p>
        </w:tc>
        <w:tc>
          <w:tcPr>
            <w:tcW w:w="300" w:type="pct"/>
            <w:tcBorders>
              <w:top w:val="single" w:color="auto" w:sz="4" w:space="0"/>
              <w:left w:val="nil"/>
              <w:bottom w:val="single" w:color="auto" w:sz="4" w:space="0"/>
              <w:right w:val="single" w:color="auto" w:sz="4" w:space="0"/>
            </w:tcBorders>
            <w:vAlign w:val="center"/>
          </w:tcPr>
          <w:p w14:paraId="050B3A74">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序号</w:t>
            </w:r>
          </w:p>
        </w:tc>
        <w:tc>
          <w:tcPr>
            <w:tcW w:w="4238" w:type="pct"/>
            <w:tcBorders>
              <w:top w:val="single" w:color="auto" w:sz="4" w:space="0"/>
              <w:left w:val="nil"/>
              <w:bottom w:val="single" w:color="auto" w:sz="4" w:space="0"/>
              <w:right w:val="single" w:color="auto" w:sz="4" w:space="0"/>
            </w:tcBorders>
            <w:vAlign w:val="center"/>
          </w:tcPr>
          <w:p w14:paraId="7ABED3D1">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技术参数和性能指标</w:t>
            </w:r>
          </w:p>
        </w:tc>
      </w:tr>
      <w:tr w14:paraId="2058B149">
        <w:tblPrEx>
          <w:tblCellMar>
            <w:top w:w="0" w:type="dxa"/>
            <w:left w:w="108" w:type="dxa"/>
            <w:bottom w:w="0" w:type="dxa"/>
            <w:right w:w="108" w:type="dxa"/>
          </w:tblCellMar>
        </w:tblPrEx>
        <w:trPr>
          <w:jc w:val="center"/>
        </w:trPr>
        <w:tc>
          <w:tcPr>
            <w:tcW w:w="461" w:type="pct"/>
            <w:tcBorders>
              <w:top w:val="single" w:color="auto" w:sz="4" w:space="0"/>
              <w:left w:val="single" w:color="auto" w:sz="4" w:space="0"/>
              <w:bottom w:val="single" w:color="auto" w:sz="4" w:space="0"/>
              <w:right w:val="single" w:color="auto" w:sz="4" w:space="0"/>
            </w:tcBorders>
            <w:vAlign w:val="center"/>
          </w:tcPr>
          <w:p w14:paraId="04C595F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00" w:type="pct"/>
            <w:tcBorders>
              <w:top w:val="single" w:color="auto" w:sz="4" w:space="0"/>
              <w:left w:val="nil"/>
              <w:bottom w:val="single" w:color="auto" w:sz="4" w:space="0"/>
              <w:right w:val="single" w:color="auto" w:sz="4" w:space="0"/>
            </w:tcBorders>
            <w:vAlign w:val="center"/>
          </w:tcPr>
          <w:p w14:paraId="7E9A753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p>
        </w:tc>
        <w:tc>
          <w:tcPr>
            <w:tcW w:w="4238" w:type="pct"/>
            <w:tcBorders>
              <w:top w:val="single" w:color="auto" w:sz="4" w:space="0"/>
              <w:left w:val="nil"/>
              <w:bottom w:val="single" w:color="auto" w:sz="4" w:space="0"/>
              <w:right w:val="single" w:color="auto" w:sz="4" w:space="0"/>
            </w:tcBorders>
            <w:shd w:val="clear" w:color="auto" w:fill="auto"/>
            <w:vAlign w:val="center"/>
          </w:tcPr>
          <w:p w14:paraId="3BF039D0">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弱电井网线梳理</w:t>
            </w:r>
            <w:r>
              <w:rPr>
                <w:rFonts w:hint="eastAsia" w:cs="方正仿宋简体"/>
                <w:bCs/>
                <w:kern w:val="2"/>
                <w:sz w:val="21"/>
                <w:szCs w:val="24"/>
                <w:lang w:val="en-US" w:eastAsia="zh-CN" w:bidi="ar-SA"/>
              </w:rPr>
              <w:t>：共22个弱电井。</w:t>
            </w:r>
            <w:r>
              <w:rPr>
                <w:rFonts w:hint="eastAsia" w:ascii="方正仿宋简体" w:hAnsi="方正仿宋简体" w:eastAsia="宋体" w:cs="方正仿宋简体"/>
                <w:bCs/>
                <w:kern w:val="2"/>
                <w:sz w:val="21"/>
                <w:szCs w:val="24"/>
                <w:lang w:val="en-US" w:eastAsia="zh-CN" w:bidi="ar-SA"/>
              </w:rPr>
              <w:t>完成网线梳理/打标（机房-弱电井机柜-终端设备）工作，要求机柜内及机柜间各种线缆横平竖直，排列有序，各线缆之间不得交叉、打结，线缆本身要求无应力铺设，适应机房的设备部署及业务开展，数据配线须采用六类屏蔽双绞线及以上，光纤配线须采用室内万兆光纤及以上，使机柜和走线美观整洁。标签标识应</w:t>
            </w:r>
            <w:r>
              <w:rPr>
                <w:rFonts w:hint="eastAsia" w:ascii="宋体" w:hAnsi="宋体" w:eastAsia="宋体" w:cs="宋体"/>
                <w:bCs/>
                <w:kern w:val="2"/>
                <w:sz w:val="21"/>
                <w:szCs w:val="24"/>
                <w:lang w:val="en-US" w:eastAsia="zh-CN" w:bidi="ar-SA"/>
              </w:rPr>
              <w:t>“固定”在距线缆接头 3 厘米左右的范围之内。使用的标签纸规格为 9MM。字体为“黑体”，字号为“极小”，格式为“无边框”。标签的全部内容均应朝向机柜外侧，标签间应有明显层次，不能相互遮挡。防火泥封堵，使用A 级别防火复合板和国标 A 级防火泥，防火涂料能够在火灾发生时承受高温达到 800℃以上的火焰，能够持续防火时间达到 4 小时以上。</w:t>
            </w:r>
          </w:p>
          <w:p w14:paraId="71623ABF">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r>
      <w:tr w14:paraId="67D9F5AB">
        <w:tblPrEx>
          <w:tblCellMar>
            <w:top w:w="0" w:type="dxa"/>
            <w:left w:w="108" w:type="dxa"/>
            <w:bottom w:w="0" w:type="dxa"/>
            <w:right w:w="108" w:type="dxa"/>
          </w:tblCellMar>
        </w:tblPrEx>
        <w:trPr>
          <w:jc w:val="center"/>
        </w:trPr>
        <w:tc>
          <w:tcPr>
            <w:tcW w:w="461" w:type="pct"/>
            <w:tcBorders>
              <w:top w:val="single" w:color="auto" w:sz="4" w:space="0"/>
              <w:left w:val="single" w:color="auto" w:sz="4" w:space="0"/>
              <w:bottom w:val="single" w:color="auto" w:sz="4" w:space="0"/>
              <w:right w:val="single" w:color="auto" w:sz="4" w:space="0"/>
            </w:tcBorders>
            <w:vAlign w:val="center"/>
          </w:tcPr>
          <w:p w14:paraId="161677C0">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00" w:type="pct"/>
            <w:tcBorders>
              <w:top w:val="single" w:color="auto" w:sz="4" w:space="0"/>
              <w:left w:val="nil"/>
              <w:bottom w:val="single" w:color="auto" w:sz="4" w:space="0"/>
              <w:right w:val="single" w:color="auto" w:sz="4" w:space="0"/>
            </w:tcBorders>
            <w:vAlign w:val="center"/>
          </w:tcPr>
          <w:p w14:paraId="2E838E98">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w:t>
            </w:r>
          </w:p>
        </w:tc>
        <w:tc>
          <w:tcPr>
            <w:tcW w:w="4238" w:type="pct"/>
            <w:tcBorders>
              <w:top w:val="single" w:color="auto" w:sz="4" w:space="0"/>
              <w:left w:val="nil"/>
              <w:bottom w:val="single" w:color="auto" w:sz="4" w:space="0"/>
              <w:right w:val="single" w:color="auto" w:sz="4" w:space="0"/>
            </w:tcBorders>
            <w:shd w:val="clear" w:color="auto" w:fill="auto"/>
            <w:vAlign w:val="center"/>
          </w:tcPr>
          <w:p w14:paraId="06A472A8">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顶面修复</w:t>
            </w:r>
            <w:r>
              <w:rPr>
                <w:rFonts w:hint="eastAsia" w:cs="方正仿宋简体"/>
                <w:bCs/>
                <w:kern w:val="2"/>
                <w:sz w:val="21"/>
                <w:szCs w:val="24"/>
                <w:lang w:val="en-US" w:eastAsia="zh-CN" w:bidi="ar-SA"/>
              </w:rPr>
              <w:t>：共22个弱电间。</w:t>
            </w:r>
            <w:r>
              <w:rPr>
                <w:rFonts w:hint="eastAsia" w:ascii="方正仿宋简体" w:hAnsi="方正仿宋简体" w:eastAsia="宋体" w:cs="方正仿宋简体"/>
                <w:bCs/>
                <w:kern w:val="2"/>
                <w:sz w:val="21"/>
                <w:szCs w:val="24"/>
                <w:lang w:val="en-US" w:eastAsia="zh-CN" w:bidi="ar-SA"/>
              </w:rPr>
              <w:t>清理顶面，确保工作区域干燥、清洁。接着，修补漏洞，使用环保材料填补裂缝或破损部分。等待修补材料干燥后，进行表面刮平、打磨等。</w:t>
            </w:r>
          </w:p>
        </w:tc>
      </w:tr>
      <w:tr w14:paraId="1B149571">
        <w:tblPrEx>
          <w:tblCellMar>
            <w:top w:w="0" w:type="dxa"/>
            <w:left w:w="108" w:type="dxa"/>
            <w:bottom w:w="0" w:type="dxa"/>
            <w:right w:w="108" w:type="dxa"/>
          </w:tblCellMar>
        </w:tblPrEx>
        <w:trPr>
          <w:jc w:val="center"/>
        </w:trPr>
        <w:tc>
          <w:tcPr>
            <w:tcW w:w="461" w:type="pct"/>
            <w:tcBorders>
              <w:top w:val="single" w:color="auto" w:sz="4" w:space="0"/>
              <w:left w:val="single" w:color="auto" w:sz="4" w:space="0"/>
              <w:bottom w:val="single" w:color="auto" w:sz="4" w:space="0"/>
              <w:right w:val="single" w:color="auto" w:sz="4" w:space="0"/>
            </w:tcBorders>
            <w:vAlign w:val="center"/>
          </w:tcPr>
          <w:p w14:paraId="7EDBC43F">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00" w:type="pct"/>
            <w:tcBorders>
              <w:top w:val="single" w:color="auto" w:sz="4" w:space="0"/>
              <w:left w:val="nil"/>
              <w:bottom w:val="single" w:color="auto" w:sz="4" w:space="0"/>
              <w:right w:val="single" w:color="auto" w:sz="4" w:space="0"/>
            </w:tcBorders>
            <w:vAlign w:val="center"/>
          </w:tcPr>
          <w:p w14:paraId="2133E551">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3</w:t>
            </w:r>
          </w:p>
        </w:tc>
        <w:tc>
          <w:tcPr>
            <w:tcW w:w="4238" w:type="pct"/>
            <w:tcBorders>
              <w:top w:val="single" w:color="auto" w:sz="4" w:space="0"/>
              <w:left w:val="nil"/>
              <w:bottom w:val="single" w:color="auto" w:sz="4" w:space="0"/>
              <w:right w:val="single" w:color="auto" w:sz="4" w:space="0"/>
            </w:tcBorders>
            <w:shd w:val="clear" w:color="auto" w:fill="auto"/>
            <w:vAlign w:val="center"/>
          </w:tcPr>
          <w:p w14:paraId="6384BCD0">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更换网络跳线：数量＞3箱。</w:t>
            </w:r>
            <w:r>
              <w:rPr>
                <w:rFonts w:hint="eastAsia" w:ascii="方正仿宋简体" w:hAnsi="方正仿宋简体" w:eastAsia="宋体" w:cs="方正仿宋简体"/>
                <w:bCs/>
                <w:kern w:val="2"/>
                <w:sz w:val="21"/>
                <w:szCs w:val="24"/>
                <w:lang w:val="en-US" w:eastAsia="zh-CN" w:bidi="ar-SA"/>
              </w:rPr>
              <w:t>采用六类屏蔽双绞线及以上，横平竖直，排列有序，各线缆之间不得交叉、打结，线缆本身要求无应力铺设，适应机房的设备部署及业务开展，</w:t>
            </w:r>
          </w:p>
        </w:tc>
      </w:tr>
      <w:tr w14:paraId="3308F8EC">
        <w:tblPrEx>
          <w:tblCellMar>
            <w:top w:w="0" w:type="dxa"/>
            <w:left w:w="108" w:type="dxa"/>
            <w:bottom w:w="0" w:type="dxa"/>
            <w:right w:w="108" w:type="dxa"/>
          </w:tblCellMar>
        </w:tblPrEx>
        <w:trPr>
          <w:jc w:val="center"/>
        </w:trPr>
        <w:tc>
          <w:tcPr>
            <w:tcW w:w="461" w:type="pct"/>
            <w:tcBorders>
              <w:top w:val="single" w:color="auto" w:sz="4" w:space="0"/>
              <w:left w:val="single" w:color="auto" w:sz="4" w:space="0"/>
              <w:bottom w:val="single" w:color="auto" w:sz="4" w:space="0"/>
              <w:right w:val="single" w:color="auto" w:sz="4" w:space="0"/>
            </w:tcBorders>
            <w:vAlign w:val="center"/>
          </w:tcPr>
          <w:p w14:paraId="63926C5E">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00" w:type="pct"/>
            <w:tcBorders>
              <w:top w:val="single" w:color="auto" w:sz="4" w:space="0"/>
              <w:left w:val="nil"/>
              <w:bottom w:val="single" w:color="auto" w:sz="4" w:space="0"/>
              <w:right w:val="single" w:color="auto" w:sz="4" w:space="0"/>
            </w:tcBorders>
            <w:vAlign w:val="center"/>
          </w:tcPr>
          <w:p w14:paraId="1564F55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4</w:t>
            </w:r>
          </w:p>
        </w:tc>
        <w:tc>
          <w:tcPr>
            <w:tcW w:w="4238" w:type="pct"/>
            <w:tcBorders>
              <w:top w:val="single" w:color="auto" w:sz="4" w:space="0"/>
              <w:left w:val="nil"/>
              <w:bottom w:val="single" w:color="auto" w:sz="4" w:space="0"/>
              <w:right w:val="single" w:color="auto" w:sz="4" w:space="0"/>
            </w:tcBorders>
            <w:shd w:val="clear" w:color="auto" w:fill="auto"/>
            <w:vAlign w:val="center"/>
          </w:tcPr>
          <w:p w14:paraId="0D343CD5">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宋体" w:hAnsi="宋体" w:cs="宋体"/>
                <w:bCs/>
                <w:kern w:val="2"/>
                <w:sz w:val="21"/>
                <w:szCs w:val="24"/>
                <w:lang w:val="en-US" w:eastAsia="zh-CN" w:bidi="ar-SA"/>
              </w:rPr>
              <w:t>更换PDU插座：数量≥10个。要求</w:t>
            </w:r>
            <w:r>
              <w:rPr>
                <w:rFonts w:hint="eastAsia" w:ascii="宋体" w:hAnsi="宋体" w:eastAsia="宋体" w:cs="宋体"/>
                <w:bCs/>
                <w:kern w:val="2"/>
                <w:sz w:val="21"/>
                <w:szCs w:val="24"/>
                <w:lang w:val="en-US" w:eastAsia="zh-CN" w:bidi="ar-SA"/>
              </w:rPr>
              <w:t>/电流16A/7个10A组合孔+1个16A专用孔</w:t>
            </w:r>
          </w:p>
        </w:tc>
      </w:tr>
      <w:tr w14:paraId="4CBF60F7">
        <w:tblPrEx>
          <w:tblCellMar>
            <w:top w:w="0" w:type="dxa"/>
            <w:left w:w="108" w:type="dxa"/>
            <w:bottom w:w="0" w:type="dxa"/>
            <w:right w:w="108" w:type="dxa"/>
          </w:tblCellMar>
        </w:tblPrEx>
        <w:trPr>
          <w:jc w:val="center"/>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A9552BF">
            <w:pPr>
              <w:widowControl w:val="0"/>
              <w:spacing w:line="240" w:lineRule="auto"/>
              <w:ind w:firstLine="210" w:firstLineChars="100"/>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00" w:type="pct"/>
            <w:tcBorders>
              <w:top w:val="single" w:color="auto" w:sz="4" w:space="0"/>
              <w:left w:val="nil"/>
              <w:bottom w:val="single" w:color="auto" w:sz="4" w:space="0"/>
              <w:right w:val="single" w:color="auto" w:sz="4" w:space="0"/>
            </w:tcBorders>
            <w:shd w:val="clear" w:color="auto" w:fill="auto"/>
            <w:vAlign w:val="center"/>
          </w:tcPr>
          <w:p w14:paraId="30903965">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5</w:t>
            </w:r>
          </w:p>
        </w:tc>
        <w:tc>
          <w:tcPr>
            <w:tcW w:w="4238" w:type="pct"/>
            <w:tcBorders>
              <w:top w:val="single" w:color="auto" w:sz="4" w:space="0"/>
              <w:left w:val="nil"/>
              <w:bottom w:val="single" w:color="auto" w:sz="4" w:space="0"/>
              <w:right w:val="single" w:color="auto" w:sz="4" w:space="0"/>
            </w:tcBorders>
            <w:shd w:val="clear" w:color="auto" w:fill="auto"/>
            <w:vAlign w:val="center"/>
          </w:tcPr>
          <w:p w14:paraId="5832BC7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系统集成：要求</w:t>
            </w:r>
            <w:r>
              <w:rPr>
                <w:rFonts w:hint="eastAsia" w:ascii="方正仿宋简体" w:hAnsi="方正仿宋简体" w:eastAsia="宋体" w:cs="方正仿宋简体"/>
                <w:bCs/>
                <w:kern w:val="2"/>
                <w:sz w:val="21"/>
                <w:szCs w:val="24"/>
                <w:lang w:val="en-US" w:eastAsia="zh-CN" w:bidi="ar-SA"/>
              </w:rPr>
              <w:t>整体网络规划方案，使网络负载均衡、安全，满足办公需求，包含机房出入登记表、IP地址规划方案、设备一览表、设备故障排除维修等。服务报价为一次性报价，包含光纤桥架、网（线）络跳线、光纤跳线、水晶头、光模块、数据配线架、光纤配线架、理线架、理线夹等所有辅材。投标时提供一份近三年来医疗系统机房弱电改造项目案例，附合同和发票复印件。提供智能化系统集成项目经理证书。</w:t>
            </w:r>
          </w:p>
        </w:tc>
      </w:tr>
      <w:tr w14:paraId="726CF97E">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8898A9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注：1.标“★”条款为实质性条款，若有任何一条负偏离或不满足则做废标处理。非“★”号条款，若大于一条负偏离或不满足则做废标处理。</w:t>
            </w:r>
          </w:p>
        </w:tc>
      </w:tr>
    </w:tbl>
    <w:p w14:paraId="0C39644E">
      <w:pPr>
        <w:numPr>
          <w:ilvl w:val="0"/>
          <w:numId w:val="0"/>
        </w:numPr>
        <w:tabs>
          <w:tab w:val="left" w:pos="312"/>
        </w:tabs>
        <w:spacing w:line="360" w:lineRule="auto"/>
        <w:jc w:val="left"/>
        <w:rPr>
          <w:rFonts w:hint="eastAsia" w:hAnsi="宋体"/>
          <w:sz w:val="24"/>
          <w:szCs w:val="24"/>
        </w:rPr>
      </w:pPr>
    </w:p>
    <w:p w14:paraId="095694F6">
      <w:pPr>
        <w:pStyle w:val="2"/>
        <w:rPr>
          <w:rFonts w:hint="eastAsia" w:hAnsi="宋体"/>
          <w:sz w:val="24"/>
          <w:szCs w:val="24"/>
        </w:rPr>
      </w:pPr>
    </w:p>
    <w:p w14:paraId="65E885CB">
      <w:pPr>
        <w:rPr>
          <w:rFonts w:hint="eastAsia" w:hAnsi="宋体"/>
          <w:sz w:val="24"/>
          <w:szCs w:val="24"/>
        </w:rPr>
      </w:pPr>
    </w:p>
    <w:p w14:paraId="360DE244">
      <w:pPr>
        <w:pStyle w:val="2"/>
        <w:rPr>
          <w:rFonts w:hint="eastAsia" w:hAnsi="宋体"/>
          <w:sz w:val="24"/>
          <w:szCs w:val="24"/>
        </w:rPr>
      </w:pPr>
    </w:p>
    <w:p w14:paraId="17F0B11D">
      <w:pPr>
        <w:rPr>
          <w:rFonts w:hint="eastAsia" w:hAnsi="宋体"/>
          <w:sz w:val="24"/>
          <w:szCs w:val="24"/>
        </w:rPr>
      </w:pPr>
    </w:p>
    <w:p w14:paraId="20DD722A">
      <w:pPr>
        <w:pStyle w:val="2"/>
        <w:rPr>
          <w:rFonts w:hint="eastAsia" w:hAnsi="宋体"/>
          <w:sz w:val="24"/>
          <w:szCs w:val="24"/>
        </w:rPr>
      </w:pPr>
    </w:p>
    <w:p w14:paraId="1704A0CF">
      <w:pPr>
        <w:rPr>
          <w:rFonts w:hint="eastAsia" w:hAnsi="宋体"/>
          <w:sz w:val="24"/>
          <w:szCs w:val="24"/>
        </w:rPr>
      </w:pPr>
    </w:p>
    <w:p w14:paraId="0FB0BF80">
      <w:pPr>
        <w:pStyle w:val="2"/>
        <w:rPr>
          <w:rFonts w:hint="eastAsia" w:hAnsi="宋体"/>
          <w:sz w:val="24"/>
          <w:szCs w:val="24"/>
        </w:rPr>
      </w:pPr>
    </w:p>
    <w:p w14:paraId="13E2623B">
      <w:pPr>
        <w:rPr>
          <w:rFonts w:hint="eastAsia" w:hAnsi="宋体"/>
          <w:sz w:val="24"/>
          <w:szCs w:val="24"/>
        </w:rPr>
      </w:pPr>
    </w:p>
    <w:p w14:paraId="2E248110">
      <w:pPr>
        <w:pStyle w:val="2"/>
        <w:rPr>
          <w:rFonts w:hint="eastAsia"/>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2" w:name="_Toc422403383"/>
    </w:p>
    <w:p w14:paraId="7EBAF13C"/>
    <w:p w14:paraId="4991E38E"/>
    <w:p w14:paraId="7D4A33AB">
      <w:pPr>
        <w:pStyle w:val="2"/>
      </w:pPr>
    </w:p>
    <w:p w14:paraId="3132B795"/>
    <w:p w14:paraId="0A576042">
      <w:pPr>
        <w:pStyle w:val="2"/>
      </w:pPr>
    </w:p>
    <w:p w14:paraId="6DC81925"/>
    <w:p w14:paraId="73950FA8">
      <w:pPr>
        <w:pStyle w:val="2"/>
      </w:pPr>
    </w:p>
    <w:p w14:paraId="3D3ADE1E"/>
    <w:p w14:paraId="3EA602B9">
      <w:pPr>
        <w:pStyle w:val="2"/>
      </w:pPr>
    </w:p>
    <w:p w14:paraId="1C2369B1"/>
    <w:p w14:paraId="3D46A060">
      <w:pPr>
        <w:pStyle w:val="2"/>
      </w:pPr>
    </w:p>
    <w:p w14:paraId="0941FFCE"/>
    <w:p w14:paraId="46CE1A36">
      <w:pPr>
        <w:pStyle w:val="2"/>
      </w:pPr>
    </w:p>
    <w:p w14:paraId="2D3AA324"/>
    <w:p w14:paraId="5C50B345">
      <w:pPr>
        <w:pStyle w:val="2"/>
      </w:pPr>
    </w:p>
    <w:p w14:paraId="1C24A7AD"/>
    <w:p w14:paraId="38F03B4E">
      <w:pPr>
        <w:pStyle w:val="2"/>
      </w:pPr>
    </w:p>
    <w:p w14:paraId="5AB51ED1"/>
    <w:p w14:paraId="6F67E51F">
      <w:pPr>
        <w:pStyle w:val="2"/>
      </w:pPr>
    </w:p>
    <w:p w14:paraId="74F8E7E8"/>
    <w:p w14:paraId="5CC96C96">
      <w:pPr>
        <w:pStyle w:val="5"/>
        <w:rPr>
          <w:rFonts w:hint="eastAsia" w:ascii="宋体" w:hAnsi="宋体" w:eastAsia="宋体" w:cs="宋体"/>
          <w:color w:val="000000"/>
        </w:rPr>
      </w:pPr>
      <w:r>
        <w:rPr>
          <w:rFonts w:hint="eastAsia" w:ascii="宋体" w:hAnsi="宋体" w:eastAsia="宋体" w:cs="宋体"/>
          <w:color w:val="000000"/>
        </w:rPr>
        <w:t>（封面）</w:t>
      </w:r>
      <w:bookmarkEnd w:id="2"/>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技术要求表中响应内容佐证材料..</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2"/>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2"/>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2"/>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2"/>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2"/>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6"/>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6"/>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6"/>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6"/>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6"/>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6"/>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6"/>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6"/>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6"/>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6"/>
        <w:rPr>
          <w:rFonts w:hint="eastAsia"/>
        </w:rPr>
      </w:pPr>
    </w:p>
    <w:p w14:paraId="68686F9A">
      <w:pPr>
        <w:pStyle w:val="6"/>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lang w:val="en-US" w:eastAsia="zh-CN"/>
        </w:rPr>
      </w:pPr>
      <w:r>
        <w:rPr>
          <w:rFonts w:hint="eastAsia" w:eastAsia="宋体" w:cs="宋体"/>
          <w:b/>
          <w:sz w:val="28"/>
          <w:szCs w:val="28"/>
          <w:lang w:val="en-US" w:eastAsia="zh-CN"/>
        </w:rPr>
        <w:t>十四、技术参数表响应内容佐证材料（例如检测报告、制冷作业证书等.....）</w:t>
      </w: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3A9517B7"/>
    <w:multiLevelType w:val="singleLevel"/>
    <w:tmpl w:val="3A9517B7"/>
    <w:lvl w:ilvl="0" w:tentative="0">
      <w:start w:val="2"/>
      <w:numFmt w:val="decimal"/>
      <w:suff w:val="nothing"/>
      <w:lvlText w:val="（%1）"/>
      <w:lvlJc w:val="left"/>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B07F83"/>
    <w:rsid w:val="07EE0F70"/>
    <w:rsid w:val="080A65A2"/>
    <w:rsid w:val="0CC91539"/>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4">
    <w:name w:val="heading 1"/>
    <w:basedOn w:val="1"/>
    <w:next w:val="1"/>
    <w:autoRedefine/>
    <w:qFormat/>
    <w:uiPriority w:val="7"/>
    <w:pPr>
      <w:spacing w:before="340" w:after="330" w:line="578" w:lineRule="auto"/>
      <w:outlineLvl w:val="0"/>
    </w:pPr>
    <w:rPr>
      <w:b/>
      <w:sz w:val="44"/>
      <w:szCs w:val="44"/>
    </w:rPr>
  </w:style>
  <w:style w:type="paragraph" w:styleId="5">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6">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7">
    <w:name w:val="heading 4"/>
    <w:basedOn w:val="1"/>
    <w:next w:val="1"/>
    <w:unhideWhenUsed/>
    <w:qFormat/>
    <w:uiPriority w:val="0"/>
    <w:pPr>
      <w:keepNext/>
      <w:keepLines/>
      <w:outlineLvl w:val="3"/>
    </w:pPr>
    <w:rPr>
      <w:rFonts w:ascii="Arial" w:hAnsi="Arial" w:eastAsia="黑体"/>
      <w:sz w:val="24"/>
    </w:rPr>
  </w:style>
  <w:style w:type="character" w:default="1" w:styleId="14">
    <w:name w:val="Default Paragraph Font"/>
    <w:autoRedefine/>
    <w:semiHidden/>
    <w:qFormat/>
    <w:uiPriority w:val="2"/>
  </w:style>
  <w:style w:type="table" w:default="1" w:styleId="12">
    <w:name w:val="Normal Table"/>
    <w:semiHidden/>
    <w:qFormat/>
    <w:uiPriority w:val="3"/>
    <w:tblPr>
      <w:tblCellMar>
        <w:top w:w="0" w:type="dxa"/>
        <w:left w:w="108" w:type="dxa"/>
        <w:bottom w:w="0" w:type="dxa"/>
        <w:right w:w="108" w:type="dxa"/>
      </w:tblCellMar>
    </w:tblPr>
  </w:style>
  <w:style w:type="paragraph" w:styleId="2">
    <w:name w:val="Plain Text"/>
    <w:basedOn w:val="3"/>
    <w:next w:val="1"/>
    <w:qFormat/>
    <w:uiPriority w:val="0"/>
    <w:rPr>
      <w:rFonts w:ascii="宋体" w:hAnsi="Courier New"/>
    </w:rPr>
  </w:style>
  <w:style w:type="paragraph" w:customStyle="1" w:styleId="3">
    <w:name w:val="Normal_6"/>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Body Text"/>
    <w:basedOn w:val="1"/>
    <w:next w:val="1"/>
    <w:qFormat/>
    <w:uiPriority w:val="1"/>
    <w:rPr>
      <w:rFonts w:ascii="微软雅黑" w:hAnsi="微软雅黑" w:eastAsia="微软雅黑" w:cs="微软雅黑"/>
      <w:sz w:val="15"/>
      <w:szCs w:val="15"/>
      <w:lang w:val="zh-CN" w:bidi="zh-CN"/>
    </w:rPr>
  </w:style>
  <w:style w:type="paragraph" w:styleId="9">
    <w:name w:val="footer"/>
    <w:basedOn w:val="1"/>
    <w:qFormat/>
    <w:uiPriority w:val="151"/>
    <w:pPr>
      <w:tabs>
        <w:tab w:val="center" w:pos="4153"/>
        <w:tab w:val="right" w:pos="8306"/>
      </w:tabs>
      <w:snapToGrid w:val="0"/>
      <w:jc w:val="left"/>
    </w:pPr>
    <w:rPr>
      <w:sz w:val="18"/>
      <w:szCs w:val="18"/>
    </w:rPr>
  </w:style>
  <w:style w:type="paragraph" w:styleId="10">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1">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3">
    <w:name w:val="Table Grid"/>
    <w:basedOn w:val="12"/>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4"/>
    <w:autoRedefine/>
    <w:qFormat/>
    <w:uiPriority w:val="0"/>
    <w:rPr>
      <w:rFonts w:hint="eastAsia" w:ascii="宋体" w:hAnsi="宋体" w:eastAsia="宋体" w:cs="宋体"/>
      <w:color w:val="000000"/>
      <w:sz w:val="24"/>
      <w:szCs w:val="24"/>
      <w:u w:val="none"/>
    </w:rPr>
  </w:style>
  <w:style w:type="character" w:customStyle="1" w:styleId="18">
    <w:name w:val="font31"/>
    <w:basedOn w:val="14"/>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4"/>
    <w:autoRedefine/>
    <w:qFormat/>
    <w:uiPriority w:val="0"/>
    <w:rPr>
      <w:rFonts w:ascii="Calibri" w:hAnsi="Calibri" w:cs="Calibri"/>
      <w:color w:val="000000"/>
      <w:sz w:val="28"/>
      <w:szCs w:val="28"/>
      <w:u w:val="none"/>
    </w:rPr>
  </w:style>
  <w:style w:type="character" w:customStyle="1" w:styleId="21">
    <w:name w:val="font21"/>
    <w:basedOn w:val="14"/>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5997</Words>
  <Characters>6360</Characters>
  <Lines>0</Lines>
  <Paragraphs>0</Paragraphs>
  <TotalTime>10</TotalTime>
  <ScaleCrop>false</ScaleCrop>
  <LinksUpToDate>false</LinksUpToDate>
  <CharactersWithSpaces>6471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2025-06-16T01:46:10Z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BFAD9FB5D31C467AAED6AEF2E9948937_13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