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7A797F8">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2"/>
          <w:szCs w:val="32"/>
          <w:lang w:val="en-US" w:eastAsia="zh-CN"/>
        </w:rPr>
        <w:t>移动灭菌移植仓设备项目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移动灭菌移植仓</w:t>
            </w:r>
          </w:p>
        </w:tc>
        <w:tc>
          <w:tcPr>
            <w:tcW w:w="903" w:type="dxa"/>
            <w:vAlign w:val="center"/>
          </w:tcPr>
          <w:p w14:paraId="569A970B">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535899AF">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2</w:t>
            </w:r>
          </w:p>
        </w:tc>
        <w:tc>
          <w:tcPr>
            <w:tcW w:w="1338" w:type="dxa"/>
            <w:vAlign w:val="center"/>
          </w:tcPr>
          <w:p w14:paraId="70A9229F">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380000</w:t>
            </w:r>
          </w:p>
        </w:tc>
        <w:tc>
          <w:tcPr>
            <w:tcW w:w="1596" w:type="dxa"/>
            <w:vAlign w:val="center"/>
          </w:tcPr>
          <w:p w14:paraId="1D45D755">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760000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760000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numPr>
          <w:ilvl w:val="0"/>
          <w:numId w:val="2"/>
        </w:numPr>
        <w:rPr>
          <w:rFonts w:hint="eastAsia" w:hAnsi="宋体"/>
          <w:sz w:val="28"/>
          <w:szCs w:val="28"/>
          <w:lang w:val="en-US" w:eastAsia="zh-CN"/>
        </w:rPr>
      </w:pPr>
      <w:r>
        <w:rPr>
          <w:rFonts w:hint="eastAsia" w:hAnsi="宋体"/>
          <w:sz w:val="28"/>
          <w:szCs w:val="28"/>
          <w:lang w:val="en-US" w:eastAsia="zh-CN"/>
        </w:rPr>
        <w:t>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本项目包含1台移动灭菌移植仓，用于给造血干细胞移植提供无菌环境。</w:t>
      </w:r>
    </w:p>
    <w:p w14:paraId="3DB1FC46">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移动灭菌移植仓</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640089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656DD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69793D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7B59B7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64F2D7B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BBC0CDC">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742EE4B">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379E82F6">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设备应能为</w:t>
            </w:r>
            <w:r>
              <w:rPr>
                <w:rFonts w:hint="eastAsia" w:ascii="宋体" w:hAnsi="宋体" w:eastAsia="宋体" w:cs="宋体"/>
                <w:kern w:val="0"/>
                <w:sz w:val="21"/>
                <w:szCs w:val="21"/>
                <w:lang w:val="en-US" w:eastAsia="zh-CN" w:bidi="ar-SA"/>
              </w:rPr>
              <w:t>造血干细胞移植患者提供百级水平的洁净环境。</w:t>
            </w:r>
          </w:p>
        </w:tc>
      </w:tr>
      <w:tr w14:paraId="4F6ABCE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005B5F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B47EC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0C08639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提供设备所配置的等离子空气消毒机在全国消毒产品网上备案信息服务平台备案的截图证明。</w:t>
            </w:r>
          </w:p>
        </w:tc>
      </w:tr>
      <w:tr w14:paraId="16ACA5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80D67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A51EFF">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24755E2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空气消毒现场试验：运行60分钟以内对不小于30m</w:t>
            </w:r>
            <w:r>
              <w:rPr>
                <w:rFonts w:hint="eastAsia" w:ascii="宋体" w:hAnsi="宋体" w:eastAsia="宋体" w:cs="宋体"/>
                <w:kern w:val="0"/>
                <w:sz w:val="21"/>
                <w:szCs w:val="21"/>
                <w:vertAlign w:val="superscript"/>
                <w:lang w:val="en-US" w:eastAsia="zh-CN"/>
              </w:rPr>
              <w:t>3</w:t>
            </w:r>
            <w:r>
              <w:rPr>
                <w:rFonts w:hint="eastAsia" w:ascii="宋体" w:hAnsi="宋体" w:eastAsia="宋体" w:cs="宋体"/>
                <w:kern w:val="0"/>
                <w:sz w:val="21"/>
                <w:szCs w:val="21"/>
                <w:lang w:val="en-US" w:eastAsia="zh-CN"/>
              </w:rPr>
              <w:t>房间内自然菌杀灭率不低于98%，提供具有CMA认证标识的检测报告。</w:t>
            </w:r>
          </w:p>
        </w:tc>
      </w:tr>
      <w:tr w14:paraId="4A5C2D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7C6D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2147B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4C6278D8">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空气消毒模拟现场试验：等离子空气消毒设备运行≤60分钟后的空气消毒模拟现场实验灭菌率≥99.99%，提供具有CMA认证标识的检测报告。</w:t>
            </w:r>
          </w:p>
        </w:tc>
      </w:tr>
      <w:tr w14:paraId="590E91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C4C0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D19C7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6E28E371">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臭氧残留：等离子空气消毒设备运行60分钟内，臭氧残留量为≤0.01mg/m³，提供具有CMA认证标识的检测报告。</w:t>
            </w:r>
          </w:p>
        </w:tc>
      </w:tr>
      <w:tr w14:paraId="2220A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36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76396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527D2247">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对气态污染物（甲醛）的洁净空气量CADR值：≥850m³/h，提供CMA认证的检测报告。</w:t>
            </w:r>
          </w:p>
        </w:tc>
      </w:tr>
      <w:tr w14:paraId="7D452C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3772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E9EFB3">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7</w:t>
            </w:r>
          </w:p>
        </w:tc>
        <w:tc>
          <w:tcPr>
            <w:tcW w:w="7061" w:type="dxa"/>
            <w:tcBorders>
              <w:top w:val="single" w:color="auto" w:sz="4" w:space="0"/>
              <w:left w:val="nil"/>
              <w:bottom w:val="single" w:color="auto" w:sz="4" w:space="0"/>
              <w:right w:val="single" w:color="auto" w:sz="4" w:space="0"/>
            </w:tcBorders>
            <w:vAlign w:val="center"/>
          </w:tcPr>
          <w:p w14:paraId="3F194B82">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对气态污染物（TVOC）的洁净空气量CADR值为：≥850m³/h，提供CMA认证的检测报告。</w:t>
            </w:r>
          </w:p>
        </w:tc>
      </w:tr>
      <w:tr w14:paraId="413C9007">
        <w:tblPrEx>
          <w:tblCellMar>
            <w:top w:w="0" w:type="dxa"/>
            <w:left w:w="108" w:type="dxa"/>
            <w:bottom w:w="0" w:type="dxa"/>
            <w:right w:w="108" w:type="dxa"/>
          </w:tblCellMar>
        </w:tblPrEx>
        <w:trPr>
          <w:trHeight w:val="622" w:hRule="atLeast"/>
        </w:trPr>
        <w:tc>
          <w:tcPr>
            <w:tcW w:w="692" w:type="dxa"/>
            <w:tcBorders>
              <w:top w:val="single" w:color="auto" w:sz="4" w:space="0"/>
              <w:left w:val="single" w:color="auto" w:sz="4" w:space="0"/>
              <w:bottom w:val="single" w:color="auto" w:sz="4" w:space="0"/>
              <w:right w:val="single" w:color="auto" w:sz="4" w:space="0"/>
            </w:tcBorders>
            <w:vAlign w:val="center"/>
          </w:tcPr>
          <w:p w14:paraId="5A479D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BF868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8AF3396">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真菌“一次通过”杀灭率：设备对黑曲霉 “一次通过”杀灭率≥99.9%，提供第三方检测机构出具的检测报告。</w:t>
            </w:r>
          </w:p>
        </w:tc>
      </w:tr>
      <w:tr w14:paraId="75C4BC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19D0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84FA9D">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5FA920FE">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病毒“一次通过”杀灭率：设备对流感病毒“一次通过”杀灭率≥99.99%，提供第三方检测机构出具的检测报告。</w:t>
            </w:r>
          </w:p>
        </w:tc>
      </w:tr>
      <w:tr w14:paraId="566422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3CF3C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81FEEF">
            <w:pPr>
              <w:keepNext w:val="0"/>
              <w:keepLines w:val="0"/>
              <w:widowControl/>
              <w:suppressLineNumbers w:val="0"/>
              <w:spacing w:line="240" w:lineRule="auto"/>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4976BDA1">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噬菌体“一次通过”杀灭率：设备对噬菌体MS2“一次通过”的杀灭率≥99.9%，提供第三方检测机构出具的检测报告。</w:t>
            </w:r>
          </w:p>
        </w:tc>
      </w:tr>
      <w:tr w14:paraId="5B89EE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C5FE1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5504F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04ED5500">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等离子体密度：等离子体密度最高值应≥1.7×10</w:t>
            </w:r>
            <w:r>
              <w:rPr>
                <w:rFonts w:hint="eastAsia" w:ascii="宋体" w:hAnsi="宋体" w:eastAsia="宋体" w:cs="宋体"/>
                <w:kern w:val="0"/>
                <w:sz w:val="21"/>
                <w:szCs w:val="21"/>
                <w:vertAlign w:val="superscript"/>
                <w:lang w:val="en-US" w:eastAsia="zh-CN" w:bidi="ar-SA"/>
              </w:rPr>
              <w:t>19</w:t>
            </w:r>
            <w:r>
              <w:rPr>
                <w:rFonts w:hint="eastAsia" w:ascii="宋体" w:hAnsi="宋体" w:eastAsia="宋体" w:cs="宋体"/>
                <w:kern w:val="0"/>
                <w:sz w:val="21"/>
                <w:szCs w:val="21"/>
                <w:lang w:val="en-US" w:eastAsia="zh-CN" w:bidi="ar-SA"/>
              </w:rPr>
              <w:t>m</w:t>
            </w:r>
            <w:r>
              <w:rPr>
                <w:rFonts w:hint="eastAsia" w:ascii="宋体" w:hAnsi="宋体" w:eastAsia="宋体" w:cs="宋体"/>
                <w:kern w:val="0"/>
                <w:sz w:val="21"/>
                <w:szCs w:val="21"/>
                <w:vertAlign w:val="superscript"/>
                <w:lang w:val="en-US" w:eastAsia="zh-CN" w:bidi="ar-SA"/>
              </w:rPr>
              <w:t>-3</w:t>
            </w:r>
            <w:r>
              <w:rPr>
                <w:rFonts w:hint="eastAsia" w:ascii="宋体" w:hAnsi="宋体" w:eastAsia="宋体" w:cs="宋体"/>
                <w:kern w:val="0"/>
                <w:sz w:val="21"/>
                <w:szCs w:val="21"/>
                <w:lang w:val="en-US" w:eastAsia="zh-CN" w:bidi="ar-SA"/>
              </w:rPr>
              <w:t>，提供第三方检测机构出具的检测报告。</w:t>
            </w:r>
          </w:p>
        </w:tc>
      </w:tr>
      <w:tr w14:paraId="6F7D733B">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4198FB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97B8F8">
            <w:pPr>
              <w:keepNext w:val="0"/>
              <w:keepLines w:val="0"/>
              <w:widowControl/>
              <w:suppressLineNumbers w:val="0"/>
              <w:spacing w:line="240"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558F6526">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洁净罩沉降菌浓度：洁净罩内沉降菌浓度应为0，提供具有CMA认证标识的检测报告。</w:t>
            </w:r>
          </w:p>
        </w:tc>
      </w:tr>
      <w:tr w14:paraId="7AEDC4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6560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735936">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1FC3E83F">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结构形式：主机应为柜式结构，设备底部进风而非侧面进风，顶部出风。</w:t>
            </w:r>
          </w:p>
        </w:tc>
      </w:tr>
      <w:tr w14:paraId="06EA66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9F752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52D4570">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14</w:t>
            </w:r>
          </w:p>
        </w:tc>
        <w:tc>
          <w:tcPr>
            <w:tcW w:w="7061" w:type="dxa"/>
            <w:tcBorders>
              <w:top w:val="single" w:color="auto" w:sz="4" w:space="0"/>
              <w:left w:val="nil"/>
              <w:bottom w:val="single" w:color="auto" w:sz="4" w:space="0"/>
              <w:right w:val="single" w:color="auto" w:sz="4" w:space="0"/>
            </w:tcBorders>
            <w:vAlign w:val="center"/>
          </w:tcPr>
          <w:p w14:paraId="42F3C4AC">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安全性能：设备出现性能下降或故障时应有自动提示功能，实时显示故障内容。</w:t>
            </w:r>
          </w:p>
        </w:tc>
      </w:tr>
      <w:tr w14:paraId="668487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444B8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48CB14">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DE8804">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灭菌记录：具备灭菌记录查看和导出功能。</w:t>
            </w:r>
          </w:p>
        </w:tc>
      </w:tr>
      <w:tr w14:paraId="76B388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09FB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582D28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6095396">
            <w:pPr>
              <w:widowControl/>
              <w:spacing w:line="240" w:lineRule="auto"/>
              <w:jc w:val="left"/>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进气口：洁净罩空气扩散箱进气接口不得少于6个。</w:t>
            </w:r>
          </w:p>
        </w:tc>
      </w:tr>
      <w:tr w14:paraId="170CA2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15C329">
            <w:pPr>
              <w:widowControl/>
              <w:spacing w:line="240" w:lineRule="auto"/>
              <w:jc w:val="center"/>
              <w:rPr>
                <w:rFonts w:hint="eastAsia" w:ascii="宋体" w:hAnsi="宋体" w:eastAsia="宋体" w:cs="宋体"/>
                <w:kern w:val="2"/>
                <w:sz w:val="21"/>
                <w:szCs w:val="21"/>
                <w:vertAlign w:val="baseline"/>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EA7B488">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6E4442D">
            <w:pPr>
              <w:widowControl/>
              <w:spacing w:line="240" w:lineRule="auto"/>
              <w:jc w:val="left"/>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照明装置：洁净罩系统配备 LED 照明装置。</w:t>
            </w:r>
          </w:p>
        </w:tc>
      </w:tr>
      <w:tr w14:paraId="054A55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3AE7FA">
            <w:pPr>
              <w:widowControl/>
              <w:spacing w:line="240" w:lineRule="auto"/>
              <w:jc w:val="center"/>
              <w:rPr>
                <w:rFonts w:hint="eastAsia" w:ascii="宋体" w:hAnsi="宋体" w:eastAsia="宋体" w:cs="宋体"/>
                <w:kern w:val="0"/>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A9B02B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CEA509E">
            <w:pPr>
              <w:pStyle w:val="5"/>
              <w:spacing w:line="240" w:lineRule="auto"/>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锁紧装置：洁净罩四周隔帘应采用磁吸式搭扣锁紧或提拉锁紧式锁扣锁紧。</w:t>
            </w:r>
          </w:p>
        </w:tc>
      </w:tr>
      <w:tr w14:paraId="67C911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2324D59">
            <w:pPr>
              <w:widowControl/>
              <w:spacing w:line="240" w:lineRule="auto"/>
              <w:jc w:val="center"/>
              <w:rPr>
                <w:rFonts w:hint="eastAsia" w:ascii="宋体" w:hAnsi="宋体" w:eastAsia="宋体" w:cs="宋体"/>
                <w:kern w:val="0"/>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8D78ED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605F8E11">
            <w:pPr>
              <w:pStyle w:val="5"/>
              <w:spacing w:line="240" w:lineRule="auto"/>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 xml:space="preserve">洁净罩系统应可移动，可拆卸收纳。 </w:t>
            </w:r>
          </w:p>
        </w:tc>
      </w:tr>
      <w:tr w14:paraId="2D4E84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A55A5CC">
            <w:pPr>
              <w:widowControl/>
              <w:spacing w:line="240" w:lineRule="auto"/>
              <w:jc w:val="center"/>
              <w:rPr>
                <w:rFonts w:hint="eastAsia" w:ascii="宋体" w:hAnsi="宋体" w:eastAsia="宋体" w:cs="宋体"/>
                <w:kern w:val="0"/>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1E1BD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558090BC">
            <w:pPr>
              <w:widowControl/>
              <w:spacing w:line="240" w:lineRule="auto"/>
              <w:jc w:val="left"/>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新风系统：配置新风消毒装置。</w:t>
            </w:r>
          </w:p>
        </w:tc>
      </w:tr>
      <w:tr w14:paraId="22B707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2E92D1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1F8BED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5303DFB3">
            <w:pPr>
              <w:widowControl/>
              <w:spacing w:line="240" w:lineRule="auto"/>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应承担对场地进行改造，应为交钥匙工程。</w:t>
            </w:r>
          </w:p>
        </w:tc>
      </w:tr>
      <w:tr w14:paraId="04566A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033194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895007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shd w:val="clear" w:color="auto" w:fill="auto"/>
            <w:vAlign w:val="center"/>
          </w:tcPr>
          <w:p w14:paraId="39ADA465">
            <w:pPr>
              <w:widowControl/>
              <w:spacing w:line="240" w:lineRule="auto"/>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质保期应不小于10年，且在质保期内免费更换高效过滤器等一切耗材。</w:t>
            </w:r>
          </w:p>
        </w:tc>
      </w:tr>
      <w:tr w14:paraId="274698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4CBF8D">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DDA8ED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shd w:val="clear" w:color="auto" w:fill="auto"/>
            <w:vAlign w:val="center"/>
          </w:tcPr>
          <w:p w14:paraId="79584B21">
            <w:pPr>
              <w:pStyle w:val="5"/>
              <w:spacing w:line="240" w:lineRule="auto"/>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验收要求：洁净罩内应达到百级（ISO 5级）洁净水平，病房内（洁净罩外）、卫生间、缓冲区洁净度应达到千级（ISO 6级）洁净水平，上述要求的百级、千级洁净水平要求尘埃粒子浓度、沉降菌浓度均达到相应洁净度标准要求，项目验收时应提供具有CMA认证标识的检测报告。</w:t>
            </w:r>
          </w:p>
        </w:tc>
      </w:tr>
      <w:tr w14:paraId="2FC932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30CCDA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9B9D92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7B83A9">
            <w:pPr>
              <w:pStyle w:val="5"/>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须注明单套设备配置清单，要求标明名称、生产厂家、规格型号、数量等信息。</w:t>
            </w:r>
          </w:p>
        </w:tc>
      </w:tr>
      <w:tr w14:paraId="4185BE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FC97F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7A5BF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5CFD6F">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本项目含2台移植仓，要求共配备1台低温保存箱：</w:t>
            </w:r>
          </w:p>
        </w:tc>
      </w:tr>
      <w:tr w14:paraId="3FFEFA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827AB2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154504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w:t>
            </w:r>
          </w:p>
        </w:tc>
        <w:tc>
          <w:tcPr>
            <w:tcW w:w="7061" w:type="dxa"/>
            <w:tcBorders>
              <w:top w:val="single" w:color="auto" w:sz="4" w:space="0"/>
              <w:left w:val="nil"/>
              <w:bottom w:val="single" w:color="auto" w:sz="4" w:space="0"/>
              <w:right w:val="single" w:color="auto" w:sz="4" w:space="0"/>
            </w:tcBorders>
            <w:shd w:val="clear" w:color="auto" w:fill="auto"/>
            <w:vAlign w:val="center"/>
          </w:tcPr>
          <w:p w14:paraId="0980C59A">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箱内温度：-40℃至-86℃可调。</w:t>
            </w:r>
          </w:p>
        </w:tc>
      </w:tr>
      <w:tr w14:paraId="7C43C5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D0E810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69E25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7DA63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有效容积≥330L。</w:t>
            </w:r>
          </w:p>
        </w:tc>
      </w:tr>
      <w:tr w14:paraId="3AC6AD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EE04FB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9C9FF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25.3</w:t>
            </w:r>
          </w:p>
        </w:tc>
        <w:tc>
          <w:tcPr>
            <w:tcW w:w="7061" w:type="dxa"/>
            <w:tcBorders>
              <w:top w:val="single" w:color="auto" w:sz="4" w:space="0"/>
              <w:left w:val="nil"/>
              <w:bottom w:val="single" w:color="auto" w:sz="4" w:space="0"/>
              <w:right w:val="single" w:color="auto" w:sz="4" w:space="0"/>
            </w:tcBorders>
            <w:shd w:val="clear" w:color="auto" w:fill="auto"/>
            <w:vAlign w:val="center"/>
          </w:tcPr>
          <w:p w14:paraId="123FEFB2">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应采用微电脑控制，配备LED显示屏，可显示环温及输入电压。配置大容量存储空间，实时保存箱内设定温度、实际温度、高、低温报警温度、输入电压、环温等数据，数据可永久保存。</w:t>
            </w:r>
          </w:p>
        </w:tc>
      </w:tr>
      <w:tr w14:paraId="34E606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04950C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18E9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D9BE8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应采用HC环保制冷剂。</w:t>
            </w:r>
          </w:p>
        </w:tc>
      </w:tr>
      <w:tr w14:paraId="4716F4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84FA5D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B0DA5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25.5</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DD12BD">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应采用双级复叠制冷系统，高温级压机和低温级压机配合制冷。</w:t>
            </w:r>
          </w:p>
        </w:tc>
      </w:tr>
      <w:tr w14:paraId="43475C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324FF8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C458B1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3098E47">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支持多种故障报警，包含高低温报警、传感器报警、冷凝器散热差报警、环温超标报警、断电报警、门开报警、电池电量低报警等；支持声音蜂鸣报警和灯光闪烁报警；支持开机延时保护可设定时间、显示面板密码锁功能、断电记忆功能等保护功能。</w:t>
            </w:r>
          </w:p>
        </w:tc>
      </w:tr>
      <w:tr w14:paraId="2194E8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237133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607EF9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4A47380">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应采用一体式手把门锁设计，单手实现开关门，可同时使用暗锁及双挂锁。</w:t>
            </w:r>
          </w:p>
        </w:tc>
      </w:tr>
      <w:tr w14:paraId="7DD53E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F3F929F">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D74B7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22AFA34">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应配备2个发泡内门并带密封条设计，外门至少4层密封，整机共计至少5层密封，以保障保温效果。</w:t>
            </w:r>
          </w:p>
        </w:tc>
      </w:tr>
      <w:tr w14:paraId="5785BA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01E04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F6D838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BD3B01D">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内胆应为电锌板喷粉，防腐蚀，导热快。</w:t>
            </w:r>
          </w:p>
        </w:tc>
      </w:tr>
      <w:tr w14:paraId="726C9D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FB3133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C88288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390DDAC6">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应采用航空真空隔热材料VIP，厚度≥15mm，箱体发泡层厚度≥130mm，以保障保温效果。</w:t>
            </w:r>
          </w:p>
        </w:tc>
      </w:tr>
      <w:tr w14:paraId="2C63B0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33F1A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D7BB3F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095E9B00">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具有可加热平衡孔模块，可满足短时间内连续开门。</w:t>
            </w:r>
          </w:p>
        </w:tc>
      </w:tr>
      <w:tr w14:paraId="4CB283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81B73B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89D24D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06AAB24D">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投标产品应具有医疗器械注册证，且</w:t>
            </w:r>
            <w:r>
              <w:rPr>
                <w:rFonts w:hint="eastAsia" w:ascii="宋体" w:hAnsi="宋体" w:eastAsia="宋体" w:cs="宋体"/>
                <w:sz w:val="21"/>
                <w:szCs w:val="21"/>
                <w:lang w:val="en-US"/>
              </w:rPr>
              <w:t>投标人须提供与投标产品相符合的医疗器械经营许可证或备案凭证，并在有效期内</w:t>
            </w:r>
            <w:r>
              <w:rPr>
                <w:rFonts w:hint="eastAsia" w:ascii="宋体" w:hAnsi="宋体" w:eastAsia="宋体" w:cs="宋体"/>
                <w:sz w:val="21"/>
                <w:szCs w:val="21"/>
                <w:lang w:val="en-US" w:eastAsia="zh-CN"/>
              </w:rPr>
              <w:t>。</w:t>
            </w:r>
          </w:p>
        </w:tc>
      </w:tr>
      <w:tr w14:paraId="1EB10C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BDB7B3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3E098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EB6D316">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本项目含2台移植仓，要求共配备1台生物安全柜：</w:t>
            </w:r>
          </w:p>
        </w:tc>
      </w:tr>
      <w:tr w14:paraId="7A2AE3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CE698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FB842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F491A42">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应为Ⅱ级A2型生物安全柜，30%气体外排，70%气体循环。</w:t>
            </w:r>
          </w:p>
        </w:tc>
      </w:tr>
      <w:tr w14:paraId="613A43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B3AC8F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5A3E18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66F130">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双人操作，工作区宽度≥900mm；外形尺寸 ：≤1200*800*2300mm（宽深高），工作区尺寸：≥900*610*680mm（宽深高）。</w:t>
            </w:r>
          </w:p>
        </w:tc>
      </w:tr>
      <w:tr w14:paraId="3FFD9C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2114E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AC36D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26.3</w:t>
            </w:r>
          </w:p>
        </w:tc>
        <w:tc>
          <w:tcPr>
            <w:tcW w:w="7061" w:type="dxa"/>
            <w:tcBorders>
              <w:top w:val="single" w:color="auto" w:sz="4" w:space="0"/>
              <w:left w:val="nil"/>
              <w:bottom w:val="single" w:color="auto" w:sz="4" w:space="0"/>
              <w:right w:val="single" w:color="auto" w:sz="4" w:space="0"/>
            </w:tcBorders>
            <w:shd w:val="clear" w:color="auto" w:fill="auto"/>
            <w:vAlign w:val="center"/>
          </w:tcPr>
          <w:p w14:paraId="31B3CB4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前窗≥10度倾角，方便操作。</w:t>
            </w:r>
          </w:p>
        </w:tc>
      </w:tr>
      <w:tr w14:paraId="1FA552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1C3F87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10BD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4B8D4A">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柜体外壳应为一体焊接成型，非拼接打胶密封结构，最大限度减少泄漏，所有污染部位均应处于负压状态或被负压通道和负压通风系统包围。</w:t>
            </w:r>
          </w:p>
        </w:tc>
      </w:tr>
      <w:tr w14:paraId="7007E4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E23068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10D0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26.5</w:t>
            </w:r>
          </w:p>
        </w:tc>
        <w:tc>
          <w:tcPr>
            <w:tcW w:w="7061" w:type="dxa"/>
            <w:tcBorders>
              <w:top w:val="single" w:color="auto" w:sz="4" w:space="0"/>
              <w:left w:val="nil"/>
              <w:bottom w:val="single" w:color="auto" w:sz="4" w:space="0"/>
              <w:right w:val="single" w:color="auto" w:sz="4" w:space="0"/>
            </w:tcBorders>
            <w:shd w:val="clear" w:color="auto" w:fill="auto"/>
            <w:vAlign w:val="center"/>
          </w:tcPr>
          <w:p w14:paraId="2004D23A">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具有气流隔断功能，沿玻璃门上沿缝隙有负压气流阻断保护，防止工作区内外气体交互。</w:t>
            </w:r>
          </w:p>
        </w:tc>
      </w:tr>
      <w:tr w14:paraId="6474B3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50F7FF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BC904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76AAEDA">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主过滤器：应采用高效过滤器，过滤效率≥99.99%，工作区洁净度等级10级，满足正常使用条件下的温度、湿度、耐腐蚀性和机械强度的要求，可扫描检测过滤器的滤过物的漏过率≤0.01%，不可扫描检测过滤器检测点的漏过率≤0.005%。</w:t>
            </w:r>
          </w:p>
        </w:tc>
      </w:tr>
      <w:tr w14:paraId="0942EC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6C1C0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AC27A5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D3D74BF">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前窗玻璃：应使用光学透视，清洁和消毒时不对其产生负面影响，单层防紫外线钢化玻璃，覆防爆膜，增强玻璃的抗冲击性和防紫外线的能力。单层玻璃厚度≥6mm；玻璃门采用手动升降，不得采用电动升降玻璃门，防止突发断电无法关闭玻璃门。</w:t>
            </w:r>
          </w:p>
        </w:tc>
      </w:tr>
      <w:tr w14:paraId="7F8049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2EFDF3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F20F01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ABD66AF">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配万向脚轮，高度可调，调节螺栓内置，清洁方便。</w:t>
            </w:r>
          </w:p>
        </w:tc>
      </w:tr>
      <w:tr w14:paraId="1E6400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84C4C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D4CFB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26.9</w:t>
            </w:r>
          </w:p>
        </w:tc>
        <w:tc>
          <w:tcPr>
            <w:tcW w:w="7061" w:type="dxa"/>
            <w:tcBorders>
              <w:top w:val="single" w:color="auto" w:sz="4" w:space="0"/>
              <w:left w:val="nil"/>
              <w:bottom w:val="single" w:color="auto" w:sz="4" w:space="0"/>
              <w:right w:val="single" w:color="auto" w:sz="4" w:space="0"/>
            </w:tcBorders>
            <w:shd w:val="clear" w:color="auto" w:fill="auto"/>
            <w:vAlign w:val="center"/>
          </w:tcPr>
          <w:p w14:paraId="36DAF7A5">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风速：下降风速≥0.3m/s，流入风速≥0.55m/s。</w:t>
            </w:r>
          </w:p>
        </w:tc>
      </w:tr>
      <w:tr w14:paraId="77F4CE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0CEFEC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B54F57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7782AFE4">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人员保护：碘化钾法测试，前窗操作口的保护因子≥1×10</w:t>
            </w:r>
            <w:r>
              <w:rPr>
                <w:rFonts w:hint="eastAsia" w:ascii="宋体" w:hAnsi="宋体" w:eastAsia="宋体" w:cs="宋体"/>
                <w:kern w:val="0"/>
                <w:sz w:val="21"/>
                <w:szCs w:val="21"/>
                <w:vertAlign w:val="superscript"/>
                <w:lang w:val="en-US" w:eastAsia="zh-CN" w:bidi="lo-LA"/>
              </w:rPr>
              <w:t>5</w:t>
            </w:r>
            <w:r>
              <w:rPr>
                <w:rFonts w:hint="eastAsia" w:ascii="宋体" w:hAnsi="宋体" w:eastAsia="宋体" w:cs="宋体"/>
                <w:kern w:val="0"/>
                <w:sz w:val="21"/>
                <w:szCs w:val="21"/>
                <w:lang w:val="en-US" w:eastAsia="zh-CN" w:bidi="lo-LA"/>
              </w:rPr>
              <w:t>。</w:t>
            </w:r>
          </w:p>
        </w:tc>
      </w:tr>
      <w:tr w14:paraId="4A52FB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35374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93E8D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F2E82EA">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产品保护：在琼脂培养皿上的枯草芽孢杆菌芽孢不超过5CFU。</w:t>
            </w:r>
          </w:p>
        </w:tc>
      </w:tr>
      <w:tr w14:paraId="56A089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541D17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EA7A3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254568">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交叉污染保护：在琼脂培养皿上的枯草芽孢杆菌芽孢不超过2CFU。</w:t>
            </w:r>
          </w:p>
        </w:tc>
      </w:tr>
      <w:tr w14:paraId="3FBAB7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E47611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1A6F2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2986F0C4">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实时数字显示设备运行情况，其中下降气流流速和流入气流流速同时显示，记录安全柜的整体运行时间，UV灯的运行时间，高效过滤器的运行时间，运行状态全部显示。</w:t>
            </w:r>
          </w:p>
        </w:tc>
      </w:tr>
      <w:tr w14:paraId="79AD3A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C77ECD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0E10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8AAB29">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配备风压传感器，可实时监测并显示正压区和负压区的压力，压力变化超限时自动声光报警。同时可实时监测过滤器阻力，数字显示过滤器剩余使用寿命，在使用寿命剩余10%时自动提示。</w:t>
            </w:r>
          </w:p>
        </w:tc>
      </w:tr>
      <w:tr w14:paraId="343C1A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A657CE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3E47A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7761834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应采用智能联锁控制设计，配备两个磁吸合开关。打开前窗玻璃后，紫外灯应自动关闭，风机、照明灯自动开始运行；关闭前窗后，风机和荧光灯自动关闭，保护人员安全。</w:t>
            </w:r>
          </w:p>
        </w:tc>
      </w:tr>
      <w:tr w14:paraId="1FDCA1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E1C52A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13B81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10A8EAFF">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配备不超过24V直流LED照明灯，安全柜的平均照度≥1100LX。</w:t>
            </w:r>
          </w:p>
        </w:tc>
      </w:tr>
      <w:tr w14:paraId="6D2D6B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716967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D78A8B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57B3C05A">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有开门高度警示功能，开门超高或过低均有声光报警提示。</w:t>
            </w:r>
          </w:p>
        </w:tc>
      </w:tr>
      <w:tr w14:paraId="1D5153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4E327C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5956A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12F3D4">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有监测气流波动功能，气流波动超过20%有声光报警提示。</w:t>
            </w:r>
          </w:p>
        </w:tc>
      </w:tr>
      <w:tr w14:paraId="63205F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D1A55B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5D71A8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B532429">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有关门监测功能，未关严门有声光报警提示。</w:t>
            </w:r>
          </w:p>
        </w:tc>
      </w:tr>
      <w:tr w14:paraId="29BBB7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36641E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5FC39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D4D08B">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投标产品应具有医疗器械注册证，且</w:t>
            </w:r>
            <w:r>
              <w:rPr>
                <w:rFonts w:hint="eastAsia" w:ascii="宋体" w:hAnsi="宋体" w:eastAsia="宋体" w:cs="宋体"/>
                <w:sz w:val="21"/>
                <w:szCs w:val="21"/>
                <w:lang w:val="en-US"/>
              </w:rPr>
              <w:t>投标人须提供与投标产品相符合的医疗器械经营许可证或备案凭证，并在有效期内</w:t>
            </w:r>
            <w:r>
              <w:rPr>
                <w:rFonts w:hint="eastAsia" w:ascii="宋体" w:hAnsi="宋体" w:eastAsia="宋体" w:cs="宋体"/>
                <w:sz w:val="21"/>
                <w:szCs w:val="21"/>
                <w:lang w:val="en-US" w:eastAsia="zh-CN"/>
              </w:rPr>
              <w:t>。</w:t>
            </w:r>
          </w:p>
        </w:tc>
      </w:tr>
      <w:tr w14:paraId="477B434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2A0A3F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83942D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4DDEFB4">
      <w:pPr>
        <w:numPr>
          <w:numId w:val="0"/>
        </w:numPr>
        <w:jc w:val="both"/>
        <w:rPr>
          <w:rFonts w:hint="eastAsia" w:hAnsi="宋体"/>
          <w:sz w:val="28"/>
          <w:szCs w:val="28"/>
          <w:lang w:val="en-US" w:eastAsia="zh-CN"/>
        </w:rPr>
      </w:pPr>
    </w:p>
    <w:p w14:paraId="40BE7732">
      <w:pPr>
        <w:numPr>
          <w:numId w:val="0"/>
        </w:numPr>
        <w:jc w:val="both"/>
        <w:rPr>
          <w:rFonts w:hint="eastAsia" w:hAnsi="宋体"/>
          <w:sz w:val="28"/>
          <w:szCs w:val="28"/>
          <w:lang w:val="en-US" w:eastAsia="zh-CN"/>
        </w:rPr>
      </w:pPr>
    </w:p>
    <w:p w14:paraId="3F9F0FDE">
      <w:pPr>
        <w:numPr>
          <w:numId w:val="0"/>
        </w:numPr>
        <w:jc w:val="both"/>
        <w:rPr>
          <w:rFonts w:hint="eastAsia" w:hAnsi="宋体"/>
          <w:sz w:val="28"/>
          <w:szCs w:val="28"/>
          <w:lang w:val="en-US" w:eastAsia="zh-CN"/>
        </w:rPr>
      </w:pPr>
    </w:p>
    <w:p w14:paraId="19622E9B">
      <w:pPr>
        <w:numPr>
          <w:numId w:val="0"/>
        </w:numPr>
        <w:jc w:val="both"/>
        <w:rPr>
          <w:rFonts w:hint="eastAsia" w:hAnsi="宋体"/>
          <w:sz w:val="28"/>
          <w:szCs w:val="28"/>
          <w:lang w:val="en-US" w:eastAsia="zh-CN"/>
        </w:rPr>
      </w:pPr>
    </w:p>
    <w:p w14:paraId="5BB296DF">
      <w:pPr>
        <w:numPr>
          <w:numId w:val="0"/>
        </w:numPr>
        <w:jc w:val="both"/>
        <w:rPr>
          <w:rFonts w:hint="eastAsia" w:hAnsi="宋体"/>
          <w:sz w:val="28"/>
          <w:szCs w:val="28"/>
          <w:lang w:val="en-US" w:eastAsia="zh-CN"/>
        </w:rPr>
      </w:pPr>
    </w:p>
    <w:p w14:paraId="0345901D">
      <w:pPr>
        <w:numPr>
          <w:numId w:val="0"/>
        </w:numPr>
        <w:jc w:val="both"/>
        <w:rPr>
          <w:rFonts w:hint="eastAsia" w:hAnsi="宋体"/>
          <w:sz w:val="28"/>
          <w:szCs w:val="28"/>
          <w:lang w:val="en-US" w:eastAsia="zh-CN"/>
        </w:rPr>
      </w:pPr>
    </w:p>
    <w:p w14:paraId="579A58A5">
      <w:pPr>
        <w:numPr>
          <w:numId w:val="0"/>
        </w:numPr>
        <w:jc w:val="both"/>
        <w:rPr>
          <w:rFonts w:hint="eastAsia" w:hAnsi="宋体"/>
          <w:sz w:val="28"/>
          <w:szCs w:val="28"/>
          <w:lang w:val="en-US" w:eastAsia="zh-CN"/>
        </w:rPr>
      </w:pPr>
    </w:p>
    <w:p w14:paraId="400E2051">
      <w:pPr>
        <w:numPr>
          <w:numId w:val="0"/>
        </w:numPr>
        <w:jc w:val="both"/>
        <w:rPr>
          <w:rFonts w:hint="eastAsia" w:hAnsi="宋体"/>
          <w:sz w:val="28"/>
          <w:szCs w:val="28"/>
          <w:lang w:val="en-US" w:eastAsia="zh-CN"/>
        </w:rPr>
      </w:pPr>
    </w:p>
    <w:p w14:paraId="292BAF68">
      <w:pPr>
        <w:numPr>
          <w:numId w:val="0"/>
        </w:numPr>
        <w:jc w:val="both"/>
        <w:rPr>
          <w:rFonts w:hint="eastAsia" w:hAnsi="宋体"/>
          <w:sz w:val="28"/>
          <w:szCs w:val="28"/>
          <w:lang w:val="en-US" w:eastAsia="zh-CN"/>
        </w:rPr>
      </w:pPr>
    </w:p>
    <w:p w14:paraId="5E7D68EA">
      <w:pPr>
        <w:numPr>
          <w:numId w:val="0"/>
        </w:numPr>
        <w:jc w:val="both"/>
        <w:rPr>
          <w:rFonts w:hint="eastAsia" w:hAnsi="宋体"/>
          <w:sz w:val="28"/>
          <w:szCs w:val="28"/>
          <w:lang w:val="en-US" w:eastAsia="zh-CN"/>
        </w:rPr>
      </w:pPr>
    </w:p>
    <w:p w14:paraId="5BEED3B1">
      <w:pPr>
        <w:numPr>
          <w:numId w:val="0"/>
        </w:numPr>
        <w:jc w:val="both"/>
        <w:rPr>
          <w:rFonts w:hint="eastAsia" w:hAnsi="宋体"/>
          <w:sz w:val="28"/>
          <w:szCs w:val="28"/>
          <w:lang w:val="en-US" w:eastAsia="zh-CN"/>
        </w:rPr>
      </w:pPr>
    </w:p>
    <w:p w14:paraId="237FCEF6">
      <w:pPr>
        <w:numPr>
          <w:numId w:val="0"/>
        </w:numPr>
        <w:jc w:val="both"/>
        <w:rPr>
          <w:rFonts w:hint="eastAsia" w:hAnsi="宋体"/>
          <w:sz w:val="28"/>
          <w:szCs w:val="28"/>
          <w:lang w:val="en-US" w:eastAsia="zh-CN"/>
        </w:rPr>
      </w:pPr>
    </w:p>
    <w:p w14:paraId="1A5B1160">
      <w:pPr>
        <w:numPr>
          <w:numId w:val="0"/>
        </w:numPr>
        <w:jc w:val="both"/>
        <w:rPr>
          <w:rFonts w:hint="eastAsia" w:hAnsi="宋体"/>
          <w:sz w:val="28"/>
          <w:szCs w:val="28"/>
          <w:lang w:val="en-US" w:eastAsia="zh-CN"/>
        </w:rPr>
      </w:pPr>
    </w:p>
    <w:p w14:paraId="323ABE2A">
      <w:pPr>
        <w:numPr>
          <w:numId w:val="0"/>
        </w:numPr>
        <w:jc w:val="both"/>
        <w:rPr>
          <w:rFonts w:hint="eastAsia" w:hAnsi="宋体"/>
          <w:sz w:val="28"/>
          <w:szCs w:val="28"/>
          <w:lang w:val="en-US" w:eastAsia="zh-CN"/>
        </w:rPr>
      </w:pPr>
    </w:p>
    <w:p w14:paraId="192C99AA">
      <w:pPr>
        <w:numPr>
          <w:numId w:val="0"/>
        </w:numPr>
        <w:jc w:val="both"/>
        <w:rPr>
          <w:rFonts w:hint="eastAsia" w:hAnsi="宋体"/>
          <w:sz w:val="28"/>
          <w:szCs w:val="28"/>
          <w:lang w:val="en-US" w:eastAsia="zh-CN"/>
        </w:rPr>
      </w:pPr>
    </w:p>
    <w:p w14:paraId="23496F74">
      <w:pPr>
        <w:numPr>
          <w:numId w:val="0"/>
        </w:numPr>
        <w:jc w:val="both"/>
        <w:rPr>
          <w:rFonts w:hint="eastAsia" w:hAnsi="宋体"/>
          <w:sz w:val="28"/>
          <w:szCs w:val="28"/>
          <w:lang w:val="en-US" w:eastAsia="zh-CN"/>
        </w:rPr>
      </w:pPr>
    </w:p>
    <w:p w14:paraId="0B1CF301">
      <w:pPr>
        <w:numPr>
          <w:numId w:val="0"/>
        </w:numPr>
        <w:jc w:val="both"/>
        <w:rPr>
          <w:rFonts w:hint="eastAsia" w:hAnsi="宋体"/>
          <w:sz w:val="28"/>
          <w:szCs w:val="28"/>
          <w:lang w:val="en-US" w:eastAsia="zh-CN"/>
        </w:rPr>
      </w:pPr>
    </w:p>
    <w:p w14:paraId="7F43E163">
      <w:pPr>
        <w:numPr>
          <w:numId w:val="0"/>
        </w:numPr>
        <w:jc w:val="both"/>
        <w:rPr>
          <w:rFonts w:hint="eastAsia" w:hAnsi="宋体"/>
          <w:sz w:val="28"/>
          <w:szCs w:val="28"/>
          <w:lang w:val="en-US" w:eastAsia="zh-CN"/>
        </w:rPr>
      </w:pPr>
    </w:p>
    <w:p w14:paraId="3D0AFB45">
      <w:pPr>
        <w:numPr>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6999</Words>
  <Characters>8005</Characters>
  <Lines>0</Lines>
  <Paragraphs>0</Paragraphs>
  <TotalTime>0</TotalTime>
  <ScaleCrop>false</ScaleCrop>
  <LinksUpToDate>false</LinksUpToDate>
  <CharactersWithSpaces>8562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2025-07-07T08:14:12Z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02EBC23F04ED483E99C2AF8B5923DAA9_13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