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康巴什部污水处理站运维服务项目</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13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777"/>
      </w:tblGrid>
      <w:tr w14:paraId="14D6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CDDE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4AE1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37BE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0E0A5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6EEB04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1FFF9B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030F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3275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FB16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康巴什部污水处理站运维服务项目</w:t>
            </w:r>
            <w:r>
              <w:rPr>
                <w:rFonts w:hint="eastAsia" w:ascii="宋体" w:hAnsi="宋体" w:eastAsia="宋体" w:cs="宋体"/>
                <w:sz w:val="28"/>
                <w:szCs w:val="28"/>
                <w:u w:val="none"/>
              </w:rPr>
              <w:t> </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539AC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CAC43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lang w:val="en-US" w:eastAsia="zh-CN"/>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2DEC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700000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94B76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700</w:t>
            </w:r>
            <w:r>
              <w:rPr>
                <w:rFonts w:hint="eastAsia" w:ascii="宋体" w:hAnsi="宋体" w:eastAsia="宋体" w:cs="宋体"/>
                <w:sz w:val="28"/>
                <w:szCs w:val="28"/>
                <w:u w:val="none"/>
              </w:rPr>
              <w:t>000</w:t>
            </w:r>
          </w:p>
        </w:tc>
      </w:tr>
      <w:tr w14:paraId="261D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2817C6C">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FFAE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E2E7B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700</w:t>
            </w:r>
            <w:r>
              <w:rPr>
                <w:rFonts w:hint="eastAsia" w:ascii="宋体" w:hAnsi="宋体" w:eastAsia="宋体" w:cs="宋体"/>
                <w:sz w:val="28"/>
                <w:szCs w:val="28"/>
                <w:u w:val="none"/>
              </w:rPr>
              <w:t>000</w:t>
            </w:r>
          </w:p>
        </w:tc>
      </w:tr>
      <w:tr w14:paraId="0820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3C08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AFF6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入场</w:t>
            </w:r>
            <w:r>
              <w:rPr>
                <w:rFonts w:hint="eastAsia" w:ascii="宋体" w:hAnsi="宋体" w:eastAsia="宋体" w:cs="宋体"/>
                <w:sz w:val="28"/>
                <w:szCs w:val="28"/>
                <w:u w:val="none"/>
              </w:rPr>
              <w:t>时间</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F1C9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8"/>
                <w:szCs w:val="28"/>
                <w:u w:val="none"/>
                <w:lang w:val="en-US" w:eastAsia="zh-CN"/>
              </w:rPr>
            </w:pPr>
            <w:r>
              <w:rPr>
                <w:rFonts w:hint="eastAsia" w:eastAsia="宋体"/>
                <w:sz w:val="28"/>
                <w:szCs w:val="28"/>
                <w:u w:val="none"/>
                <w:lang w:val="en-US" w:eastAsia="zh-CN"/>
              </w:rPr>
              <w:t>2025年9月1日</w:t>
            </w:r>
            <w:bookmarkStart w:id="2" w:name="_GoBack"/>
            <w:bookmarkEnd w:id="2"/>
          </w:p>
        </w:tc>
      </w:tr>
      <w:tr w14:paraId="7781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DFE3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0C7A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3032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1年</w:t>
            </w:r>
          </w:p>
        </w:tc>
      </w:tr>
      <w:tr w14:paraId="44E3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2FC2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1C58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B44A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经考核合格后，每半年支付一次。</w:t>
            </w:r>
          </w:p>
        </w:tc>
      </w:tr>
      <w:tr w14:paraId="3A42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96FD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00C9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服务期</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AE7B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18DF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4763F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14473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A2F1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鄂尔多斯市中心医院</w:t>
            </w:r>
            <w:r>
              <w:rPr>
                <w:rFonts w:hint="eastAsia" w:ascii="仿宋_GB2312" w:hAnsi="仿宋_GB2312" w:eastAsia="仿宋_GB2312" w:cs="仿宋_GB2312"/>
                <w:kern w:val="0"/>
                <w:sz w:val="32"/>
                <w:szCs w:val="32"/>
                <w:lang w:val="en-US" w:eastAsia="zh-CN"/>
              </w:rPr>
              <w:t>康巴什部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00D0132">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（1）项目基本情况介绍：</w:t>
      </w:r>
      <w:r>
        <w:rPr>
          <w:rFonts w:hint="eastAsia" w:ascii="仿宋_GB2312" w:hAnsi="仿宋_GB2312" w:eastAsia="仿宋_GB2312" w:cs="仿宋_GB2312"/>
          <w:sz w:val="32"/>
          <w:szCs w:val="32"/>
          <w:u w:val="single"/>
        </w:rPr>
        <w:t xml:space="preserve"> 本项目包含我院</w:t>
      </w:r>
      <w:r>
        <w:rPr>
          <w:rFonts w:hint="eastAsia" w:ascii="仿宋_GB2312" w:hAnsi="仿宋_GB2312" w:eastAsia="仿宋_GB2312" w:cs="仿宋_GB2312"/>
          <w:sz w:val="32"/>
          <w:szCs w:val="32"/>
          <w:u w:val="single"/>
          <w:lang w:eastAsia="zh-CN"/>
        </w:rPr>
        <w:t>康巴什部</w:t>
      </w:r>
      <w:r>
        <w:rPr>
          <w:rFonts w:hint="eastAsia" w:ascii="仿宋_GB2312" w:hAnsi="仿宋_GB2312" w:eastAsia="仿宋_GB2312" w:cs="仿宋_GB2312"/>
          <w:sz w:val="32"/>
          <w:szCs w:val="32"/>
          <w:u w:val="single"/>
          <w:lang w:val="en-US" w:eastAsia="zh-CN"/>
        </w:rPr>
        <w:t>污水处理设施运行、污染源在线设备运营维护、污泥及废液处置服务、自行监测服务。</w:t>
      </w:r>
    </w:p>
    <w:p w14:paraId="47974B7E">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（2）技术参数和要求（功能和质量）</w:t>
      </w:r>
    </w:p>
    <w:p w14:paraId="76255F80">
      <w:pPr>
        <w:kinsoku w:val="0"/>
        <w:autoSpaceDE w:val="0"/>
        <w:autoSpaceDN w:val="0"/>
        <w:adjustRightInd w:val="0"/>
        <w:snapToGrid w:val="0"/>
        <w:spacing w:before="163" w:line="221" w:lineRule="auto"/>
        <w:ind w:left="21"/>
        <w:jc w:val="left"/>
        <w:textAlignment w:val="baseline"/>
        <w:rPr>
          <w:rFonts w:hint="eastAsia" w:ascii="黑体" w:hAnsi="黑体" w:eastAsia="黑体" w:cs="黑体"/>
          <w:sz w:val="32"/>
          <w:szCs w:val="32"/>
          <w:u w:val="single"/>
          <w:lang w:eastAsia="zh-CN"/>
        </w:rPr>
      </w:pPr>
      <w:r>
        <w:rPr>
          <w:rFonts w:hint="eastAsia" w:ascii="黑体" w:hAnsi="黑体" w:eastAsia="黑体" w:cs="黑体"/>
          <w:snapToGrid w:val="0"/>
          <w:color w:val="000000"/>
          <w:spacing w:val="8"/>
          <w:kern w:val="0"/>
          <w:sz w:val="32"/>
          <w:szCs w:val="32"/>
          <w:highlight w:val="none"/>
          <w:lang w:val="en-US" w:eastAsia="zh-CN" w:bidi="ar-SA"/>
        </w:rPr>
        <w:t>1.污水处理设施运行</w:t>
      </w:r>
    </w:p>
    <w:tbl>
      <w:tblPr>
        <w:tblStyle w:val="14"/>
        <w:tblW w:w="5757" w:type="pct"/>
        <w:jc w:val="center"/>
        <w:shd w:val="clear" w:color="auto" w:fill="FFFFFF" w:themeFill="background1"/>
        <w:tblLayout w:type="fixed"/>
        <w:tblCellMar>
          <w:top w:w="0" w:type="dxa"/>
          <w:left w:w="108" w:type="dxa"/>
          <w:bottom w:w="0" w:type="dxa"/>
          <w:right w:w="108" w:type="dxa"/>
        </w:tblCellMar>
      </w:tblPr>
      <w:tblGrid>
        <w:gridCol w:w="1559"/>
        <w:gridCol w:w="968"/>
        <w:gridCol w:w="7285"/>
      </w:tblGrid>
      <w:tr w14:paraId="31EEDEF3">
        <w:tblPrEx>
          <w:shd w:val="clear" w:color="auto" w:fill="FFFFFF" w:themeFill="background1"/>
          <w:tblCellMar>
            <w:top w:w="0" w:type="dxa"/>
            <w:left w:w="108" w:type="dxa"/>
            <w:bottom w:w="0" w:type="dxa"/>
            <w:right w:w="108" w:type="dxa"/>
          </w:tblCellMar>
        </w:tblPrEx>
        <w:trPr>
          <w:trHeight w:val="212"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E223020">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参数性质</w:t>
            </w: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AE9969D">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编号</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5A03889">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技术参数和要求</w:t>
            </w:r>
          </w:p>
        </w:tc>
      </w:tr>
      <w:tr w14:paraId="546100F4">
        <w:tblPrEx>
          <w:tblCellMar>
            <w:top w:w="0" w:type="dxa"/>
            <w:left w:w="108" w:type="dxa"/>
            <w:bottom w:w="0" w:type="dxa"/>
            <w:right w:w="108" w:type="dxa"/>
          </w:tblCellMar>
        </w:tblPrEx>
        <w:trPr>
          <w:trHeight w:val="9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9B75DE">
            <w:pPr>
              <w:widowControl/>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AE68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005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工：需24小时值守，负责现场日常设备、电气、仪表、自动化、加药等巡检维修工作。如通过投标人改造，实现污水站自动运行、视频监控运行状态、设备故障手机推送等功能，夜间可不安排值守人员。但发现设备故障或突发情况仍需1小时内到场维修处置，保证污水处理设施正常运行。提供响应承诺书并加盖投标人公章。</w:t>
            </w:r>
          </w:p>
        </w:tc>
      </w:tr>
      <w:tr w14:paraId="16067273">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C6E7E1C">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DB21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B463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活性污泥投加：按照国家相关法规标准和污水处理工艺要求，进行运营操作。</w:t>
            </w:r>
          </w:p>
        </w:tc>
      </w:tr>
      <w:tr w14:paraId="11398FBF">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63BF1AB">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D2D8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281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根据污水处理设备及工艺选择对应消毒剂，采购药剂的费用由投标人承担。如使用含氯消毒剂，应保证接触池总余氯2-8mg/L。其他消毒剂对总余氯不作要求。</w:t>
            </w:r>
          </w:p>
        </w:tc>
      </w:tr>
      <w:tr w14:paraId="392C67F0">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22CB26E">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68E3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62B4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投标人要按照国家、省、市、行业有关法律、法规、规章、标准及规范的规定执行，拥有专业的运维团队，负责现场日常设备、电气、仪表、 自动化、加药等检查维修工作。同时保证人身安全,合同期内发生安全生产事故，或造成人员伤亡、财产损失等，均由投标人承担。</w:t>
            </w:r>
          </w:p>
        </w:tc>
      </w:tr>
      <w:tr w14:paraId="5201230A">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5AC500D">
            <w:pPr>
              <w:widowControl/>
              <w:jc w:val="center"/>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72FE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8CC5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备运维管理与维护，对医院污水处理站各类设备设施进行定期巡检、保养和维修，确保设备正常运行。包括但不限于在线仪表、水泵、污水处理设备、仪表及自动化控制系统等维护，以及日常化验，同时负责购买及更换低于10000元的备品备件，超出10000元的，报请委托方，批准后再进行维修。</w:t>
            </w:r>
          </w:p>
        </w:tc>
      </w:tr>
      <w:tr w14:paraId="2A7528F6">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15E61F">
            <w:pPr>
              <w:widowControl/>
              <w:jc w:val="center"/>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05C3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CC74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按照国家相关法规标准和污水处理工艺要求，进行日常运营操作，监控各处理单元运行参数，及时调整优化运行工况 , 保证出水水质达到相关要求标准。如污水处理不达标，或发生重大污染事故，造成相关部门罚款或给甲方造成损失，运营方承担全部责任并承担排污费及相关罚款。</w:t>
            </w:r>
          </w:p>
        </w:tc>
      </w:tr>
      <w:tr w14:paraId="7C5D8913">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B8E0C9F">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7FC7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99DB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投标人应对医院污水处理车间进行工艺诊断和优化，解决运行过程中出现的技术问题，提出节能降耗、提高处理效能的改进方案。</w:t>
            </w:r>
          </w:p>
        </w:tc>
      </w:tr>
      <w:tr w14:paraId="46A50955">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3519FE9">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0440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6A786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处理与安全管理，制定并执行应急预案，处理突发性设备故障或水质异常情况；严格执行安全生产管理制度，落实安全防护措施，保障人员安全和生产安全；进行安全建设，包括采购有限空间作业便携式气体检测仪、正压式空气呼吸器、长管呼吸器、强制通风设施、盖板及导轨防腐、安全警示标识等。</w:t>
            </w:r>
          </w:p>
        </w:tc>
      </w:tr>
      <w:tr w14:paraId="78DC58CD">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31DB403">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E35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3376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按照规定做好每日、每月的运行数据记录，定期编制运行报告，向委托方汇报污水处理厂运行状况及存在问题，接受环保部门的监督和检查，按时上报平台数据。</w:t>
            </w:r>
          </w:p>
        </w:tc>
      </w:tr>
      <w:tr w14:paraId="1CF3A325">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06F208F">
            <w:pPr>
              <w:widowControl/>
              <w:jc w:val="both"/>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0E56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3712"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1165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投标人承担为完成工作所需的一切办公用品、药品、维修工具及人员工资、服装 、防护、保险、福利、加班费等，运营方要保证环保专线网络畅通，履行合同期间发生的劳动纠纷，均由投标人承担。</w:t>
            </w:r>
          </w:p>
        </w:tc>
      </w:tr>
      <w:tr w14:paraId="2392A0AD">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20F5C54">
            <w:pPr>
              <w:widowControl/>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w:t>
            </w:r>
          </w:p>
        </w:tc>
        <w:tc>
          <w:tcPr>
            <w:tcW w:w="4205" w:type="pct"/>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4889B2">
            <w:pPr>
              <w:widowControl/>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打“★”号条款为实质性条款，若有任何一条负偏离或不满足则导致投标无效。 </w:t>
            </w:r>
          </w:p>
        </w:tc>
      </w:tr>
    </w:tbl>
    <w:p w14:paraId="6F2603AB">
      <w:pPr>
        <w:kinsoku w:val="0"/>
        <w:autoSpaceDE w:val="0"/>
        <w:autoSpaceDN w:val="0"/>
        <w:adjustRightInd w:val="0"/>
        <w:snapToGrid w:val="0"/>
        <w:spacing w:before="163" w:line="221" w:lineRule="auto"/>
        <w:ind w:left="21"/>
        <w:jc w:val="left"/>
        <w:textAlignment w:val="baseline"/>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2.污染源在线设备运营维护</w:t>
      </w:r>
    </w:p>
    <w:tbl>
      <w:tblPr>
        <w:tblStyle w:val="14"/>
        <w:tblW w:w="9813" w:type="dxa"/>
        <w:jc w:val="center"/>
        <w:shd w:val="clear" w:color="auto" w:fill="FFFFFF" w:themeFill="background1"/>
        <w:tblLayout w:type="fixed"/>
        <w:tblCellMar>
          <w:top w:w="0" w:type="dxa"/>
          <w:left w:w="108" w:type="dxa"/>
          <w:bottom w:w="0" w:type="dxa"/>
          <w:right w:w="108" w:type="dxa"/>
        </w:tblCellMar>
      </w:tblPr>
      <w:tblGrid>
        <w:gridCol w:w="1558"/>
        <w:gridCol w:w="915"/>
        <w:gridCol w:w="7340"/>
      </w:tblGrid>
      <w:tr w14:paraId="31582C20">
        <w:tblPrEx>
          <w:shd w:val="clear" w:color="auto" w:fill="FFFFFF" w:themeFill="background1"/>
          <w:tblCellMar>
            <w:top w:w="0" w:type="dxa"/>
            <w:left w:w="108" w:type="dxa"/>
            <w:bottom w:w="0" w:type="dxa"/>
            <w:right w:w="108" w:type="dxa"/>
          </w:tblCellMar>
        </w:tblPrEx>
        <w:trPr>
          <w:trHeight w:val="212"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278062">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参数性质</w:t>
            </w: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5B6825">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编号</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B7289B">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技术参数和要求</w:t>
            </w:r>
          </w:p>
        </w:tc>
      </w:tr>
      <w:tr w14:paraId="120934FA">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2697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9C75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1E7EF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投标人投入该项目设备维护人员至少一名，且服务人员应具备在有效期内的自动监测（水）运行工资格证，投标文件中需附证书扫描件。</w:t>
            </w:r>
          </w:p>
        </w:tc>
      </w:tr>
      <w:tr w14:paraId="0FD6D122">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38E6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16C59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876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我院粪大肠杆菌在线分析仪、COD在线分析仪、余氯在线分析仪、pH值在线分析仪、流量（速）计、环保数采仪的日常试剂、保养、维护、校准、校验、故障维修；负责以上设备系统易耗品、备品、备件及零部件的购买及更换（数采仪零部件单件3000元以下，其他设备零部件单件5000元以下）。</w:t>
            </w:r>
          </w:p>
        </w:tc>
      </w:tr>
      <w:tr w14:paraId="14BA2F7F">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4741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844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DA8A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每月对在线设备进行一次比对工作，并出具比对报告。</w:t>
            </w:r>
          </w:p>
        </w:tc>
      </w:tr>
      <w:tr w14:paraId="4BD4D34E">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65E1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B73D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D1EC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保持站房、取样点位的卫生保洁，制度张贴上墙，建立完善设备资料及运营台账。包含：巡检记录、维修记录、校验记录、比对记录、废液产生记录、校准记录等</w:t>
            </w:r>
          </w:p>
        </w:tc>
      </w:tr>
      <w:tr w14:paraId="5BAAC4EA">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9DD0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4D85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6590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实行2小时响应、一般故障4小时修复制度，保障我院水质在线监测设备正常稳定运行。</w:t>
            </w:r>
          </w:p>
        </w:tc>
      </w:tr>
      <w:tr w14:paraId="48AED509">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0AB1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F54A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5E70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日常巡检时间间隔不超过1天；每48小时自动进行化学需氧量（CODCr）、粪大肠杆菌、余氯、pH值等在线监测仪器的零点和量程校正；每月至少1次系统现场例行检查。</w:t>
            </w:r>
          </w:p>
        </w:tc>
      </w:tr>
      <w:tr w14:paraId="60D83DA1">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FE2F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p w14:paraId="5ABFC3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509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7E73E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负责各委托方在线监测站房网络视频监控系统的摄像机，云台，摄像机至现场交换机的网络线路、设施设备等部分的日常保养、维护；负责零部件以及线路、整机维修。</w:t>
            </w:r>
          </w:p>
        </w:tc>
      </w:tr>
      <w:tr w14:paraId="74DB721A">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AA4D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A8A5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7F601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如遇在线监测设施故障无法修复，需更换备品备件或设备，由双方协商，备件单件价格大于5000元由采购方承担，备件单件价格小于等于5000元由投标人承担。</w:t>
            </w:r>
          </w:p>
        </w:tc>
      </w:tr>
      <w:tr w14:paraId="1BD55697">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E27C0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583C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D7F7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如生态环境部门要求增加其他监测设施时，投标人应配合委托方安装调试，并运维，所需试剂由委托方采购。</w:t>
            </w:r>
          </w:p>
        </w:tc>
      </w:tr>
      <w:tr w14:paraId="1154A988">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E434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p>
        </w:tc>
        <w:tc>
          <w:tcPr>
            <w:tcW w:w="46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1C62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37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64D0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负责协助委托方配合生态环境主管部门的相关检查。</w:t>
            </w:r>
          </w:p>
        </w:tc>
      </w:tr>
      <w:tr w14:paraId="21321F27">
        <w:tblPrEx>
          <w:tblCellMar>
            <w:top w:w="0" w:type="dxa"/>
            <w:left w:w="108" w:type="dxa"/>
            <w:bottom w:w="0" w:type="dxa"/>
            <w:right w:w="108" w:type="dxa"/>
          </w:tblCellMar>
        </w:tblPrEx>
        <w:trPr>
          <w:trHeight w:val="210" w:hRule="atLeast"/>
          <w:jc w:val="center"/>
        </w:trPr>
        <w:tc>
          <w:tcPr>
            <w:tcW w:w="7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8841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w:t>
            </w:r>
          </w:p>
        </w:tc>
        <w:tc>
          <w:tcPr>
            <w:tcW w:w="4206" w:type="pct"/>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164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打“★”号条款为实质性条款，若有任何一条负偏离或不满足则导致投标无效。 </w:t>
            </w:r>
          </w:p>
        </w:tc>
      </w:tr>
    </w:tbl>
    <w:p w14:paraId="7F16AB96">
      <w:pPr>
        <w:kinsoku w:val="0"/>
        <w:autoSpaceDE w:val="0"/>
        <w:autoSpaceDN w:val="0"/>
        <w:adjustRightInd w:val="0"/>
        <w:snapToGrid w:val="0"/>
        <w:spacing w:before="163" w:line="221" w:lineRule="auto"/>
        <w:ind w:left="21"/>
        <w:jc w:val="left"/>
        <w:textAlignment w:val="baseline"/>
        <w:rPr>
          <w:rFonts w:hint="eastAsia" w:ascii="Times New Roman" w:hAnsi="Times New Roman" w:eastAsia="宋体" w:cs="Times New Roman"/>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3.污泥及废液处置服务</w:t>
      </w:r>
    </w:p>
    <w:tbl>
      <w:tblPr>
        <w:tblStyle w:val="14"/>
        <w:tblW w:w="9813" w:type="dxa"/>
        <w:jc w:val="center"/>
        <w:shd w:val="clear" w:color="auto" w:fill="FFFFFF" w:themeFill="background1"/>
        <w:tblLayout w:type="autofit"/>
        <w:tblCellMar>
          <w:top w:w="0" w:type="dxa"/>
          <w:left w:w="108" w:type="dxa"/>
          <w:bottom w:w="0" w:type="dxa"/>
          <w:right w:w="108" w:type="dxa"/>
        </w:tblCellMar>
      </w:tblPr>
      <w:tblGrid>
        <w:gridCol w:w="1558"/>
        <w:gridCol w:w="856"/>
        <w:gridCol w:w="7399"/>
      </w:tblGrid>
      <w:tr w14:paraId="563C5CDD">
        <w:tblPrEx>
          <w:shd w:val="clear" w:color="auto" w:fill="FFFFFF" w:themeFill="background1"/>
          <w:tblCellMar>
            <w:top w:w="0" w:type="dxa"/>
            <w:left w:w="108" w:type="dxa"/>
            <w:bottom w:w="0" w:type="dxa"/>
            <w:right w:w="108" w:type="dxa"/>
          </w:tblCellMar>
        </w:tblPrEx>
        <w:trPr>
          <w:trHeight w:val="212"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9B51CF7">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参数性质</w:t>
            </w: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10F19350">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编号</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F66C119">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技术参数和要求</w:t>
            </w:r>
          </w:p>
        </w:tc>
      </w:tr>
      <w:tr w14:paraId="17C06CEA">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C617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60CA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C355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包含污水处理站污泥的处置服务。投标人自行处置的，投标文件中应提供危险废物经营许可证，核准经营类别：医疗废物HW01,感染性废物841-001-01。如投标人委外处置，投标文件中应提供处置单位危险废物经营许可证（有效期内）和双方签订的处置合同（服务期内）。</w:t>
            </w:r>
          </w:p>
        </w:tc>
      </w:tr>
      <w:tr w14:paraId="56D1C725">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F42D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525C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0F9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污泥处置要求每年处置两次，保证将池体内剩余污泥全部处置，污泥处置总量约20吨（测算值）。</w:t>
            </w:r>
          </w:p>
        </w:tc>
      </w:tr>
      <w:tr w14:paraId="0CFB0687">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85CB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CBE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55B6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包含本院所产在线废液及实验室废液处置工作。投标人自行处置的，投标文件中应提供危险废物经营许可证，核准经营类别：HW49 900-047-49，如投标人委外处置，投标文件中应提供处置单位危险废物经营许可证（有效期内）和双方签订的处置合同（服务期内）。</w:t>
            </w:r>
          </w:p>
        </w:tc>
      </w:tr>
      <w:tr w14:paraId="6EBEFB7A">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B1ED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42D1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EFF1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在线监测废液及实验室废液要求每月进行转运处置，废液处置量约1吨。</w:t>
            </w:r>
          </w:p>
        </w:tc>
      </w:tr>
      <w:tr w14:paraId="25AAB2D7">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2E64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F8F2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B958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投标人应当制定与危险废物安全处置有关的规章制度和在发生意外事故时的应急方案，设置监控部门或专（兼职）人员，负责检查、督促落实危险废物的管理工作。</w:t>
            </w:r>
          </w:p>
        </w:tc>
      </w:tr>
      <w:tr w14:paraId="7566FBAA">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F0A9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9A99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081C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投标人应当对本项目从事危险废物收集、运输、贮存、处置等工作人员进行相关法律和专业技术、安全防护以及应急处理等知识的培训。配备必要的防护用品，定期进行健康检查，防止工作人员健康受到损害。</w:t>
            </w:r>
          </w:p>
        </w:tc>
      </w:tr>
      <w:tr w14:paraId="6E85561D">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35E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B2C1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4D85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自行配置车辆驾驶员、危险废物转运车、污泥脱水车、吸污车及相关设备，对转运车辆及时消毒和清洁，危险废物转运车应当达到防渗漏、防遗撒以及其他环境保护和卫生要求，同时符合生态环境局管理要求。</w:t>
            </w:r>
          </w:p>
        </w:tc>
      </w:tr>
      <w:tr w14:paraId="5327F98F">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E07A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ADF3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533D0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转运过程中，由于危险废物转运车辆产生的事故，以及投标人收集、运输存放过程中管理不当导致医疗废物流失、泄漏、扩散等传染性事件及产生的费用或罚款，由投标人负责。</w:t>
            </w:r>
          </w:p>
        </w:tc>
      </w:tr>
      <w:tr w14:paraId="76E863F2">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5FF8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638E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D3F4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必须按照危险废物集中处置规范及时处置危险废物，防止危险废物对环境造成污染。处置过后的污泥必须明确最终处置去向。</w:t>
            </w:r>
          </w:p>
        </w:tc>
      </w:tr>
      <w:tr w14:paraId="03C8198D">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53D6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3959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2E22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禁止违规处置污泥、在线监测废液和实验室废液，一经发现立即终止合同，并上报生态环境主管部门，所有法律责任和罚款，均由投标人承担。</w:t>
            </w:r>
          </w:p>
        </w:tc>
      </w:tr>
      <w:tr w14:paraId="1EF7C2AF">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C986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050C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2ADA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投标人应提供我院康巴什部在线废液及实验室废液收集桶，并保障每桶注满后及时进行拉运，无贮存环节。</w:t>
            </w:r>
          </w:p>
        </w:tc>
      </w:tr>
      <w:tr w14:paraId="145E66F6">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6639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p w14:paraId="6F50BF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36"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96C0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p>
        </w:tc>
        <w:tc>
          <w:tcPr>
            <w:tcW w:w="3768"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7D2A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未尽事宜，按照《医疗机构水污染物排放标准》《医疗废物管理条例》《医疗卫生机构医疗废物管理办法》等与本项目有关的其他文件执行。</w:t>
            </w:r>
          </w:p>
        </w:tc>
      </w:tr>
      <w:tr w14:paraId="0BE03BFE">
        <w:tblPrEx>
          <w:tblCellMar>
            <w:top w:w="0" w:type="dxa"/>
            <w:left w:w="108" w:type="dxa"/>
            <w:bottom w:w="0" w:type="dxa"/>
            <w:right w:w="108" w:type="dxa"/>
          </w:tblCellMar>
        </w:tblPrEx>
        <w:trPr>
          <w:trHeight w:val="210" w:hRule="atLeast"/>
          <w:jc w:val="center"/>
        </w:trPr>
        <w:tc>
          <w:tcPr>
            <w:tcW w:w="794"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0628D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w:t>
            </w:r>
          </w:p>
        </w:tc>
        <w:tc>
          <w:tcPr>
            <w:tcW w:w="4205" w:type="pct"/>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7EA8D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打“★”号条款为实质性条款，若有任何一条负偏离或不满足则导致投标无效。 </w:t>
            </w:r>
          </w:p>
        </w:tc>
      </w:tr>
    </w:tbl>
    <w:p w14:paraId="40EB39D2">
      <w:pPr>
        <w:numPr>
          <w:ilvl w:val="0"/>
          <w:numId w:val="0"/>
        </w:numPr>
        <w:kinsoku w:val="0"/>
        <w:autoSpaceDE w:val="0"/>
        <w:autoSpaceDN w:val="0"/>
        <w:adjustRightInd w:val="0"/>
        <w:snapToGrid w:val="0"/>
        <w:spacing w:before="163" w:line="221" w:lineRule="auto"/>
        <w:jc w:val="left"/>
        <w:textAlignment w:val="baseline"/>
        <w:rPr>
          <w:rFonts w:hint="eastAsia" w:ascii="黑体" w:hAnsi="黑体" w:eastAsia="黑体" w:cs="黑体"/>
          <w:snapToGrid w:val="0"/>
          <w:color w:val="000000"/>
          <w:spacing w:val="8"/>
          <w:kern w:val="0"/>
          <w:sz w:val="32"/>
          <w:szCs w:val="32"/>
          <w:highlight w:val="none"/>
          <w:lang w:val="en-US" w:eastAsia="zh-CN" w:bidi="ar-SA"/>
        </w:rPr>
      </w:pPr>
      <w:r>
        <w:rPr>
          <w:rFonts w:hint="eastAsia" w:ascii="黑体" w:hAnsi="黑体" w:eastAsia="黑体" w:cs="黑体"/>
          <w:snapToGrid w:val="0"/>
          <w:color w:val="000000"/>
          <w:spacing w:val="8"/>
          <w:kern w:val="0"/>
          <w:sz w:val="32"/>
          <w:szCs w:val="32"/>
          <w:highlight w:val="none"/>
          <w:lang w:val="en-US" w:eastAsia="zh-CN" w:bidi="ar-SA"/>
        </w:rPr>
        <w:t>4.自行监测</w:t>
      </w:r>
    </w:p>
    <w:tbl>
      <w:tblPr>
        <w:tblStyle w:val="14"/>
        <w:tblW w:w="9813" w:type="dxa"/>
        <w:jc w:val="center"/>
        <w:shd w:val="clear" w:color="auto" w:fill="FFFFFF" w:themeFill="background1"/>
        <w:tblLayout w:type="fixed"/>
        <w:tblCellMar>
          <w:top w:w="0" w:type="dxa"/>
          <w:left w:w="108" w:type="dxa"/>
          <w:bottom w:w="0" w:type="dxa"/>
          <w:right w:w="108" w:type="dxa"/>
        </w:tblCellMar>
      </w:tblPr>
      <w:tblGrid>
        <w:gridCol w:w="1600"/>
        <w:gridCol w:w="968"/>
        <w:gridCol w:w="7245"/>
      </w:tblGrid>
      <w:tr w14:paraId="01D39C02">
        <w:tblPrEx>
          <w:tblCellMar>
            <w:top w:w="0" w:type="dxa"/>
            <w:left w:w="108" w:type="dxa"/>
            <w:bottom w:w="0" w:type="dxa"/>
            <w:right w:w="108" w:type="dxa"/>
          </w:tblCellMar>
        </w:tblPrEx>
        <w:trPr>
          <w:trHeight w:val="212" w:hRule="atLeast"/>
          <w:jc w:val="center"/>
        </w:trPr>
        <w:tc>
          <w:tcPr>
            <w:tcW w:w="81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69A2B7">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参数性质</w:t>
            </w: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06B013">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编号</w:t>
            </w:r>
          </w:p>
        </w:tc>
        <w:tc>
          <w:tcPr>
            <w:tcW w:w="3691"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272AFB">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技术参数和要求</w:t>
            </w:r>
          </w:p>
        </w:tc>
      </w:tr>
      <w:tr w14:paraId="38BC4C9E">
        <w:tblPrEx>
          <w:tblCellMar>
            <w:top w:w="0" w:type="dxa"/>
            <w:left w:w="108" w:type="dxa"/>
            <w:bottom w:w="0" w:type="dxa"/>
            <w:right w:w="108" w:type="dxa"/>
          </w:tblCellMar>
        </w:tblPrEx>
        <w:trPr>
          <w:trHeight w:val="210" w:hRule="atLeast"/>
          <w:jc w:val="center"/>
        </w:trPr>
        <w:tc>
          <w:tcPr>
            <w:tcW w:w="81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7D49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ACAC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3691"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B1B6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自行监测指标及检测频次要求</w:t>
            </w:r>
          </w:p>
          <w:p w14:paraId="6CF953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4434205" cy="2427605"/>
                  <wp:effectExtent l="0" t="0" r="1079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4434205" cy="2427605"/>
                          </a:xfrm>
                          <a:prstGeom prst="rect">
                            <a:avLst/>
                          </a:prstGeom>
                          <a:noFill/>
                          <a:ln>
                            <a:noFill/>
                          </a:ln>
                        </pic:spPr>
                      </pic:pic>
                    </a:graphicData>
                  </a:graphic>
                </wp:inline>
              </w:drawing>
            </w:r>
          </w:p>
        </w:tc>
      </w:tr>
      <w:tr w14:paraId="417FE809">
        <w:tblPrEx>
          <w:tblCellMar>
            <w:top w:w="0" w:type="dxa"/>
            <w:left w:w="108" w:type="dxa"/>
            <w:bottom w:w="0" w:type="dxa"/>
            <w:right w:w="108" w:type="dxa"/>
          </w:tblCellMar>
        </w:tblPrEx>
        <w:trPr>
          <w:trHeight w:val="210" w:hRule="atLeast"/>
          <w:jc w:val="center"/>
        </w:trPr>
        <w:tc>
          <w:tcPr>
            <w:tcW w:w="81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AB9D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p>
        </w:tc>
        <w:tc>
          <w:tcPr>
            <w:tcW w:w="493"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EA1A0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691"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BBC0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投标人本次招标范围包括且不限于人员费、差旅费、检测费、车辆费、报告编制费等一系列自行监测过程中所产生的全部费用。</w:t>
            </w:r>
          </w:p>
        </w:tc>
      </w:tr>
      <w:tr w14:paraId="15799E09">
        <w:tblPrEx>
          <w:tblCellMar>
            <w:top w:w="0" w:type="dxa"/>
            <w:left w:w="108" w:type="dxa"/>
            <w:bottom w:w="0" w:type="dxa"/>
            <w:right w:w="108" w:type="dxa"/>
          </w:tblCellMar>
        </w:tblPrEx>
        <w:trPr>
          <w:trHeight w:val="210" w:hRule="atLeast"/>
          <w:jc w:val="center"/>
        </w:trPr>
        <w:tc>
          <w:tcPr>
            <w:tcW w:w="81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F0D5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w:t>
            </w:r>
          </w:p>
        </w:tc>
        <w:tc>
          <w:tcPr>
            <w:tcW w:w="4184" w:type="pct"/>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60F8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打“★”号条款为实质性条款，若有任何一条负偏离或不满足则导致投标无效。 </w:t>
            </w:r>
          </w:p>
        </w:tc>
      </w:tr>
    </w:tbl>
    <w:p w14:paraId="7C68D04A">
      <w:pPr>
        <w:pStyle w:val="13"/>
        <w:ind w:left="0" w:leftChars="0" w:firstLine="0" w:firstLineChars="0"/>
        <w:rPr>
          <w:rFonts w:hint="eastAsia"/>
        </w:rPr>
      </w:pPr>
    </w:p>
    <w:p w14:paraId="3DC80A2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57C8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A7783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B664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FC98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7DE04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135D0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F4137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19473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439459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3C4B2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4C3A4F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45A6C7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2A7A7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BB80E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61D5B8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表2 综合评审表</w:t>
      </w:r>
    </w:p>
    <w:tbl>
      <w:tblPr>
        <w:tblStyle w:val="2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13"/>
        <w:gridCol w:w="1548"/>
        <w:gridCol w:w="7496"/>
      </w:tblGrid>
      <w:tr w14:paraId="5A3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113" w:type="dxa"/>
            <w:shd w:val="clear" w:color="auto" w:fill="FFFFFF"/>
            <w:noWrap w:val="0"/>
            <w:vAlign w:val="center"/>
          </w:tcPr>
          <w:p w14:paraId="4DE651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bookmarkStart w:id="0" w:name="_Hlk96362327"/>
            <w:r>
              <w:rPr>
                <w:rFonts w:hint="eastAsia" w:ascii="宋体" w:hAnsi="宋体" w:eastAsia="宋体" w:cs="宋体"/>
                <w:color w:val="666666"/>
                <w:spacing w:val="-1"/>
                <w:sz w:val="24"/>
                <w:szCs w:val="24"/>
              </w:rPr>
              <w:t>评审因素</w:t>
            </w:r>
          </w:p>
        </w:tc>
        <w:tc>
          <w:tcPr>
            <w:tcW w:w="9044" w:type="dxa"/>
            <w:gridSpan w:val="2"/>
            <w:shd w:val="clear" w:color="auto" w:fill="FFFFFF"/>
            <w:noWrap w:val="0"/>
            <w:vAlign w:val="center"/>
          </w:tcPr>
          <w:p w14:paraId="7E5398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666666"/>
                <w:spacing w:val="-1"/>
                <w:sz w:val="24"/>
                <w:szCs w:val="24"/>
              </w:rPr>
              <w:t>评审标准</w:t>
            </w:r>
          </w:p>
        </w:tc>
      </w:tr>
      <w:tr w14:paraId="67D5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jc w:val="center"/>
        </w:trPr>
        <w:tc>
          <w:tcPr>
            <w:tcW w:w="1113" w:type="dxa"/>
            <w:shd w:val="clear" w:color="auto" w:fill="FFFFFF"/>
            <w:noWrap w:val="0"/>
            <w:vAlign w:val="center"/>
          </w:tcPr>
          <w:p w14:paraId="3A2BA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666666"/>
                <w:spacing w:val="-1"/>
                <w:sz w:val="24"/>
                <w:szCs w:val="24"/>
              </w:rPr>
              <w:t>分值构成</w:t>
            </w:r>
          </w:p>
        </w:tc>
        <w:tc>
          <w:tcPr>
            <w:tcW w:w="9044" w:type="dxa"/>
            <w:gridSpan w:val="2"/>
            <w:shd w:val="clear" w:color="auto" w:fill="FFFFFF"/>
            <w:noWrap w:val="0"/>
            <w:vAlign w:val="center"/>
          </w:tcPr>
          <w:p w14:paraId="1F14D4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textAlignment w:val="baseline"/>
              <w:rPr>
                <w:rFonts w:hint="eastAsia" w:ascii="宋体" w:hAnsi="宋体" w:eastAsia="宋体" w:cs="宋体"/>
                <w:color w:val="666666"/>
                <w:spacing w:val="-1"/>
                <w:position w:val="28"/>
                <w:sz w:val="24"/>
                <w:szCs w:val="24"/>
              </w:rPr>
            </w:pPr>
            <w:r>
              <w:rPr>
                <w:rFonts w:hint="eastAsia" w:ascii="宋体" w:hAnsi="宋体" w:eastAsia="宋体" w:cs="宋体"/>
                <w:color w:val="666666"/>
                <w:sz w:val="24"/>
                <w:szCs w:val="24"/>
              </w:rPr>
              <w:t>技术部分</w:t>
            </w:r>
            <w:r>
              <w:rPr>
                <w:rFonts w:hint="eastAsia" w:ascii="宋体" w:hAnsi="宋体" w:eastAsia="宋体" w:cs="宋体"/>
                <w:color w:val="666666"/>
                <w:sz w:val="24"/>
                <w:szCs w:val="24"/>
                <w:lang w:val="en-US" w:eastAsia="zh-CN"/>
              </w:rPr>
              <w:t>50</w:t>
            </w:r>
            <w:r>
              <w:rPr>
                <w:rFonts w:hint="eastAsia" w:ascii="宋体" w:hAnsi="宋体" w:eastAsia="宋体" w:cs="宋体"/>
                <w:color w:val="666666"/>
                <w:sz w:val="24"/>
                <w:szCs w:val="24"/>
              </w:rPr>
              <w:t>.0分</w:t>
            </w:r>
          </w:p>
          <w:p w14:paraId="0B5335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jc w:val="left"/>
              <w:textAlignment w:val="baseline"/>
              <w:rPr>
                <w:rFonts w:hint="eastAsia" w:ascii="宋体" w:hAnsi="宋体" w:eastAsia="宋体" w:cs="宋体"/>
                <w:color w:val="666666"/>
                <w:sz w:val="24"/>
                <w:szCs w:val="24"/>
                <w:lang w:val="en-US" w:eastAsia="zh-CN"/>
              </w:rPr>
            </w:pPr>
            <w:r>
              <w:rPr>
                <w:rFonts w:hint="eastAsia" w:ascii="宋体" w:hAnsi="宋体" w:eastAsia="宋体" w:cs="宋体"/>
                <w:color w:val="666666"/>
                <w:sz w:val="24"/>
                <w:szCs w:val="24"/>
                <w:lang w:val="en-US" w:eastAsia="zh-CN"/>
              </w:rPr>
              <w:t>商务部分20.0分</w:t>
            </w:r>
          </w:p>
          <w:p w14:paraId="5EE416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jc w:val="left"/>
              <w:textAlignment w:val="baseline"/>
              <w:rPr>
                <w:rFonts w:hint="eastAsia" w:ascii="宋体" w:hAnsi="宋体" w:eastAsia="宋体" w:cs="宋体"/>
                <w:sz w:val="24"/>
                <w:szCs w:val="24"/>
              </w:rPr>
            </w:pPr>
            <w:r>
              <w:rPr>
                <w:rFonts w:hint="eastAsia" w:ascii="宋体" w:hAnsi="宋体" w:eastAsia="宋体" w:cs="宋体"/>
                <w:color w:val="666666"/>
                <w:sz w:val="24"/>
                <w:szCs w:val="24"/>
              </w:rPr>
              <w:t>报价得分</w:t>
            </w:r>
            <w:r>
              <w:rPr>
                <w:rFonts w:hint="eastAsia" w:ascii="宋体" w:hAnsi="宋体" w:eastAsia="宋体" w:cs="宋体"/>
                <w:color w:val="666666"/>
                <w:sz w:val="24"/>
                <w:szCs w:val="24"/>
                <w:lang w:val="en-US" w:eastAsia="zh-CN"/>
              </w:rPr>
              <w:t>30.0</w:t>
            </w:r>
            <w:r>
              <w:rPr>
                <w:rFonts w:hint="eastAsia" w:ascii="宋体" w:hAnsi="宋体" w:eastAsia="宋体" w:cs="宋体"/>
                <w:color w:val="666666"/>
                <w:sz w:val="24"/>
                <w:szCs w:val="24"/>
              </w:rPr>
              <w:t>分</w:t>
            </w:r>
          </w:p>
        </w:tc>
      </w:tr>
      <w:tr w14:paraId="5C07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113" w:type="dxa"/>
            <w:vMerge w:val="restart"/>
            <w:shd w:val="clear" w:color="auto" w:fill="FFFFFF"/>
            <w:noWrap w:val="0"/>
            <w:vAlign w:val="center"/>
          </w:tcPr>
          <w:p w14:paraId="17C6DE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48" w:type="dxa"/>
            <w:shd w:val="clear" w:color="auto" w:fill="FFFFFF"/>
            <w:noWrap w:val="0"/>
            <w:vAlign w:val="center"/>
          </w:tcPr>
          <w:p w14:paraId="0B5162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highlight w:val="yellow"/>
              </w:rPr>
            </w:pPr>
            <w:r>
              <w:rPr>
                <w:rFonts w:hint="eastAsia" w:ascii="宋体" w:hAnsi="宋体" w:eastAsia="宋体" w:cs="宋体"/>
                <w:color w:val="666666"/>
                <w:spacing w:val="1"/>
                <w:position w:val="2"/>
                <w:sz w:val="24"/>
                <w:szCs w:val="24"/>
                <w:highlight w:val="none"/>
                <w:lang w:val="en-US" w:eastAsia="zh-CN"/>
              </w:rPr>
              <w:t>服务保障能力</w:t>
            </w:r>
            <w:r>
              <w:rPr>
                <w:rFonts w:hint="eastAsia" w:ascii="宋体" w:hAnsi="宋体" w:eastAsia="宋体" w:cs="宋体"/>
                <w:color w:val="666666"/>
                <w:spacing w:val="1"/>
                <w:position w:val="2"/>
                <w:sz w:val="24"/>
                <w:szCs w:val="24"/>
                <w:highlight w:val="none"/>
              </w:rPr>
              <w:t>(</w:t>
            </w:r>
            <w:r>
              <w:rPr>
                <w:rFonts w:hint="eastAsia" w:ascii="宋体" w:hAnsi="宋体" w:eastAsia="宋体" w:cs="宋体"/>
                <w:color w:val="666666"/>
                <w:spacing w:val="1"/>
                <w:position w:val="2"/>
                <w:sz w:val="24"/>
                <w:szCs w:val="24"/>
                <w:highlight w:val="none"/>
                <w:lang w:val="en-US" w:eastAsia="zh-CN"/>
              </w:rPr>
              <w:t>14</w:t>
            </w:r>
            <w:r>
              <w:rPr>
                <w:rFonts w:hint="eastAsia" w:ascii="宋体" w:hAnsi="宋体" w:eastAsia="宋体" w:cs="宋体"/>
                <w:color w:val="666666"/>
                <w:spacing w:val="1"/>
                <w:position w:val="2"/>
                <w:sz w:val="24"/>
                <w:szCs w:val="24"/>
                <w:highlight w:val="none"/>
              </w:rPr>
              <w:t>.0分)</w:t>
            </w:r>
          </w:p>
        </w:tc>
        <w:tc>
          <w:tcPr>
            <w:tcW w:w="7496" w:type="dxa"/>
            <w:shd w:val="clear" w:color="auto" w:fill="FFFFFF"/>
            <w:noWrap w:val="0"/>
            <w:vAlign w:val="center"/>
          </w:tcPr>
          <w:p w14:paraId="4CB4B0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snapToGrid w:val="0"/>
                <w:color w:val="666666"/>
                <w:spacing w:val="-3"/>
                <w:sz w:val="24"/>
                <w:szCs w:val="24"/>
                <w:lang w:val="en-US" w:eastAsia="zh-CN" w:bidi="ar-SA"/>
              </w:rPr>
              <w:t>1.</w:t>
            </w:r>
            <w:r>
              <w:rPr>
                <w:rFonts w:hint="eastAsia" w:ascii="宋体" w:hAnsi="宋体" w:eastAsia="宋体" w:cs="宋体"/>
                <w:color w:val="666666"/>
                <w:spacing w:val="-3"/>
                <w:sz w:val="24"/>
                <w:szCs w:val="24"/>
                <w:highlight w:val="none"/>
                <w:lang w:val="en-US" w:eastAsia="zh-CN"/>
              </w:rPr>
              <w:t>投标人为本项目配备的专业技术人员应具有较强的综合技术能力，可胜任相应岗位工作，要求项目负责人具备环保类副高级及以上职称证书得4分；项目负责人具备环保类中级职称证书得2分。项目服务人员持有高处作业操作证得2分（投标人需提供本单位项目负责人及项目服务人员持有的上述证书复印件，未提供不得分）。</w:t>
            </w:r>
          </w:p>
          <w:p w14:paraId="7028BA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snapToGrid w:val="0"/>
                <w:color w:val="666666"/>
                <w:spacing w:val="-3"/>
                <w:sz w:val="24"/>
                <w:szCs w:val="24"/>
                <w:lang w:val="en-US" w:eastAsia="zh-CN" w:bidi="ar-SA"/>
              </w:rPr>
              <w:t>2.</w:t>
            </w:r>
            <w:r>
              <w:rPr>
                <w:rFonts w:hint="eastAsia" w:ascii="宋体" w:hAnsi="宋体" w:eastAsia="宋体" w:cs="宋体"/>
                <w:color w:val="666666"/>
                <w:spacing w:val="-3"/>
                <w:sz w:val="24"/>
                <w:szCs w:val="24"/>
                <w:highlight w:val="none"/>
                <w:lang w:val="en-US" w:eastAsia="zh-CN"/>
              </w:rPr>
              <w:t>投标人为保障在线监测设施运维过程中的安全生产，投标人现场运行人员需持有低压电工作业证得2分（投标人需提供本单位项目服务人员持有的上述证书复印件，未提供不得分）。</w:t>
            </w:r>
          </w:p>
          <w:p w14:paraId="6CB63B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color w:val="666666"/>
                <w:spacing w:val="-3"/>
                <w:sz w:val="24"/>
                <w:szCs w:val="24"/>
                <w:highlight w:val="none"/>
                <w:lang w:val="en-US" w:eastAsia="zh-CN"/>
              </w:rPr>
              <w:t>3.投标人为保障污泥及废液转移的高效性及及时性：</w:t>
            </w:r>
          </w:p>
          <w:p w14:paraId="5562A7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color w:val="FF0000"/>
                <w:spacing w:val="-3"/>
                <w:sz w:val="24"/>
                <w:szCs w:val="24"/>
                <w:highlight w:val="none"/>
                <w:lang w:val="en-US" w:eastAsia="zh-CN"/>
              </w:rPr>
            </w:pPr>
            <w:r>
              <w:rPr>
                <w:rFonts w:hint="eastAsia" w:ascii="宋体" w:hAnsi="宋体" w:eastAsia="宋体" w:cs="宋体"/>
                <w:color w:val="666666"/>
                <w:spacing w:val="-3"/>
                <w:sz w:val="24"/>
                <w:szCs w:val="24"/>
                <w:highlight w:val="none"/>
                <w:lang w:val="en-US" w:eastAsia="zh-CN"/>
              </w:rPr>
              <w:t>通过自有危险化学品运输车辆拉运得3分（投标文件中须提供投标人所有的使用性质为危化品运输的车辆行驶证，未提供不得分）；为该项目配置车辆驾驶员和押运员得3分，（投标文件中须提供驾驶员的危险货物运输从业资格证和押运员的危货押运员从业资格证，未提供或提供不全不得分）。</w:t>
            </w:r>
          </w:p>
        </w:tc>
      </w:tr>
      <w:tr w14:paraId="1F7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113" w:type="dxa"/>
            <w:vMerge w:val="continue"/>
            <w:shd w:val="clear" w:color="auto" w:fill="FFFFFF"/>
            <w:noWrap w:val="0"/>
            <w:vAlign w:val="center"/>
          </w:tcPr>
          <w:p w14:paraId="5C4156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48" w:type="dxa"/>
            <w:shd w:val="clear" w:color="auto" w:fill="FFFFFF"/>
            <w:noWrap w:val="0"/>
            <w:vAlign w:val="center"/>
          </w:tcPr>
          <w:p w14:paraId="34BF1F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color w:val="666666"/>
                <w:spacing w:val="1"/>
                <w:position w:val="2"/>
                <w:sz w:val="24"/>
                <w:szCs w:val="24"/>
                <w:highlight w:val="none"/>
                <w:lang w:val="en-US" w:eastAsia="zh-CN"/>
              </w:rPr>
            </w:pPr>
            <w:r>
              <w:rPr>
                <w:rFonts w:hint="eastAsia" w:ascii="宋体" w:hAnsi="宋体" w:eastAsia="宋体" w:cs="宋体"/>
                <w:color w:val="666666"/>
                <w:spacing w:val="1"/>
                <w:position w:val="2"/>
                <w:sz w:val="24"/>
                <w:szCs w:val="24"/>
                <w:highlight w:val="none"/>
                <w:lang w:val="en-US" w:eastAsia="zh-CN"/>
              </w:rPr>
              <w:t>污水处理设施运营方案</w:t>
            </w:r>
            <w:r>
              <w:rPr>
                <w:rFonts w:hint="eastAsia" w:ascii="宋体" w:hAnsi="宋体" w:eastAsia="宋体" w:cs="宋体"/>
                <w:color w:val="666666"/>
                <w:spacing w:val="1"/>
                <w:position w:val="2"/>
                <w:sz w:val="24"/>
                <w:szCs w:val="24"/>
                <w:highlight w:val="none"/>
              </w:rPr>
              <w:t>(</w:t>
            </w:r>
            <w:r>
              <w:rPr>
                <w:rFonts w:hint="eastAsia" w:ascii="宋体" w:hAnsi="宋体" w:eastAsia="宋体" w:cs="宋体"/>
                <w:color w:val="666666"/>
                <w:spacing w:val="1"/>
                <w:position w:val="2"/>
                <w:sz w:val="24"/>
                <w:szCs w:val="24"/>
                <w:highlight w:val="none"/>
                <w:lang w:val="en-US" w:eastAsia="zh-CN"/>
              </w:rPr>
              <w:t>12</w:t>
            </w:r>
            <w:r>
              <w:rPr>
                <w:rFonts w:hint="eastAsia" w:ascii="宋体" w:hAnsi="宋体" w:eastAsia="宋体" w:cs="宋体"/>
                <w:color w:val="666666"/>
                <w:spacing w:val="1"/>
                <w:position w:val="2"/>
                <w:sz w:val="24"/>
                <w:szCs w:val="24"/>
                <w:highlight w:val="none"/>
              </w:rPr>
              <w:t>.0分)</w:t>
            </w:r>
          </w:p>
        </w:tc>
        <w:tc>
          <w:tcPr>
            <w:tcW w:w="7496" w:type="dxa"/>
            <w:shd w:val="clear" w:color="auto" w:fill="FFFFFF"/>
            <w:noWrap w:val="0"/>
            <w:vAlign w:val="center"/>
          </w:tcPr>
          <w:p w14:paraId="17DB0E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color w:val="666666"/>
                <w:spacing w:val="-3"/>
                <w:sz w:val="24"/>
                <w:szCs w:val="24"/>
                <w:highlight w:val="none"/>
                <w:lang w:val="en-US" w:eastAsia="zh-CN"/>
              </w:rPr>
              <w:t>投标人在投标文件中提供污水处理设施运营方案，内容应包含人事安排及管理方案、安全生产、工艺运行及管理、降低成本持续提高运行质量方案、环境保护等相关内容。凡提供污水处理设施运营方案者，得基础分9分。在此基础上，</w:t>
            </w:r>
            <w:r>
              <w:rPr>
                <w:rFonts w:hint="eastAsia" w:ascii="宋体" w:hAnsi="宋体" w:eastAsia="宋体" w:cs="宋体"/>
                <w:color w:val="666666"/>
                <w:spacing w:val="3"/>
                <w:sz w:val="24"/>
                <w:szCs w:val="24"/>
                <w:highlight w:val="none"/>
              </w:rPr>
              <w:t>根据投标人</w:t>
            </w:r>
            <w:r>
              <w:rPr>
                <w:rFonts w:hint="eastAsia" w:ascii="宋体" w:hAnsi="宋体" w:eastAsia="宋体" w:cs="宋体"/>
                <w:color w:val="666666"/>
                <w:spacing w:val="3"/>
                <w:sz w:val="24"/>
                <w:szCs w:val="24"/>
                <w:highlight w:val="none"/>
                <w:lang w:val="en-US" w:eastAsia="zh-CN"/>
              </w:rPr>
              <w:t xml:space="preserve">方案内容完整性进行打分，内容详实、可实施性较好且没有缺失得3分；内容简单、可实施性较差但方案内容没有缺失得2分；内容详实、可实施性较好但缺少方案内容中2项及以下得1分；内容简单、可实施性较差且缺少方案内容中2项以上得0分；未提供不得分。 </w:t>
            </w:r>
          </w:p>
        </w:tc>
      </w:tr>
      <w:tr w14:paraId="58A8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113" w:type="dxa"/>
            <w:vMerge w:val="continue"/>
            <w:shd w:val="clear" w:color="auto" w:fill="FFFFFF"/>
            <w:noWrap w:val="0"/>
            <w:vAlign w:val="center"/>
          </w:tcPr>
          <w:p w14:paraId="54665F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48" w:type="dxa"/>
            <w:shd w:val="clear" w:color="auto" w:fill="FFFFFF"/>
            <w:noWrap w:val="0"/>
            <w:vAlign w:val="center"/>
          </w:tcPr>
          <w:p w14:paraId="401FBD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color w:val="666666"/>
                <w:spacing w:val="1"/>
                <w:position w:val="2"/>
                <w:sz w:val="24"/>
                <w:szCs w:val="24"/>
                <w:highlight w:val="none"/>
                <w:lang w:val="en-US" w:eastAsia="zh-CN"/>
              </w:rPr>
            </w:pPr>
            <w:r>
              <w:rPr>
                <w:rFonts w:hint="eastAsia" w:ascii="宋体" w:hAnsi="宋体" w:eastAsia="宋体" w:cs="宋体"/>
                <w:color w:val="666666"/>
                <w:spacing w:val="1"/>
                <w:position w:val="2"/>
                <w:sz w:val="24"/>
                <w:szCs w:val="24"/>
                <w:highlight w:val="none"/>
                <w:lang w:val="en-US" w:eastAsia="zh-CN"/>
              </w:rPr>
              <w:t>在线设备运营维护方案</w:t>
            </w:r>
            <w:r>
              <w:rPr>
                <w:rFonts w:hint="eastAsia" w:ascii="宋体" w:hAnsi="宋体" w:eastAsia="宋体" w:cs="宋体"/>
                <w:color w:val="666666"/>
                <w:spacing w:val="1"/>
                <w:position w:val="2"/>
                <w:sz w:val="24"/>
                <w:szCs w:val="24"/>
                <w:highlight w:val="none"/>
              </w:rPr>
              <w:t>(</w:t>
            </w:r>
            <w:r>
              <w:rPr>
                <w:rFonts w:hint="eastAsia" w:ascii="宋体" w:hAnsi="宋体" w:eastAsia="宋体" w:cs="宋体"/>
                <w:color w:val="666666"/>
                <w:spacing w:val="1"/>
                <w:position w:val="2"/>
                <w:sz w:val="24"/>
                <w:szCs w:val="24"/>
                <w:highlight w:val="none"/>
                <w:lang w:val="en-US" w:eastAsia="zh-CN"/>
              </w:rPr>
              <w:t>12</w:t>
            </w:r>
            <w:r>
              <w:rPr>
                <w:rFonts w:hint="eastAsia" w:ascii="宋体" w:hAnsi="宋体" w:eastAsia="宋体" w:cs="宋体"/>
                <w:color w:val="666666"/>
                <w:spacing w:val="1"/>
                <w:position w:val="2"/>
                <w:sz w:val="24"/>
                <w:szCs w:val="24"/>
                <w:highlight w:val="none"/>
              </w:rPr>
              <w:t>.0分)</w:t>
            </w:r>
          </w:p>
        </w:tc>
        <w:tc>
          <w:tcPr>
            <w:tcW w:w="7496" w:type="dxa"/>
            <w:shd w:val="clear" w:color="auto" w:fill="FFFFFF"/>
            <w:noWrap w:val="0"/>
            <w:vAlign w:val="center"/>
          </w:tcPr>
          <w:p w14:paraId="0BBD2B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color w:val="666666"/>
                <w:spacing w:val="-3"/>
                <w:sz w:val="24"/>
                <w:szCs w:val="24"/>
                <w:highlight w:val="none"/>
                <w:lang w:val="en-US" w:eastAsia="zh-CN"/>
              </w:rPr>
              <w:t>投标人在投标文件中提供在线设备运营维护方案，内容应包含污染源在线设备组织架构、运营维护服务内容、运营维护服务目标、安全及环保措施、应急响应及质量保证等相关内容。凡提供在线设备运营维护方案者，得基础分9分。在此基础上，</w:t>
            </w:r>
            <w:r>
              <w:rPr>
                <w:rFonts w:hint="eastAsia" w:ascii="宋体" w:hAnsi="宋体" w:eastAsia="宋体" w:cs="宋体"/>
                <w:color w:val="666666"/>
                <w:spacing w:val="3"/>
                <w:sz w:val="24"/>
                <w:szCs w:val="24"/>
                <w:highlight w:val="none"/>
              </w:rPr>
              <w:t>根据投标人</w:t>
            </w:r>
            <w:r>
              <w:rPr>
                <w:rFonts w:hint="eastAsia" w:ascii="宋体" w:hAnsi="宋体" w:eastAsia="宋体" w:cs="宋体"/>
                <w:color w:val="666666"/>
                <w:spacing w:val="3"/>
                <w:sz w:val="24"/>
                <w:szCs w:val="24"/>
                <w:highlight w:val="none"/>
                <w:lang w:val="en-US" w:eastAsia="zh-CN"/>
              </w:rPr>
              <w:t>方案内容完整性进行打分，内容详实、可实施性较好且没有缺失得3分；内容简单、可实施性较差但方案内容没有缺失得2分；内容详实、可实施性较好但缺少方案内容中2项及以下得1分；内容简单、可实施性较差且缺少方案内容中2项以上得0分；未提供不得分。</w:t>
            </w:r>
          </w:p>
        </w:tc>
      </w:tr>
      <w:tr w14:paraId="38FA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13" w:type="dxa"/>
            <w:vMerge w:val="continue"/>
            <w:shd w:val="clear" w:color="auto" w:fill="FFFFFF"/>
            <w:noWrap w:val="0"/>
            <w:vAlign w:val="center"/>
          </w:tcPr>
          <w:p w14:paraId="28800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48" w:type="dxa"/>
            <w:shd w:val="clear" w:color="auto" w:fill="FFFFFF"/>
            <w:noWrap w:val="0"/>
            <w:vAlign w:val="center"/>
          </w:tcPr>
          <w:p w14:paraId="15D25C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color w:val="666666"/>
                <w:spacing w:val="1"/>
                <w:position w:val="2"/>
                <w:sz w:val="24"/>
                <w:szCs w:val="24"/>
                <w:highlight w:val="none"/>
                <w:lang w:val="en-US" w:eastAsia="zh-CN"/>
              </w:rPr>
            </w:pPr>
            <w:r>
              <w:rPr>
                <w:rFonts w:hint="eastAsia" w:ascii="宋体" w:hAnsi="宋体" w:eastAsia="宋体" w:cs="宋体"/>
                <w:color w:val="666666"/>
                <w:spacing w:val="1"/>
                <w:position w:val="2"/>
                <w:sz w:val="24"/>
                <w:szCs w:val="24"/>
                <w:highlight w:val="none"/>
                <w:lang w:val="en-US" w:eastAsia="zh-CN"/>
              </w:rPr>
              <w:t>自行监测方案</w:t>
            </w:r>
            <w:r>
              <w:rPr>
                <w:rFonts w:hint="eastAsia" w:ascii="宋体" w:hAnsi="宋体" w:eastAsia="宋体" w:cs="宋体"/>
                <w:color w:val="666666"/>
                <w:spacing w:val="1"/>
                <w:position w:val="2"/>
                <w:sz w:val="24"/>
                <w:szCs w:val="24"/>
                <w:highlight w:val="none"/>
              </w:rPr>
              <w:t>(</w:t>
            </w:r>
            <w:r>
              <w:rPr>
                <w:rFonts w:hint="eastAsia" w:ascii="宋体" w:hAnsi="宋体" w:eastAsia="宋体" w:cs="宋体"/>
                <w:color w:val="666666"/>
                <w:spacing w:val="1"/>
                <w:position w:val="2"/>
                <w:sz w:val="24"/>
                <w:szCs w:val="24"/>
                <w:highlight w:val="none"/>
                <w:lang w:val="en-US" w:eastAsia="zh-CN"/>
              </w:rPr>
              <w:t>12</w:t>
            </w:r>
            <w:r>
              <w:rPr>
                <w:rFonts w:hint="eastAsia" w:ascii="宋体" w:hAnsi="宋体" w:eastAsia="宋体" w:cs="宋体"/>
                <w:color w:val="666666"/>
                <w:spacing w:val="1"/>
                <w:position w:val="2"/>
                <w:sz w:val="24"/>
                <w:szCs w:val="24"/>
                <w:highlight w:val="none"/>
              </w:rPr>
              <w:t>.0分)</w:t>
            </w:r>
          </w:p>
        </w:tc>
        <w:tc>
          <w:tcPr>
            <w:tcW w:w="7496" w:type="dxa"/>
            <w:shd w:val="clear" w:color="auto" w:fill="FFFFFF"/>
            <w:noWrap w:val="0"/>
            <w:vAlign w:val="center"/>
          </w:tcPr>
          <w:p w14:paraId="3D476C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666666"/>
                <w:spacing w:val="-3"/>
                <w:sz w:val="24"/>
                <w:szCs w:val="24"/>
                <w:highlight w:val="none"/>
                <w:lang w:val="en-US" w:eastAsia="zh-CN"/>
              </w:rPr>
            </w:pPr>
            <w:r>
              <w:rPr>
                <w:rFonts w:hint="eastAsia" w:ascii="宋体" w:hAnsi="宋体" w:eastAsia="宋体" w:cs="宋体"/>
                <w:color w:val="666666"/>
                <w:spacing w:val="-3"/>
                <w:sz w:val="24"/>
                <w:szCs w:val="24"/>
                <w:highlight w:val="none"/>
                <w:lang w:val="en-US" w:eastAsia="zh-CN"/>
              </w:rPr>
              <w:t>投标人在投标文件中提供自行监测方案，内容应包含检测内容、采样及样品保存方法、监测分析方法和仪器设备名称、质量保证和质量控制、监测信息记录及保存等相关内容。凡提供自行监测方案者，得基础分9分。在此基础上，</w:t>
            </w:r>
            <w:r>
              <w:rPr>
                <w:rFonts w:hint="eastAsia" w:ascii="宋体" w:hAnsi="宋体" w:eastAsia="宋体" w:cs="宋体"/>
                <w:color w:val="666666"/>
                <w:spacing w:val="3"/>
                <w:sz w:val="24"/>
                <w:szCs w:val="24"/>
                <w:highlight w:val="none"/>
              </w:rPr>
              <w:t>根据投标人</w:t>
            </w:r>
            <w:r>
              <w:rPr>
                <w:rFonts w:hint="eastAsia" w:ascii="宋体" w:hAnsi="宋体" w:eastAsia="宋体" w:cs="宋体"/>
                <w:color w:val="666666"/>
                <w:spacing w:val="3"/>
                <w:sz w:val="24"/>
                <w:szCs w:val="24"/>
                <w:highlight w:val="none"/>
                <w:lang w:val="en-US" w:eastAsia="zh-CN"/>
              </w:rPr>
              <w:t>方案内容完整性进行打分，内容详实、可实施性较好且没有缺失得3分；内容简单、可实施性较差但方案内容没有缺失得2分；内容详实、可实施性较好但缺少方案内容中2项及以下得1分；内容简单、可实施性较差且缺少方案内容中2项以上得0分；未提供不得分。</w:t>
            </w:r>
          </w:p>
        </w:tc>
      </w:tr>
      <w:tr w14:paraId="3C0F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1113" w:type="dxa"/>
            <w:vMerge w:val="restart"/>
            <w:shd w:val="clear" w:color="auto" w:fill="FFFFFF"/>
            <w:noWrap w:val="0"/>
            <w:vAlign w:val="center"/>
          </w:tcPr>
          <w:p w14:paraId="701779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666666"/>
                <w:spacing w:val="-2"/>
                <w:sz w:val="24"/>
                <w:szCs w:val="24"/>
              </w:rPr>
              <w:t>商务部分</w:t>
            </w:r>
          </w:p>
        </w:tc>
        <w:tc>
          <w:tcPr>
            <w:tcW w:w="1548" w:type="dxa"/>
            <w:shd w:val="clear" w:color="auto" w:fill="FFFFFF"/>
            <w:noWrap w:val="0"/>
            <w:vAlign w:val="center"/>
          </w:tcPr>
          <w:p w14:paraId="69CA3E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p>
          <w:p w14:paraId="028FAF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color w:val="666666"/>
                <w:position w:val="2"/>
                <w:sz w:val="24"/>
                <w:szCs w:val="24"/>
              </w:rPr>
              <w:t>投标人业绩</w:t>
            </w:r>
            <w:r>
              <w:rPr>
                <w:rFonts w:hint="eastAsia" w:ascii="宋体" w:hAnsi="宋体" w:eastAsia="宋体" w:cs="宋体"/>
                <w:color w:val="666666"/>
                <w:spacing w:val="-11"/>
                <w:position w:val="2"/>
                <w:sz w:val="24"/>
                <w:szCs w:val="24"/>
              </w:rPr>
              <w:t xml:space="preserve"> </w:t>
            </w:r>
            <w:r>
              <w:rPr>
                <w:rFonts w:hint="eastAsia" w:ascii="宋体" w:hAnsi="宋体" w:eastAsia="宋体" w:cs="宋体"/>
                <w:color w:val="666666"/>
                <w:position w:val="2"/>
                <w:sz w:val="24"/>
                <w:szCs w:val="24"/>
              </w:rPr>
              <w:t>(</w:t>
            </w:r>
            <w:r>
              <w:rPr>
                <w:rFonts w:hint="eastAsia" w:ascii="宋体" w:hAnsi="宋体" w:eastAsia="宋体" w:cs="宋体"/>
                <w:color w:val="666666"/>
                <w:position w:val="2"/>
                <w:sz w:val="24"/>
                <w:szCs w:val="24"/>
                <w:lang w:val="en-US" w:eastAsia="zh-CN"/>
              </w:rPr>
              <w:t>15</w:t>
            </w:r>
            <w:r>
              <w:rPr>
                <w:rFonts w:hint="eastAsia" w:ascii="宋体" w:hAnsi="宋体" w:eastAsia="宋体" w:cs="宋体"/>
                <w:color w:val="666666"/>
                <w:position w:val="2"/>
                <w:sz w:val="24"/>
                <w:szCs w:val="24"/>
              </w:rPr>
              <w:t>.0分)</w:t>
            </w:r>
            <w:r>
              <w:rPr>
                <w:rFonts w:hint="eastAsia" w:ascii="宋体" w:hAnsi="宋体" w:eastAsia="宋体" w:cs="宋体"/>
                <w:color w:val="666666"/>
                <w:spacing w:val="-2"/>
                <w:position w:val="2"/>
                <w:sz w:val="24"/>
                <w:szCs w:val="24"/>
              </w:rPr>
              <w:t xml:space="preserve"> </w:t>
            </w:r>
          </w:p>
        </w:tc>
        <w:tc>
          <w:tcPr>
            <w:tcW w:w="7496" w:type="dxa"/>
            <w:shd w:val="clear" w:color="auto" w:fill="FFFFFF"/>
            <w:noWrap w:val="0"/>
            <w:vAlign w:val="center"/>
          </w:tcPr>
          <w:p w14:paraId="5FF35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666666"/>
                <w:spacing w:val="-2"/>
                <w:sz w:val="24"/>
                <w:szCs w:val="24"/>
                <w:lang w:val="en-US" w:eastAsia="zh-CN"/>
              </w:rPr>
            </w:pPr>
            <w:r>
              <w:rPr>
                <w:rFonts w:hint="eastAsia" w:ascii="宋体" w:hAnsi="宋体" w:eastAsia="宋体" w:cs="宋体"/>
                <w:color w:val="666666"/>
                <w:spacing w:val="-2"/>
                <w:sz w:val="24"/>
                <w:szCs w:val="24"/>
                <w:lang w:val="en-US" w:eastAsia="zh-CN"/>
              </w:rPr>
              <w:t>投标人应具有近三年内（</w:t>
            </w:r>
            <w:r>
              <w:rPr>
                <w:rFonts w:hint="eastAsia" w:ascii="宋体" w:hAnsi="宋体" w:eastAsia="宋体" w:cs="宋体"/>
                <w:color w:val="000000"/>
                <w:spacing w:val="-2"/>
                <w:sz w:val="24"/>
                <w:szCs w:val="24"/>
                <w:lang w:val="en-US" w:eastAsia="zh-CN"/>
              </w:rPr>
              <w:t>2022年8月至今</w:t>
            </w:r>
            <w:r>
              <w:rPr>
                <w:rFonts w:hint="eastAsia" w:ascii="宋体" w:hAnsi="宋体" w:eastAsia="宋体" w:cs="宋体"/>
                <w:color w:val="666666"/>
                <w:spacing w:val="-2"/>
                <w:sz w:val="24"/>
                <w:szCs w:val="24"/>
                <w:lang w:val="en-US" w:eastAsia="zh-CN"/>
              </w:rPr>
              <w:t>）类似项目业绩，每提供一份类似项目业绩得3分，最高得15分。（投标文件须提供相关证明文件，以合同复印件为准，未提供不得分）。</w:t>
            </w:r>
          </w:p>
          <w:p w14:paraId="6B6F7D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4"/>
                <w:szCs w:val="24"/>
              </w:rPr>
            </w:pPr>
            <w:r>
              <w:rPr>
                <w:rFonts w:hint="eastAsia" w:ascii="宋体" w:hAnsi="宋体" w:eastAsia="宋体" w:cs="宋体"/>
                <w:color w:val="666666"/>
                <w:spacing w:val="-2"/>
                <w:sz w:val="24"/>
                <w:szCs w:val="24"/>
                <w:lang w:val="en-US" w:eastAsia="zh-CN"/>
              </w:rPr>
              <w:t>类似项目业绩指：</w:t>
            </w:r>
            <w:r>
              <w:rPr>
                <w:rFonts w:hint="eastAsia" w:ascii="宋体" w:hAnsi="宋体" w:eastAsia="宋体" w:cs="宋体"/>
                <w:color w:val="666666"/>
                <w:spacing w:val="-2"/>
                <w:sz w:val="24"/>
                <w:szCs w:val="24"/>
                <w:u w:val="single"/>
                <w:lang w:val="en-US" w:eastAsia="zh-CN"/>
              </w:rPr>
              <w:t>环保管家类、污水处理设施运营维护类、污染源在线监控设备运营维护类、污泥废液及废液处置类项目业绩。</w:t>
            </w:r>
          </w:p>
        </w:tc>
      </w:tr>
      <w:tr w14:paraId="13EF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4" w:hRule="atLeast"/>
          <w:jc w:val="center"/>
        </w:trPr>
        <w:tc>
          <w:tcPr>
            <w:tcW w:w="1113" w:type="dxa"/>
            <w:vMerge w:val="continue"/>
            <w:shd w:val="clear" w:color="auto" w:fill="FFFFFF"/>
            <w:noWrap w:val="0"/>
            <w:vAlign w:val="center"/>
          </w:tcPr>
          <w:p w14:paraId="1A966F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48" w:type="dxa"/>
            <w:shd w:val="clear" w:color="auto" w:fill="FFFFFF"/>
            <w:noWrap w:val="0"/>
            <w:vAlign w:val="center"/>
          </w:tcPr>
          <w:p w14:paraId="6828BD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color w:val="666666"/>
                <w:position w:val="2"/>
                <w:sz w:val="24"/>
                <w:szCs w:val="24"/>
              </w:rPr>
              <w:t>相关认证</w:t>
            </w:r>
            <w:r>
              <w:rPr>
                <w:rFonts w:hint="eastAsia" w:ascii="宋体" w:hAnsi="宋体" w:eastAsia="宋体" w:cs="宋体"/>
                <w:color w:val="666666"/>
                <w:spacing w:val="-10"/>
                <w:position w:val="2"/>
                <w:sz w:val="24"/>
                <w:szCs w:val="24"/>
              </w:rPr>
              <w:t xml:space="preserve"> </w:t>
            </w:r>
            <w:r>
              <w:rPr>
                <w:rFonts w:hint="eastAsia" w:ascii="宋体" w:hAnsi="宋体" w:eastAsia="宋体" w:cs="宋体"/>
                <w:color w:val="666666"/>
                <w:position w:val="2"/>
                <w:sz w:val="24"/>
                <w:szCs w:val="24"/>
              </w:rPr>
              <w:t>(</w:t>
            </w:r>
            <w:r>
              <w:rPr>
                <w:rFonts w:hint="eastAsia" w:ascii="宋体" w:hAnsi="宋体" w:eastAsia="宋体" w:cs="宋体"/>
                <w:color w:val="666666"/>
                <w:position w:val="2"/>
                <w:sz w:val="24"/>
                <w:szCs w:val="24"/>
                <w:lang w:val="en-US" w:eastAsia="zh-CN"/>
              </w:rPr>
              <w:t>5</w:t>
            </w:r>
            <w:r>
              <w:rPr>
                <w:rFonts w:hint="eastAsia" w:ascii="宋体" w:hAnsi="宋体" w:eastAsia="宋体" w:cs="宋体"/>
                <w:color w:val="666666"/>
                <w:position w:val="2"/>
                <w:sz w:val="24"/>
                <w:szCs w:val="24"/>
              </w:rPr>
              <w:t>.0分)</w:t>
            </w:r>
          </w:p>
        </w:tc>
        <w:tc>
          <w:tcPr>
            <w:tcW w:w="7496" w:type="dxa"/>
            <w:shd w:val="clear" w:color="auto" w:fill="FFFFFF"/>
            <w:noWrap w:val="0"/>
            <w:vAlign w:val="center"/>
          </w:tcPr>
          <w:p w14:paraId="2AAAC4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4"/>
                <w:szCs w:val="24"/>
                <w:lang w:val="en-US"/>
              </w:rPr>
            </w:pPr>
            <w:r>
              <w:rPr>
                <w:rFonts w:hint="eastAsia" w:ascii="宋体" w:hAnsi="宋体" w:eastAsia="宋体" w:cs="宋体"/>
                <w:color w:val="666666"/>
                <w:sz w:val="24"/>
                <w:szCs w:val="24"/>
                <w:lang w:val="en-US" w:eastAsia="zh-CN"/>
              </w:rPr>
              <w:t>投标人具有有效期内的ISO45001职业健康安全管理体系认证证书得2分、IS09001质量管理体系认证证书得1分、IS014001 环境管理体系认证证书得2分，最高得5分。</w:t>
            </w:r>
          </w:p>
        </w:tc>
      </w:tr>
      <w:tr w14:paraId="3E6F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9" w:hRule="atLeast"/>
          <w:jc w:val="center"/>
        </w:trPr>
        <w:tc>
          <w:tcPr>
            <w:tcW w:w="1113" w:type="dxa"/>
            <w:shd w:val="clear" w:color="auto" w:fill="FFFFFF"/>
            <w:noWrap w:val="0"/>
            <w:vAlign w:val="center"/>
          </w:tcPr>
          <w:p w14:paraId="6E8C3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666666"/>
                <w:spacing w:val="-1"/>
                <w:sz w:val="24"/>
                <w:szCs w:val="24"/>
              </w:rPr>
              <w:t>投标报价</w:t>
            </w:r>
          </w:p>
        </w:tc>
        <w:tc>
          <w:tcPr>
            <w:tcW w:w="1548" w:type="dxa"/>
            <w:shd w:val="clear" w:color="auto" w:fill="FFFFFF"/>
            <w:noWrap w:val="0"/>
            <w:vAlign w:val="center"/>
          </w:tcPr>
          <w:p w14:paraId="73CA50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color w:val="666666"/>
                <w:position w:val="2"/>
                <w:sz w:val="24"/>
                <w:szCs w:val="24"/>
              </w:rPr>
              <w:t>投标报价得分</w:t>
            </w:r>
            <w:r>
              <w:rPr>
                <w:rFonts w:hint="eastAsia" w:ascii="宋体" w:hAnsi="宋体" w:eastAsia="宋体" w:cs="宋体"/>
                <w:color w:val="666666"/>
                <w:spacing w:val="-9"/>
                <w:position w:val="2"/>
                <w:sz w:val="24"/>
                <w:szCs w:val="24"/>
              </w:rPr>
              <w:t xml:space="preserve"> </w:t>
            </w:r>
            <w:r>
              <w:rPr>
                <w:rFonts w:hint="eastAsia" w:ascii="宋体" w:hAnsi="宋体" w:eastAsia="宋体" w:cs="宋体"/>
                <w:color w:val="666666"/>
                <w:position w:val="2"/>
                <w:sz w:val="24"/>
                <w:szCs w:val="24"/>
              </w:rPr>
              <w:t>(</w:t>
            </w:r>
            <w:r>
              <w:rPr>
                <w:rFonts w:hint="eastAsia" w:ascii="宋体" w:hAnsi="宋体" w:eastAsia="宋体" w:cs="宋体"/>
                <w:color w:val="666666"/>
                <w:position w:val="2"/>
                <w:sz w:val="24"/>
                <w:szCs w:val="24"/>
                <w:lang w:val="en-US" w:eastAsia="zh-CN"/>
              </w:rPr>
              <w:t>3</w:t>
            </w:r>
            <w:r>
              <w:rPr>
                <w:rFonts w:hint="eastAsia" w:ascii="宋体" w:hAnsi="宋体" w:eastAsia="宋体" w:cs="宋体"/>
                <w:color w:val="666666"/>
                <w:position w:val="2"/>
                <w:sz w:val="24"/>
                <w:szCs w:val="24"/>
              </w:rPr>
              <w:t>0.0分)</w:t>
            </w:r>
          </w:p>
        </w:tc>
        <w:tc>
          <w:tcPr>
            <w:tcW w:w="7496" w:type="dxa"/>
            <w:shd w:val="clear" w:color="auto" w:fill="FFFFFF"/>
            <w:noWrap w:val="0"/>
            <w:vAlign w:val="center"/>
          </w:tcPr>
          <w:p w14:paraId="5A7CE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4"/>
                <w:szCs w:val="24"/>
              </w:rPr>
            </w:pPr>
            <w:r>
              <w:rPr>
                <w:rFonts w:hint="eastAsia" w:ascii="宋体" w:hAnsi="宋体" w:eastAsia="宋体" w:cs="宋体"/>
                <w:color w:val="666666"/>
                <w:spacing w:val="-7"/>
                <w:sz w:val="24"/>
                <w:szCs w:val="24"/>
              </w:rPr>
              <w:t>投标报价得分</w:t>
            </w:r>
            <w:r>
              <w:rPr>
                <w:rFonts w:hint="eastAsia" w:ascii="宋体" w:hAnsi="宋体" w:eastAsia="宋体" w:cs="宋体"/>
                <w:color w:val="666666"/>
                <w:spacing w:val="-1"/>
                <w:sz w:val="24"/>
                <w:szCs w:val="24"/>
              </w:rPr>
              <w:t>＝（</w:t>
            </w:r>
            <w:r>
              <w:rPr>
                <w:rFonts w:hint="eastAsia" w:ascii="宋体" w:hAnsi="宋体" w:eastAsia="宋体" w:cs="宋体"/>
                <w:color w:val="666666"/>
                <w:spacing w:val="-7"/>
                <w:sz w:val="24"/>
                <w:szCs w:val="24"/>
              </w:rPr>
              <w:t>评标基准价/投标报价）×</w:t>
            </w:r>
            <w:r>
              <w:rPr>
                <w:rFonts w:hint="eastAsia" w:ascii="宋体" w:hAnsi="宋体" w:eastAsia="宋体" w:cs="宋体"/>
                <w:color w:val="666666"/>
                <w:spacing w:val="-7"/>
                <w:sz w:val="24"/>
                <w:szCs w:val="24"/>
                <w:lang w:val="en-US" w:eastAsia="zh-CN"/>
              </w:rPr>
              <w:t>30</w:t>
            </w:r>
            <w:r>
              <w:rPr>
                <w:rFonts w:hint="eastAsia" w:ascii="宋体" w:hAnsi="宋体" w:eastAsia="宋体" w:cs="宋体"/>
                <w:color w:val="666666"/>
                <w:spacing w:val="-7"/>
                <w:sz w:val="24"/>
                <w:szCs w:val="24"/>
              </w:rPr>
              <w:t>（注：</w:t>
            </w:r>
            <w:r>
              <w:rPr>
                <w:rFonts w:hint="eastAsia" w:ascii="宋体" w:hAnsi="宋体" w:eastAsia="宋体" w:cs="宋体"/>
                <w:color w:val="666666"/>
                <w:spacing w:val="25"/>
                <w:sz w:val="24"/>
                <w:szCs w:val="24"/>
              </w:rPr>
              <w:t xml:space="preserve"> </w:t>
            </w:r>
            <w:r>
              <w:rPr>
                <w:rFonts w:hint="eastAsia" w:ascii="宋体" w:hAnsi="宋体" w:eastAsia="宋体" w:cs="宋体"/>
                <w:color w:val="666666"/>
                <w:spacing w:val="-7"/>
                <w:sz w:val="24"/>
                <w:szCs w:val="24"/>
              </w:rPr>
              <w:t>满足招标</w:t>
            </w:r>
            <w:r>
              <w:rPr>
                <w:rFonts w:hint="eastAsia" w:ascii="宋体" w:hAnsi="宋体" w:eastAsia="宋体" w:cs="宋体"/>
                <w:color w:val="666666"/>
                <w:spacing w:val="1"/>
                <w:sz w:val="24"/>
                <w:szCs w:val="24"/>
              </w:rPr>
              <w:t>文件要求且投标价格最低的投标报价为评标基准价。）</w:t>
            </w:r>
          </w:p>
        </w:tc>
      </w:tr>
      <w:bookmarkEnd w:id="0"/>
    </w:tbl>
    <w:p w14:paraId="109E7E3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68254E3">
      <w:pPr>
        <w:pStyle w:val="13"/>
        <w:rPr>
          <w:rFonts w:hint="eastAsia" w:ascii="宋体" w:hAnsi="宋体" w:eastAsia="宋体" w:cs="宋体"/>
          <w:b/>
          <w:sz w:val="28"/>
          <w:szCs w:val="28"/>
          <w:lang w:val="en-US" w:eastAsia="zh-CN"/>
        </w:rPr>
      </w:pPr>
    </w:p>
    <w:p w14:paraId="50B204B5">
      <w:pPr>
        <w:pStyle w:val="13"/>
        <w:rPr>
          <w:rFonts w:hint="eastAsia" w:ascii="宋体" w:hAnsi="宋体" w:eastAsia="宋体" w:cs="宋体"/>
          <w:b/>
          <w:sz w:val="28"/>
          <w:szCs w:val="28"/>
          <w:lang w:val="en-US" w:eastAsia="zh-CN"/>
        </w:rPr>
      </w:pPr>
    </w:p>
    <w:p w14:paraId="27AA3A8D">
      <w:pPr>
        <w:pStyle w:val="13"/>
        <w:rPr>
          <w:rFonts w:hint="eastAsia" w:ascii="宋体" w:hAnsi="宋体" w:eastAsia="宋体" w:cs="宋体"/>
          <w:b/>
          <w:sz w:val="28"/>
          <w:szCs w:val="28"/>
          <w:lang w:val="en-US" w:eastAsia="zh-CN"/>
        </w:rPr>
      </w:pPr>
    </w:p>
    <w:p w14:paraId="4924B3F6">
      <w:pPr>
        <w:pStyle w:val="13"/>
        <w:rPr>
          <w:rFonts w:hint="eastAsia" w:ascii="宋体" w:hAnsi="宋体" w:eastAsia="宋体" w:cs="宋体"/>
          <w:b/>
          <w:sz w:val="28"/>
          <w:szCs w:val="28"/>
          <w:lang w:val="en-US" w:eastAsia="zh-CN"/>
        </w:rPr>
      </w:pPr>
    </w:p>
    <w:p w14:paraId="47828250">
      <w:pPr>
        <w:pStyle w:val="13"/>
        <w:rPr>
          <w:rFonts w:hint="eastAsia" w:ascii="宋体" w:hAnsi="宋体" w:eastAsia="宋体" w:cs="宋体"/>
          <w:b/>
          <w:sz w:val="28"/>
          <w:szCs w:val="28"/>
          <w:lang w:val="en-US" w:eastAsia="zh-CN"/>
        </w:rPr>
      </w:pPr>
    </w:p>
    <w:p w14:paraId="66C3B465">
      <w:pPr>
        <w:pStyle w:val="13"/>
        <w:rPr>
          <w:rFonts w:hint="eastAsia" w:ascii="宋体" w:hAnsi="宋体" w:eastAsia="宋体" w:cs="宋体"/>
          <w:b/>
          <w:sz w:val="28"/>
          <w:szCs w:val="28"/>
          <w:lang w:val="en-US" w:eastAsia="zh-CN"/>
        </w:rPr>
      </w:pPr>
    </w:p>
    <w:p w14:paraId="10B2CF18">
      <w:pPr>
        <w:pStyle w:val="13"/>
        <w:rPr>
          <w:rFonts w:hint="eastAsia" w:ascii="宋体" w:hAnsi="宋体" w:eastAsia="宋体" w:cs="宋体"/>
          <w:b/>
          <w:sz w:val="28"/>
          <w:szCs w:val="28"/>
          <w:lang w:val="en-US" w:eastAsia="zh-CN"/>
        </w:rPr>
      </w:pPr>
    </w:p>
    <w:p w14:paraId="1F9462F3">
      <w:pPr>
        <w:pStyle w:val="13"/>
        <w:rPr>
          <w:rFonts w:hint="eastAsia" w:ascii="宋体" w:hAnsi="宋体" w:eastAsia="宋体" w:cs="宋体"/>
          <w:b/>
          <w:sz w:val="28"/>
          <w:szCs w:val="28"/>
          <w:lang w:val="en-US" w:eastAsia="zh-CN"/>
        </w:rPr>
      </w:pPr>
    </w:p>
    <w:p w14:paraId="69D55EEE">
      <w:pPr>
        <w:pStyle w:val="13"/>
        <w:rPr>
          <w:rFonts w:hint="eastAsia" w:ascii="宋体" w:hAnsi="宋体" w:eastAsia="宋体" w:cs="宋体"/>
          <w:b/>
          <w:sz w:val="28"/>
          <w:szCs w:val="28"/>
          <w:lang w:val="en-US" w:eastAsia="zh-CN"/>
        </w:rPr>
      </w:pPr>
    </w:p>
    <w:p w14:paraId="4F4B54FB">
      <w:pPr>
        <w:pStyle w:val="13"/>
        <w:rPr>
          <w:rFonts w:hint="eastAsia" w:ascii="宋体" w:hAnsi="宋体" w:eastAsia="宋体" w:cs="宋体"/>
          <w:b/>
          <w:sz w:val="28"/>
          <w:szCs w:val="28"/>
          <w:lang w:val="en-US" w:eastAsia="zh-CN"/>
        </w:rPr>
      </w:pPr>
    </w:p>
    <w:p w14:paraId="0C93067A">
      <w:pPr>
        <w:pStyle w:val="13"/>
        <w:rPr>
          <w:rFonts w:hint="eastAsia" w:ascii="宋体" w:hAnsi="宋体" w:eastAsia="宋体" w:cs="宋体"/>
          <w:b/>
          <w:sz w:val="28"/>
          <w:szCs w:val="28"/>
          <w:lang w:val="en-US" w:eastAsia="zh-CN"/>
        </w:rPr>
      </w:pPr>
    </w:p>
    <w:p w14:paraId="3E172F9F">
      <w:pPr>
        <w:pStyle w:val="13"/>
        <w:rPr>
          <w:rFonts w:hint="eastAsia" w:ascii="宋体" w:hAnsi="宋体" w:eastAsia="宋体" w:cs="宋体"/>
          <w:b/>
          <w:sz w:val="28"/>
          <w:szCs w:val="28"/>
          <w:lang w:val="en-US" w:eastAsia="zh-CN"/>
        </w:rPr>
      </w:pPr>
    </w:p>
    <w:p w14:paraId="609FE361">
      <w:pPr>
        <w:pStyle w:val="13"/>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1"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1"/>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68686F9A">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10344</Words>
  <Characters>11148</Characters>
  <Lines>0</Lines>
  <Paragraphs>0</Paragraphs>
  <TotalTime>11</TotalTime>
  <ScaleCrop>false</ScaleCrop>
  <LinksUpToDate>false</LinksUpToDate>
  <CharactersWithSpaces>11711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2025-08-11T03:26:09Z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9552BA26B524418882FA4AAB90F15943_13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