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重点学科/专科宣传片拍摄服务项目</w:t>
      </w:r>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2025年8月21日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8739"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2692"/>
        <w:gridCol w:w="962"/>
        <w:gridCol w:w="1125"/>
        <w:gridCol w:w="1609"/>
        <w:gridCol w:w="1381"/>
      </w:tblGrid>
      <w:tr w14:paraId="184D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F289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序号</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F3E4F5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1C2B7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3BB98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数量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61EE3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预算单价</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A149F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预算总价</w:t>
            </w:r>
          </w:p>
        </w:tc>
      </w:tr>
      <w:tr w14:paraId="1E69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C48D6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0C1C2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重点学科/专科宣传片拍摄服务项目</w:t>
            </w:r>
            <w:r>
              <w:rPr>
                <w:rFonts w:hint="eastAsia" w:ascii="宋体" w:hAnsi="宋体" w:eastAsia="宋体" w:cs="宋体"/>
                <w:sz w:val="28"/>
                <w:szCs w:val="28"/>
                <w:u w:val="none"/>
              </w:rPr>
              <w:t> </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5618F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jc w:val="center"/>
              <w:rPr>
                <w:rFonts w:hint="eastAsia" w:eastAsiaTheme="minorEastAsia"/>
                <w:sz w:val="28"/>
                <w:szCs w:val="28"/>
                <w:u w:val="none"/>
                <w:lang w:eastAsia="zh-CN"/>
              </w:rPr>
            </w:pPr>
            <w:r>
              <w:rPr>
                <w:rFonts w:hint="eastAsia" w:ascii="宋体" w:hAnsi="宋体" w:eastAsia="宋体" w:cs="宋体"/>
                <w:sz w:val="28"/>
                <w:szCs w:val="28"/>
                <w:u w:val="none"/>
                <w:lang w:val="en-US" w:eastAsia="zh-CN"/>
              </w:rPr>
              <w:t>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F8B1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val="en-US" w:eastAsia="zh-CN"/>
              </w:rPr>
            </w:pPr>
            <w:r>
              <w:rPr>
                <w:rFonts w:hint="eastAsia" w:ascii="宋体" w:hAnsi="宋体" w:eastAsia="宋体" w:cs="宋体"/>
                <w:sz w:val="28"/>
                <w:szCs w:val="28"/>
                <w:u w:val="none"/>
              </w:rPr>
              <w:t>1</w:t>
            </w:r>
            <w:r>
              <w:rPr>
                <w:rFonts w:hint="eastAsia" w:ascii="宋体" w:hAnsi="宋体" w:eastAsia="宋体" w:cs="宋体"/>
                <w:sz w:val="28"/>
                <w:szCs w:val="28"/>
                <w:u w:val="none"/>
                <w:lang w:val="en-US" w:eastAsia="zh-CN"/>
              </w:rPr>
              <w:t>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A1287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20000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6C2F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320</w:t>
            </w:r>
            <w:r>
              <w:rPr>
                <w:rFonts w:hint="eastAsia" w:ascii="宋体" w:hAnsi="宋体" w:eastAsia="宋体" w:cs="宋体"/>
                <w:sz w:val="28"/>
                <w:szCs w:val="28"/>
                <w:u w:val="none"/>
              </w:rPr>
              <w:t>000</w:t>
            </w:r>
          </w:p>
        </w:tc>
      </w:tr>
      <w:tr w14:paraId="52D3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AFB561">
            <w:pPr>
              <w:keepNext w:val="0"/>
              <w:keepLines w:val="0"/>
              <w:widowControl/>
              <w:suppressLineNumbers w:val="0"/>
              <w:spacing w:before="0" w:beforeAutospacing="0" w:after="0" w:afterAutospacing="0"/>
              <w:ind w:left="0" w:right="0"/>
              <w:jc w:val="center"/>
              <w:rPr>
                <w:sz w:val="28"/>
                <w:szCs w:val="28"/>
                <w:u w:val="none"/>
              </w:rPr>
            </w:pPr>
          </w:p>
        </w:tc>
        <w:tc>
          <w:tcPr>
            <w:tcW w:w="635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75B3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sz w:val="28"/>
                <w:szCs w:val="28"/>
                <w:u w:val="none"/>
              </w:rPr>
            </w:pPr>
            <w:r>
              <w:rPr>
                <w:rFonts w:hint="eastAsia" w:ascii="宋体" w:hAnsi="宋体" w:eastAsia="宋体" w:cs="宋体"/>
                <w:sz w:val="28"/>
                <w:szCs w:val="28"/>
                <w:u w:val="none"/>
              </w:rPr>
              <w:t>总价合计</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5A4F01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320</w:t>
            </w:r>
            <w:r>
              <w:rPr>
                <w:rFonts w:hint="eastAsia" w:ascii="宋体" w:hAnsi="宋体" w:eastAsia="宋体" w:cs="宋体"/>
                <w:sz w:val="28"/>
                <w:szCs w:val="28"/>
                <w:u w:val="none"/>
              </w:rPr>
              <w:t>000</w:t>
            </w:r>
          </w:p>
        </w:tc>
      </w:tr>
      <w:tr w14:paraId="09D4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EAD2F7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CF8D1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交付使用时间</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C255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每个宣传片制作需求提出后60日内交付</w:t>
            </w:r>
          </w:p>
        </w:tc>
      </w:tr>
      <w:tr w14:paraId="26CB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75BB5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DC6F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合同期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74284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1年</w:t>
            </w:r>
          </w:p>
        </w:tc>
      </w:tr>
      <w:tr w14:paraId="3C07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D75EF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0C8A7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付款方式</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5EBA7A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sz w:val="28"/>
                <w:szCs w:val="28"/>
                <w:u w:val="none"/>
              </w:rPr>
            </w:pPr>
            <w:r>
              <w:rPr>
                <w:rFonts w:hint="eastAsia"/>
                <w:sz w:val="28"/>
                <w:szCs w:val="28"/>
                <w:u w:val="none"/>
                <w:lang w:val="en-US" w:eastAsia="zh-CN"/>
              </w:rPr>
              <w:t>根据拍摄数量按月据实结算</w:t>
            </w:r>
          </w:p>
        </w:tc>
      </w:tr>
      <w:tr w14:paraId="2A09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A283C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3C6D1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服务期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733C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服务全流程</w:t>
            </w:r>
          </w:p>
        </w:tc>
      </w:tr>
      <w:tr w14:paraId="2359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FF5A0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540A2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交付地点</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02CAA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A483828">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）项目基本情况介绍</w:t>
      </w:r>
      <w:r>
        <w:rPr>
          <w:rFonts w:hint="eastAsia" w:ascii="宋体" w:hAnsi="宋体" w:eastAsia="宋体"/>
          <w:sz w:val="32"/>
          <w:szCs w:val="32"/>
        </w:rPr>
        <w:t>：</w:t>
      </w:r>
      <w:r>
        <w:rPr>
          <w:rFonts w:hint="eastAsia" w:ascii="仿宋_GB2312" w:hAnsi="仿宋_GB2312" w:eastAsia="仿宋_GB2312" w:cs="仿宋_GB2312"/>
          <w:sz w:val="32"/>
          <w:szCs w:val="32"/>
          <w:u w:val="none"/>
          <w:lang w:val="en-US" w:eastAsia="zh-CN"/>
        </w:rPr>
        <w:t>为加强医院学科/专科建设，拟为消化肿瘤、重症医学、普通外科、肿瘤内科、临床药学、超声医学、放射影像科、神经内科学、肾脏内科学、急诊医学、实验诊断学、医院感染学、骨外科、心血管内科、儿科、妇产科16个重点学科、专科制作学科宣传片，时长3～5分钟/学科，预算2万元/学科，共计32万元。</w:t>
      </w:r>
    </w:p>
    <w:p w14:paraId="263D2737">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）技术参数和要求（功能和质量）</w:t>
      </w:r>
    </w:p>
    <w:tbl>
      <w:tblPr>
        <w:tblStyle w:val="14"/>
        <w:tblW w:w="9353" w:type="dxa"/>
        <w:jc w:val="center"/>
        <w:tblLayout w:type="fixed"/>
        <w:tblCellMar>
          <w:top w:w="0" w:type="dxa"/>
          <w:left w:w="108" w:type="dxa"/>
          <w:bottom w:w="0" w:type="dxa"/>
          <w:right w:w="108" w:type="dxa"/>
        </w:tblCellMar>
      </w:tblPr>
      <w:tblGrid>
        <w:gridCol w:w="833"/>
        <w:gridCol w:w="12"/>
        <w:gridCol w:w="1248"/>
        <w:gridCol w:w="12"/>
        <w:gridCol w:w="7236"/>
        <w:gridCol w:w="1"/>
        <w:gridCol w:w="11"/>
      </w:tblGrid>
      <w:tr w14:paraId="42EC55F6">
        <w:tblPrEx>
          <w:tblCellMar>
            <w:top w:w="0" w:type="dxa"/>
            <w:left w:w="108" w:type="dxa"/>
            <w:bottom w:w="0" w:type="dxa"/>
            <w:right w:w="108" w:type="dxa"/>
          </w:tblCellMar>
        </w:tblPrEx>
        <w:trPr>
          <w:trHeight w:val="454" w:hRule="exac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36C09">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编号</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846E585">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参数性质</w:t>
            </w:r>
          </w:p>
        </w:tc>
        <w:tc>
          <w:tcPr>
            <w:tcW w:w="7248" w:type="dxa"/>
            <w:gridSpan w:val="3"/>
            <w:tcBorders>
              <w:top w:val="single" w:color="auto" w:sz="4" w:space="0"/>
              <w:left w:val="nil"/>
              <w:bottom w:val="single" w:color="auto" w:sz="4" w:space="0"/>
              <w:right w:val="single" w:color="auto" w:sz="4" w:space="0"/>
            </w:tcBorders>
            <w:vAlign w:val="center"/>
          </w:tcPr>
          <w:p w14:paraId="140F4E02">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技术参数和要求</w:t>
            </w:r>
          </w:p>
        </w:tc>
      </w:tr>
      <w:tr w14:paraId="43329CB4">
        <w:tblPrEx>
          <w:tblCellMar>
            <w:top w:w="0" w:type="dxa"/>
            <w:left w:w="108" w:type="dxa"/>
            <w:bottom w:w="0" w:type="dxa"/>
            <w:right w:w="108" w:type="dxa"/>
          </w:tblCellMar>
        </w:tblPrEx>
        <w:trPr>
          <w:trHeight w:val="586"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994ECC">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26213C9">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分辨率</w:t>
            </w:r>
          </w:p>
        </w:tc>
        <w:tc>
          <w:tcPr>
            <w:tcW w:w="7248" w:type="dxa"/>
            <w:gridSpan w:val="3"/>
            <w:tcBorders>
              <w:top w:val="single" w:color="auto" w:sz="4" w:space="0"/>
              <w:left w:val="nil"/>
              <w:bottom w:val="single" w:color="auto" w:sz="4" w:space="0"/>
              <w:right w:val="single" w:color="auto" w:sz="4" w:space="0"/>
            </w:tcBorders>
            <w:vAlign w:val="center"/>
          </w:tcPr>
          <w:p w14:paraId="375C702A">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3840×2160（FullHD，4</w:t>
            </w:r>
            <w:r>
              <w:rPr>
                <w:rFonts w:hint="default"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K</w:t>
            </w: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）；主流高清标准，适配官网、公众号、会议播放等场景。</w:t>
            </w:r>
          </w:p>
        </w:tc>
      </w:tr>
      <w:tr w14:paraId="33354805">
        <w:tblPrEx>
          <w:tblCellMar>
            <w:top w:w="0" w:type="dxa"/>
            <w:left w:w="108" w:type="dxa"/>
            <w:bottom w:w="0" w:type="dxa"/>
            <w:right w:w="108" w:type="dxa"/>
          </w:tblCellMar>
        </w:tblPrEx>
        <w:trPr>
          <w:trHeight w:val="90"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D89186">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FE65EFD">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画幅比例</w:t>
            </w:r>
          </w:p>
        </w:tc>
        <w:tc>
          <w:tcPr>
            <w:tcW w:w="7248" w:type="dxa"/>
            <w:gridSpan w:val="3"/>
            <w:tcBorders>
              <w:top w:val="single" w:color="auto" w:sz="4" w:space="0"/>
              <w:left w:val="nil"/>
              <w:bottom w:val="single" w:color="auto" w:sz="4" w:space="0"/>
              <w:right w:val="single" w:color="auto" w:sz="4" w:space="0"/>
            </w:tcBorders>
            <w:vAlign w:val="center"/>
          </w:tcPr>
          <w:p w14:paraId="7F6F4A43">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16:9（宽屏）；符合现代显示设备（电视、电脑、手机横屏）的主流比例，视觉呈现更舒展。</w:t>
            </w:r>
          </w:p>
        </w:tc>
      </w:tr>
      <w:tr w14:paraId="0A01DCF6">
        <w:tblPrEx>
          <w:tblCellMar>
            <w:top w:w="0" w:type="dxa"/>
            <w:left w:w="108" w:type="dxa"/>
            <w:bottom w:w="0" w:type="dxa"/>
            <w:right w:w="108" w:type="dxa"/>
          </w:tblCellMar>
        </w:tblPrEx>
        <w:trPr>
          <w:trHeight w:val="657"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AE5002">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12AB671">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帧率</w:t>
            </w:r>
          </w:p>
        </w:tc>
        <w:tc>
          <w:tcPr>
            <w:tcW w:w="7248" w:type="dxa"/>
            <w:gridSpan w:val="3"/>
            <w:tcBorders>
              <w:top w:val="single" w:color="auto" w:sz="4" w:space="0"/>
              <w:left w:val="nil"/>
              <w:bottom w:val="single" w:color="auto" w:sz="4" w:space="0"/>
              <w:right w:val="single" w:color="auto" w:sz="4" w:space="0"/>
            </w:tcBorders>
            <w:vAlign w:val="center"/>
          </w:tcPr>
          <w:p w14:paraId="1CC0228E">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25fps（基础）/50fps（动态场景）；满足常规拍摄需求；设备操作、手术动态等快速场景用50fps，后期可做慢动作，提升画面流畅度。</w:t>
            </w:r>
          </w:p>
        </w:tc>
      </w:tr>
      <w:tr w14:paraId="5EED5DD2">
        <w:tblPrEx>
          <w:tblCellMar>
            <w:top w:w="0" w:type="dxa"/>
            <w:left w:w="108" w:type="dxa"/>
            <w:bottom w:w="0" w:type="dxa"/>
            <w:right w:w="108" w:type="dxa"/>
          </w:tblCellMar>
        </w:tblPrEx>
        <w:trPr>
          <w:trHeight w:val="655"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A71FC4">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E28DE33">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编码格式</w:t>
            </w:r>
          </w:p>
        </w:tc>
        <w:tc>
          <w:tcPr>
            <w:tcW w:w="7248" w:type="dxa"/>
            <w:gridSpan w:val="3"/>
            <w:tcBorders>
              <w:top w:val="single" w:color="auto" w:sz="4" w:space="0"/>
              <w:left w:val="nil"/>
              <w:bottom w:val="single" w:color="auto" w:sz="4" w:space="0"/>
              <w:right w:val="single" w:color="auto" w:sz="4" w:space="0"/>
            </w:tcBorders>
            <w:vAlign w:val="center"/>
          </w:tcPr>
          <w:p w14:paraId="742A5659">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H.264（拍摄及交付）；兼容性强，文件体积适中，适合存储、传输及多平台播放。</w:t>
            </w:r>
          </w:p>
        </w:tc>
      </w:tr>
      <w:tr w14:paraId="090297B4">
        <w:tblPrEx>
          <w:tblCellMar>
            <w:top w:w="0" w:type="dxa"/>
            <w:left w:w="108" w:type="dxa"/>
            <w:bottom w:w="0" w:type="dxa"/>
            <w:right w:w="108" w:type="dxa"/>
          </w:tblCellMar>
        </w:tblPrEx>
        <w:trPr>
          <w:trHeight w:val="653"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226BAA">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7B5A702">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色彩空间</w:t>
            </w:r>
          </w:p>
        </w:tc>
        <w:tc>
          <w:tcPr>
            <w:tcW w:w="7248" w:type="dxa"/>
            <w:gridSpan w:val="3"/>
            <w:tcBorders>
              <w:top w:val="single" w:color="auto" w:sz="4" w:space="0"/>
              <w:left w:val="nil"/>
              <w:bottom w:val="single" w:color="auto" w:sz="4" w:space="0"/>
              <w:right w:val="single" w:color="auto" w:sz="4" w:space="0"/>
            </w:tcBorders>
            <w:vAlign w:val="center"/>
          </w:tcPr>
          <w:p w14:paraId="009CD5C3">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Rec.709；高清视频标准色彩空间，保证色彩还原真实（医疗场景需避免色彩失真，如器械、肤色、环境色）。</w:t>
            </w:r>
          </w:p>
        </w:tc>
      </w:tr>
      <w:tr w14:paraId="1033A74D">
        <w:tblPrEx>
          <w:tblCellMar>
            <w:top w:w="0" w:type="dxa"/>
            <w:left w:w="108" w:type="dxa"/>
            <w:bottom w:w="0" w:type="dxa"/>
            <w:right w:w="108" w:type="dxa"/>
          </w:tblCellMar>
        </w:tblPrEx>
        <w:trPr>
          <w:gridAfter w:val="1"/>
          <w:wAfter w:w="11" w:type="dxa"/>
          <w:trHeight w:val="9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70EC7C9">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B83C2EF">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拍摄设备</w:t>
            </w:r>
          </w:p>
        </w:tc>
        <w:tc>
          <w:tcPr>
            <w:tcW w:w="7249" w:type="dxa"/>
            <w:gridSpan w:val="3"/>
            <w:tcBorders>
              <w:top w:val="single" w:color="auto" w:sz="4" w:space="0"/>
              <w:left w:val="nil"/>
              <w:bottom w:val="single" w:color="auto" w:sz="4" w:space="0"/>
              <w:right w:val="single" w:color="auto" w:sz="4" w:space="0"/>
            </w:tcBorders>
            <w:vAlign w:val="center"/>
          </w:tcPr>
          <w:p w14:paraId="349437B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乙方拥有索尼FX6、FX3、FS7、FS5、A7S系列电影级4K（及以上）摄影机、大疆悟和御系列无人机及专业运动相机，配套索尼各焦段（定焦和变焦）大师镜头；</w:t>
            </w:r>
          </w:p>
        </w:tc>
      </w:tr>
      <w:tr w14:paraId="20C45E14">
        <w:tblPrEx>
          <w:tblCellMar>
            <w:top w:w="0" w:type="dxa"/>
            <w:left w:w="108" w:type="dxa"/>
            <w:bottom w:w="0" w:type="dxa"/>
            <w:right w:w="108" w:type="dxa"/>
          </w:tblCellMar>
        </w:tblPrEx>
        <w:trPr>
          <w:gridAfter w:val="1"/>
          <w:wAfter w:w="11" w:type="dxa"/>
          <w:trHeight w:val="454" w:hRule="exac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99FD255">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E53724A">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灯光设备</w:t>
            </w:r>
          </w:p>
        </w:tc>
        <w:tc>
          <w:tcPr>
            <w:tcW w:w="7249" w:type="dxa"/>
            <w:gridSpan w:val="3"/>
            <w:tcBorders>
              <w:top w:val="single" w:color="auto" w:sz="4" w:space="0"/>
              <w:left w:val="nil"/>
              <w:bottom w:val="single" w:color="auto" w:sz="4" w:space="0"/>
              <w:right w:val="single" w:color="auto" w:sz="4" w:space="0"/>
            </w:tcBorders>
            <w:vAlign w:val="center"/>
          </w:tcPr>
          <w:p w14:paraId="3210C2C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乙方自有南光、锐鹰系列高低功率影视灯光设备；</w:t>
            </w:r>
          </w:p>
        </w:tc>
      </w:tr>
      <w:tr w14:paraId="6DABA29F">
        <w:tblPrEx>
          <w:tblCellMar>
            <w:top w:w="0" w:type="dxa"/>
            <w:left w:w="108" w:type="dxa"/>
            <w:bottom w:w="0" w:type="dxa"/>
            <w:right w:w="108" w:type="dxa"/>
          </w:tblCellMar>
        </w:tblPrEx>
        <w:trPr>
          <w:gridAfter w:val="1"/>
          <w:wAfter w:w="11" w:type="dxa"/>
          <w:trHeight w:val="454" w:hRule="exac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5F12F005">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3B3D9FF">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收音设备</w:t>
            </w:r>
          </w:p>
        </w:tc>
        <w:tc>
          <w:tcPr>
            <w:tcW w:w="7249" w:type="dxa"/>
            <w:gridSpan w:val="3"/>
            <w:tcBorders>
              <w:top w:val="single" w:color="auto" w:sz="4" w:space="0"/>
              <w:left w:val="nil"/>
              <w:bottom w:val="single" w:color="auto" w:sz="4" w:space="0"/>
              <w:right w:val="single" w:color="auto" w:sz="4" w:space="0"/>
            </w:tcBorders>
            <w:vAlign w:val="center"/>
          </w:tcPr>
          <w:p w14:paraId="5A5EA43F">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乙方拥有罗德、索尼、森海塞尔等影视专业收录音设备；</w:t>
            </w:r>
          </w:p>
        </w:tc>
      </w:tr>
      <w:tr w14:paraId="1343E0A8">
        <w:tblPrEx>
          <w:tblCellMar>
            <w:top w:w="0" w:type="dxa"/>
            <w:left w:w="108" w:type="dxa"/>
            <w:bottom w:w="0" w:type="dxa"/>
            <w:right w:w="108" w:type="dxa"/>
          </w:tblCellMar>
        </w:tblPrEx>
        <w:trPr>
          <w:gridAfter w:val="1"/>
          <w:wAfter w:w="11" w:type="dxa"/>
          <w:trHeight w:val="737"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D25633C">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CD9C97">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后期软件</w:t>
            </w:r>
          </w:p>
        </w:tc>
        <w:tc>
          <w:tcPr>
            <w:tcW w:w="7249" w:type="dxa"/>
            <w:gridSpan w:val="3"/>
            <w:tcBorders>
              <w:top w:val="single" w:color="auto" w:sz="4" w:space="0"/>
              <w:left w:val="nil"/>
              <w:bottom w:val="single" w:color="auto" w:sz="4" w:space="0"/>
              <w:right w:val="single" w:color="auto" w:sz="4" w:space="0"/>
            </w:tcBorders>
            <w:vAlign w:val="center"/>
          </w:tcPr>
          <w:p w14:paraId="5E44245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乙方需拥有并熟练操作ADOBE系列（PR、AE、AU、AI、PS等）、FINALCUT PRO、DAVINCI RESOLVE STUDIO等视频剪辑、包装、音频处理软件。</w:t>
            </w:r>
          </w:p>
        </w:tc>
      </w:tr>
      <w:tr w14:paraId="1B239C54">
        <w:tblPrEx>
          <w:tblCellMar>
            <w:top w:w="0" w:type="dxa"/>
            <w:left w:w="108" w:type="dxa"/>
            <w:bottom w:w="0" w:type="dxa"/>
            <w:right w:w="108" w:type="dxa"/>
          </w:tblCellMar>
        </w:tblPrEx>
        <w:trPr>
          <w:gridAfter w:val="2"/>
          <w:wAfter w:w="12" w:type="dxa"/>
          <w:trHeight w:val="32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5E1AB9F1">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272" w:type="dxa"/>
            <w:gridSpan w:val="3"/>
            <w:tcBorders>
              <w:top w:val="single" w:color="auto" w:sz="4" w:space="0"/>
              <w:left w:val="single" w:color="auto" w:sz="4" w:space="0"/>
              <w:bottom w:val="single" w:color="auto" w:sz="4" w:space="0"/>
              <w:right w:val="single" w:color="auto" w:sz="4" w:space="0"/>
            </w:tcBorders>
            <w:vAlign w:val="center"/>
          </w:tcPr>
          <w:p w14:paraId="7A5D07B6">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7236" w:type="dxa"/>
            <w:tcBorders>
              <w:top w:val="single" w:color="auto" w:sz="4" w:space="0"/>
              <w:left w:val="nil"/>
              <w:bottom w:val="single" w:color="auto" w:sz="4" w:space="0"/>
              <w:right w:val="single" w:color="auto" w:sz="4" w:space="0"/>
            </w:tcBorders>
            <w:vAlign w:val="center"/>
          </w:tcPr>
          <w:p w14:paraId="6572DAC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lang w:eastAsia="zh-CN"/>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乙方公司拥有《广播电视节目制作经营许可证》等证件，营业范围需有影视制作相关内容。</w:t>
            </w:r>
          </w:p>
        </w:tc>
      </w:tr>
      <w:tr w14:paraId="37D7F21C">
        <w:tblPrEx>
          <w:tblCellMar>
            <w:top w:w="0" w:type="dxa"/>
            <w:left w:w="108" w:type="dxa"/>
            <w:bottom w:w="0" w:type="dxa"/>
            <w:right w:w="108" w:type="dxa"/>
          </w:tblCellMar>
        </w:tblPrEx>
        <w:trPr>
          <w:gridAfter w:val="2"/>
          <w:wAfter w:w="12" w:type="dxa"/>
          <w:trHeight w:val="63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09BFDD0F">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1272" w:type="dxa"/>
            <w:gridSpan w:val="3"/>
            <w:tcBorders>
              <w:top w:val="single" w:color="auto" w:sz="4" w:space="0"/>
              <w:left w:val="single" w:color="auto" w:sz="4" w:space="0"/>
              <w:bottom w:val="single" w:color="auto" w:sz="4" w:space="0"/>
              <w:right w:val="single" w:color="auto" w:sz="4" w:space="0"/>
            </w:tcBorders>
            <w:vAlign w:val="center"/>
          </w:tcPr>
          <w:p w14:paraId="56C527F8">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企业要求</w:t>
            </w:r>
          </w:p>
        </w:tc>
        <w:tc>
          <w:tcPr>
            <w:tcW w:w="7236" w:type="dxa"/>
            <w:tcBorders>
              <w:top w:val="single" w:color="auto" w:sz="4" w:space="0"/>
              <w:left w:val="nil"/>
              <w:bottom w:val="single" w:color="auto" w:sz="4" w:space="0"/>
              <w:right w:val="single" w:color="auto" w:sz="4" w:space="0"/>
            </w:tcBorders>
            <w:vAlign w:val="center"/>
          </w:tcPr>
          <w:p w14:paraId="0337537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乙方公司需正常为员工缴纳五险一金并提供相关证明资料；熟悉甲方基本情况和企业文化。</w:t>
            </w:r>
          </w:p>
        </w:tc>
      </w:tr>
      <w:tr w14:paraId="2D7B131C">
        <w:tblPrEx>
          <w:tblCellMar>
            <w:top w:w="0" w:type="dxa"/>
            <w:left w:w="108" w:type="dxa"/>
            <w:bottom w:w="0" w:type="dxa"/>
            <w:right w:w="108" w:type="dxa"/>
          </w:tblCellMar>
        </w:tblPrEx>
        <w:trPr>
          <w:gridAfter w:val="2"/>
          <w:wAfter w:w="12" w:type="dxa"/>
          <w:trHeight w:val="47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04D59371">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72" w:type="dxa"/>
            <w:gridSpan w:val="3"/>
            <w:tcBorders>
              <w:top w:val="single" w:color="auto" w:sz="4" w:space="0"/>
              <w:left w:val="single" w:color="auto" w:sz="4" w:space="0"/>
              <w:bottom w:val="single" w:color="auto" w:sz="4" w:space="0"/>
              <w:right w:val="single" w:color="auto" w:sz="4" w:space="0"/>
            </w:tcBorders>
            <w:vAlign w:val="center"/>
          </w:tcPr>
          <w:p w14:paraId="67123818">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tc>
        <w:tc>
          <w:tcPr>
            <w:tcW w:w="7236" w:type="dxa"/>
            <w:tcBorders>
              <w:top w:val="single" w:color="auto" w:sz="4" w:space="0"/>
              <w:left w:val="nil"/>
              <w:bottom w:val="single" w:color="auto" w:sz="4" w:space="0"/>
              <w:right w:val="single" w:color="auto" w:sz="4" w:space="0"/>
            </w:tcBorders>
            <w:vAlign w:val="center"/>
          </w:tcPr>
          <w:p w14:paraId="67A8309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2年内免费存储素材，每学科提供3次免费修改和紧急补拍服务。</w:t>
            </w:r>
          </w:p>
        </w:tc>
      </w:tr>
    </w:tbl>
    <w:p w14:paraId="1E0D926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B6646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5FC989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B5E6E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7DE04C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D135D0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F41378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19473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707E4D7">
      <w:pPr>
        <w:spacing w:line="360" w:lineRule="auto"/>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表2 综合评审表</w:t>
      </w:r>
    </w:p>
    <w:tbl>
      <w:tblPr>
        <w:tblStyle w:val="14"/>
        <w:tblW w:w="10119" w:type="dxa"/>
        <w:tblInd w:w="-5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0"/>
        <w:gridCol w:w="1240"/>
        <w:gridCol w:w="7379"/>
      </w:tblGrid>
      <w:tr w14:paraId="2618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D2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总分：100分 = 价格分（20分） + 商务部分（30分） + 技术部分（40分）</w:t>
            </w:r>
          </w:p>
        </w:tc>
      </w:tr>
      <w:tr w14:paraId="2ACD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D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B4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B4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评审标准</w:t>
            </w:r>
          </w:p>
        </w:tc>
      </w:tr>
      <w:tr w14:paraId="4380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C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价格部分（20分）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0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（20分）</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0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投标人报价得分=（最低有效投标报价/有效投标报价）×20</w:t>
            </w:r>
          </w:p>
        </w:tc>
      </w:tr>
      <w:tr w14:paraId="1A8D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14:paraId="0E008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商务部分（30分）</w:t>
            </w:r>
          </w:p>
        </w:tc>
        <w:tc>
          <w:tcPr>
            <w:tcW w:w="1240" w:type="dxa"/>
            <w:vMerge w:val="restart"/>
            <w:tcBorders>
              <w:top w:val="single" w:color="000000" w:sz="4" w:space="0"/>
              <w:left w:val="single" w:color="000000" w:sz="4" w:space="0"/>
              <w:bottom w:val="nil"/>
              <w:right w:val="single" w:color="000000" w:sz="4" w:space="0"/>
            </w:tcBorders>
            <w:shd w:val="clear" w:color="auto" w:fill="auto"/>
            <w:vAlign w:val="center"/>
          </w:tcPr>
          <w:p w14:paraId="50F78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（13分）</w:t>
            </w:r>
          </w:p>
        </w:tc>
        <w:tc>
          <w:tcPr>
            <w:tcW w:w="7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17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1.投标人提供为本公司职工缴纳五险一金的证明材料，每提供1人得2分，最高得10分，不提供得0分。（以投标人提供的的近一年社保缴纳证明为评审依据）</w:t>
            </w:r>
          </w:p>
        </w:tc>
      </w:tr>
      <w:tr w14:paraId="3F8F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0C290770">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14:paraId="34C9C6A4">
            <w:pPr>
              <w:jc w:val="center"/>
              <w:rPr>
                <w:rFonts w:hint="eastAsia" w:ascii="宋体" w:hAnsi="宋体" w:eastAsia="宋体" w:cs="宋体"/>
                <w:i w:val="0"/>
                <w:iCs w:val="0"/>
                <w:color w:val="000000"/>
                <w:sz w:val="20"/>
                <w:szCs w:val="20"/>
                <w:u w:val="none"/>
              </w:rPr>
            </w:pPr>
          </w:p>
        </w:tc>
        <w:tc>
          <w:tcPr>
            <w:tcW w:w="7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98EE">
            <w:pPr>
              <w:jc w:val="left"/>
              <w:rPr>
                <w:rFonts w:hint="eastAsia" w:ascii="宋体" w:hAnsi="宋体" w:eastAsia="宋体" w:cs="宋体"/>
                <w:i w:val="0"/>
                <w:iCs w:val="0"/>
                <w:color w:val="000000"/>
                <w:sz w:val="20"/>
                <w:szCs w:val="20"/>
                <w:u w:val="none"/>
              </w:rPr>
            </w:pPr>
          </w:p>
        </w:tc>
      </w:tr>
      <w:tr w14:paraId="36DA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656D8D8F">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nil"/>
              <w:right w:val="single" w:color="000000" w:sz="4" w:space="0"/>
            </w:tcBorders>
            <w:shd w:val="clear" w:color="auto" w:fill="auto"/>
            <w:vAlign w:val="center"/>
          </w:tcPr>
          <w:p w14:paraId="377FF4E3">
            <w:pPr>
              <w:jc w:val="center"/>
              <w:rPr>
                <w:rFonts w:hint="eastAsia" w:ascii="宋体" w:hAnsi="宋体" w:eastAsia="宋体" w:cs="宋体"/>
                <w:i w:val="0"/>
                <w:iCs w:val="0"/>
                <w:color w:val="000000"/>
                <w:sz w:val="20"/>
                <w:szCs w:val="20"/>
                <w:u w:val="none"/>
              </w:rPr>
            </w:pP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1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2.投标人具有有效的《广播电视节目制作经营许可证》（有证书得3分，不提供得0分）</w:t>
            </w:r>
          </w:p>
        </w:tc>
      </w:tr>
      <w:tr w14:paraId="5079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39C10C7D">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C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业绩（15分）</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投标人须提供2022年8月1日至今完成的宣传视频类项目业绩，要求时间以合同签订时间为准，投标文件中附有其业绩证明材料，业绩以投标人的销售或服务合同为依据，每提供一个计5分，满分15分。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注：业绩中甲乙双方签章、合同签订时间、合同金额和设备名称必须清晰，否则不予评分。</w:t>
            </w:r>
          </w:p>
        </w:tc>
      </w:tr>
      <w:tr w14:paraId="7684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500" w:type="dxa"/>
            <w:tcBorders>
              <w:top w:val="nil"/>
              <w:left w:val="single" w:color="000000" w:sz="4" w:space="0"/>
              <w:bottom w:val="nil"/>
              <w:right w:val="single" w:color="000000" w:sz="4" w:space="0"/>
            </w:tcBorders>
            <w:shd w:val="clear" w:color="auto" w:fill="auto"/>
            <w:vAlign w:val="center"/>
          </w:tcPr>
          <w:p w14:paraId="2377D22E">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nil"/>
              <w:right w:val="single" w:color="000000" w:sz="4" w:space="0"/>
            </w:tcBorders>
            <w:shd w:val="clear" w:color="auto" w:fill="auto"/>
            <w:vAlign w:val="center"/>
          </w:tcPr>
          <w:p w14:paraId="6A418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服务保障（2分）</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0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投标人针对院方修改和紧急补拍需要进行服务承诺：承诺响应时间小于等于24小时，得2分；承诺响应时间大于24小时，得1分；不承诺不得分。</w:t>
            </w:r>
          </w:p>
        </w:tc>
      </w:tr>
      <w:tr w14:paraId="46A8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46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技术部分（50分）</w:t>
            </w:r>
          </w:p>
        </w:tc>
        <w:tc>
          <w:tcPr>
            <w:tcW w:w="1240" w:type="dxa"/>
            <w:tcBorders>
              <w:top w:val="single" w:color="000000" w:sz="4" w:space="0"/>
              <w:left w:val="single" w:color="000000" w:sz="4" w:space="0"/>
              <w:bottom w:val="nil"/>
              <w:right w:val="single" w:color="000000" w:sz="4" w:space="0"/>
            </w:tcBorders>
            <w:shd w:val="clear" w:color="auto" w:fill="auto"/>
            <w:vAlign w:val="center"/>
          </w:tcPr>
          <w:p w14:paraId="68E7E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策划方案（15分）</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9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投标人提供针对本项目的策划方案，方案能精准结合医疗行业特征、学科特色，有独特创意和清晰叙事逻辑。凡提供方案者得基础分12分，在此基础上：                                                         方案能很好结合医疗行业特征、学科特色，创意和叙事逻辑好，得3分；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方案基本能结合医疗行业特征、学科特色，创意和叙事逻辑一般，得2分；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方案对医疗行业特征、学科特色体现不足，创意和叙事逻辑欠佳，得1分；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不提供不得分。</w:t>
            </w:r>
          </w:p>
        </w:tc>
      </w:tr>
      <w:tr w14:paraId="7752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6D69E">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2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交付计划（5分）</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B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针对本项目制定分学科的详细交付节点，确保每个学科宣传片按时且高质量交付。凡提供计划者得基础分2分。在此基础上：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有整体交付计划，能保障全部学科宣传片按时交付，得3分；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交付计划较简单，存在少量延期风险，得2分；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交付计划模糊，延期风险较大，得1分；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不提供不得分。</w:t>
            </w:r>
          </w:p>
        </w:tc>
      </w:tr>
      <w:tr w14:paraId="4DB3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B8279">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nil"/>
              <w:right w:val="single" w:color="000000" w:sz="4" w:space="0"/>
            </w:tcBorders>
            <w:shd w:val="clear" w:color="auto" w:fill="auto"/>
            <w:vAlign w:val="center"/>
          </w:tcPr>
          <w:p w14:paraId="3DF37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设备匹配度、技术参数保障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（5分）</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本项目需采用索尼FX6/FX3/FS7/FS5/A7S系列+大疆无人机+运动相机等4K及以上高清拍摄设备、南光/锐鹰灯光+罗德/索尼/森海塞尔等收音设备，Adobe系列/FCP/DaVinci Resolve等后期制作技术成熟，完全满足4K分辨率、60fps动态拍摄等硬性要求。凡提供承诺者得基础分2分；在此基础上承诺：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能完全满足的，得3分；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能大部分满足的，得2分；</w:t>
            </w:r>
            <w:r>
              <w:rPr>
                <w:rStyle w:val="27"/>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能小部分满足的，得1分。                                                  不能满足的，不得分。</w:t>
            </w:r>
          </w:p>
        </w:tc>
      </w:tr>
      <w:tr w14:paraId="4DED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4196">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nil"/>
              <w:right w:val="single" w:color="000000" w:sz="4" w:space="0"/>
            </w:tcBorders>
            <w:shd w:val="clear" w:color="auto" w:fill="auto"/>
            <w:vAlign w:val="center"/>
          </w:tcPr>
          <w:p w14:paraId="147C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团队资质（10分）</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E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项目核心成员(导演、摄影师、剪辑师)需全部满足最低从业年限(≥2年)方可获得基础分4分，任一成员不满足则基础分为零。在此基础上，每拥有一名从业年限&gt;5年的成员，加2分，该项最多得6分。(需提供劳动合同、社保记录或作品证明等材料)”。</w:t>
            </w:r>
            <w:bookmarkStart w:id="1" w:name="_GoBack"/>
            <w:bookmarkEnd w:id="1"/>
          </w:p>
        </w:tc>
      </w:tr>
      <w:tr w14:paraId="55EF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E90DE">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F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项目人员配备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（15分）</w:t>
            </w:r>
          </w:p>
        </w:tc>
        <w:tc>
          <w:tcPr>
            <w:tcW w:w="7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7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需固定配备导演、编剧、摄影、剪辑4类不同岗位的工作人员,且4人需分别提供对应资质证明复印件(即导演需提供导演资格证、编剧需提供编剧资格证、摄影需提供摄像/摄影师资格证、剪辑需提供后期制作职业资格证)。上述4类人员及对应资质齐全的，得12分（未全部提供者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在此基础上，每额外增加1名具备对应岗位资质(需提供资质证明复印件)的工作人员，加1分，本项累计加分不超过3分。(新增人员需明确岗位归属，如第二编剧、副导演等)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上述所有，同一人员不得重复计入不同岗位</w:t>
            </w:r>
          </w:p>
        </w:tc>
      </w:tr>
    </w:tbl>
    <w:p w14:paraId="109E7E3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68254E3">
      <w:pPr>
        <w:pStyle w:val="13"/>
        <w:rPr>
          <w:rFonts w:hint="eastAsia" w:ascii="宋体" w:hAnsi="宋体" w:eastAsia="宋体" w:cs="宋体"/>
          <w:b/>
          <w:sz w:val="28"/>
          <w:szCs w:val="28"/>
          <w:lang w:val="en-US" w:eastAsia="zh-CN"/>
        </w:rPr>
      </w:pPr>
    </w:p>
    <w:p w14:paraId="50B204B5">
      <w:pPr>
        <w:pStyle w:val="13"/>
        <w:rPr>
          <w:rFonts w:hint="eastAsia" w:ascii="宋体" w:hAnsi="宋体" w:eastAsia="宋体" w:cs="宋体"/>
          <w:b/>
          <w:sz w:val="28"/>
          <w:szCs w:val="28"/>
          <w:lang w:val="en-US" w:eastAsia="zh-CN"/>
        </w:rPr>
      </w:pPr>
    </w:p>
    <w:p w14:paraId="27AA3A8D">
      <w:pPr>
        <w:pStyle w:val="13"/>
        <w:rPr>
          <w:rFonts w:hint="eastAsia" w:ascii="宋体" w:hAnsi="宋体" w:eastAsia="宋体" w:cs="宋体"/>
          <w:b/>
          <w:sz w:val="28"/>
          <w:szCs w:val="28"/>
          <w:lang w:val="en-US" w:eastAsia="zh-CN"/>
        </w:rPr>
      </w:pPr>
    </w:p>
    <w:p w14:paraId="4924B3F6">
      <w:pPr>
        <w:pStyle w:val="13"/>
        <w:rPr>
          <w:rFonts w:hint="eastAsia" w:ascii="宋体" w:hAnsi="宋体" w:eastAsia="宋体" w:cs="宋体"/>
          <w:b/>
          <w:sz w:val="28"/>
          <w:szCs w:val="28"/>
          <w:lang w:val="en-US" w:eastAsia="zh-CN"/>
        </w:rPr>
      </w:pPr>
    </w:p>
    <w:p w14:paraId="47828250">
      <w:pPr>
        <w:pStyle w:val="13"/>
        <w:rPr>
          <w:rFonts w:hint="eastAsia" w:ascii="宋体" w:hAnsi="宋体" w:eastAsia="宋体" w:cs="宋体"/>
          <w:b/>
          <w:sz w:val="28"/>
          <w:szCs w:val="28"/>
          <w:lang w:val="en-US" w:eastAsia="zh-CN"/>
        </w:rPr>
      </w:pPr>
    </w:p>
    <w:p w14:paraId="66C3B465">
      <w:pPr>
        <w:pStyle w:val="13"/>
        <w:rPr>
          <w:rFonts w:hint="eastAsia" w:ascii="宋体" w:hAnsi="宋体" w:eastAsia="宋体" w:cs="宋体"/>
          <w:b/>
          <w:sz w:val="28"/>
          <w:szCs w:val="28"/>
          <w:lang w:val="en-US" w:eastAsia="zh-CN"/>
        </w:rPr>
      </w:pPr>
    </w:p>
    <w:p w14:paraId="10B2CF18">
      <w:pPr>
        <w:pStyle w:val="13"/>
        <w:rPr>
          <w:rFonts w:hint="eastAsia" w:ascii="宋体" w:hAnsi="宋体" w:eastAsia="宋体" w:cs="宋体"/>
          <w:b/>
          <w:sz w:val="28"/>
          <w:szCs w:val="28"/>
          <w:lang w:val="en-US" w:eastAsia="zh-CN"/>
        </w:rPr>
      </w:pPr>
    </w:p>
    <w:p w14:paraId="1F9462F3">
      <w:pPr>
        <w:pStyle w:val="13"/>
        <w:rPr>
          <w:rFonts w:hint="eastAsia" w:ascii="宋体" w:hAnsi="宋体" w:eastAsia="宋体" w:cs="宋体"/>
          <w:b/>
          <w:sz w:val="28"/>
          <w:szCs w:val="28"/>
          <w:lang w:val="en-US" w:eastAsia="zh-CN"/>
        </w:rPr>
      </w:pPr>
    </w:p>
    <w:p w14:paraId="69D55EEE">
      <w:pPr>
        <w:pStyle w:val="13"/>
        <w:rPr>
          <w:rFonts w:hint="eastAsia" w:ascii="宋体" w:hAnsi="宋体" w:eastAsia="宋体" w:cs="宋体"/>
          <w:b/>
          <w:sz w:val="28"/>
          <w:szCs w:val="28"/>
          <w:lang w:val="en-US" w:eastAsia="zh-CN"/>
        </w:rPr>
      </w:pPr>
    </w:p>
    <w:p w14:paraId="4F4B54FB">
      <w:pPr>
        <w:pStyle w:val="13"/>
        <w:rPr>
          <w:rFonts w:hint="eastAsia" w:ascii="宋体" w:hAnsi="宋体" w:eastAsia="宋体" w:cs="宋体"/>
          <w:b/>
          <w:sz w:val="28"/>
          <w:szCs w:val="28"/>
          <w:lang w:val="en-US" w:eastAsia="zh-CN"/>
        </w:rPr>
      </w:pPr>
    </w:p>
    <w:p w14:paraId="0C93067A">
      <w:pPr>
        <w:pStyle w:val="13"/>
        <w:rPr>
          <w:rFonts w:hint="eastAsia" w:ascii="宋体" w:hAnsi="宋体" w:eastAsia="宋体" w:cs="宋体"/>
          <w:b/>
          <w:sz w:val="28"/>
          <w:szCs w:val="28"/>
          <w:lang w:val="en-US" w:eastAsia="zh-CN"/>
        </w:rPr>
      </w:pPr>
    </w:p>
    <w:p w14:paraId="3E172F9F">
      <w:pPr>
        <w:pStyle w:val="13"/>
        <w:rPr>
          <w:rFonts w:hint="eastAsia" w:ascii="宋体" w:hAnsi="宋体" w:eastAsia="宋体" w:cs="宋体"/>
          <w:b/>
          <w:sz w:val="28"/>
          <w:szCs w:val="28"/>
          <w:lang w:val="en-US" w:eastAsia="zh-CN"/>
        </w:rPr>
      </w:pPr>
    </w:p>
    <w:p w14:paraId="609FE361">
      <w:pPr>
        <w:pStyle w:val="13"/>
        <w:rPr>
          <w:rFonts w:hint="eastAsia" w:ascii="宋体" w:hAnsi="宋体" w:eastAsia="宋体" w:cs="宋体"/>
          <w:b/>
          <w:sz w:val="28"/>
          <w:szCs w:val="28"/>
          <w:lang w:val="en-US" w:eastAsia="zh-CN"/>
        </w:rPr>
      </w:pPr>
    </w:p>
    <w:p w14:paraId="798E5F9B">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综合评审表所有要求内容..</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68686F9A">
      <w:pPr>
        <w:pStyle w:val="4"/>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十四、综合评审表所有要求内容</w:t>
      </w: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A281989"/>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646356"/>
    <w:rsid w:val="378A70E6"/>
    <w:rsid w:val="37FC75FC"/>
    <w:rsid w:val="383D56F7"/>
    <w:rsid w:val="393C0F46"/>
    <w:rsid w:val="3E650D1D"/>
    <w:rsid w:val="3E9002A8"/>
    <w:rsid w:val="3F552A03"/>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51"/>
    <w:basedOn w:val="1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90</Words>
  <Characters>104</Characters>
  <Lines>0</Lines>
  <Paragraphs>0</Paragraphs>
  <TotalTime>7</TotalTime>
  <ScaleCrop>false</ScaleCrop>
  <LinksUpToDate>false</LinksUpToDate>
  <CharactersWithSpaces>164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2025-08-21T01:55:06Z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CC9987C8075147AD9786C8FF4F2A690B_13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