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8"/>
        <w:rPr>
          <w:rFonts w:hint="eastAsia"/>
          <w:lang w:val="en-US" w:eastAsia="zh-CN"/>
        </w:rPr>
      </w:pPr>
    </w:p>
    <w:p w14:paraId="573D04A4">
      <w:pPr>
        <w:rPr>
          <w:rFonts w:hint="eastAsia"/>
          <w:lang w:val="en-US" w:eastAsia="zh-CN"/>
        </w:rPr>
      </w:pPr>
    </w:p>
    <w:p w14:paraId="40D4F4C5">
      <w:pPr>
        <w:numPr>
          <w:ilvl w:val="0"/>
          <w:numId w:val="0"/>
        </w:numPr>
        <w:jc w:val="center"/>
        <w:rPr>
          <w:rFonts w:hint="eastAsia" w:ascii="微软雅黑" w:hAnsi="微软雅黑" w:eastAsia="微软雅黑" w:cs="微软雅黑"/>
          <w:b/>
          <w:bCs/>
          <w:sz w:val="36"/>
          <w:szCs w:val="36"/>
          <w:lang w:val="en-US" w:eastAsia="zh-CN"/>
        </w:rPr>
      </w:pPr>
    </w:p>
    <w:p w14:paraId="710D3972">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东胜部超声科介入室改造项目</w:t>
      </w: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2025年9月4日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一、商务条款                               货币单位：元</w:t>
      </w:r>
    </w:p>
    <w:tbl>
      <w:tblPr>
        <w:tblStyle w:val="14"/>
        <w:tblW w:w="8739"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0"/>
        <w:gridCol w:w="2692"/>
        <w:gridCol w:w="962"/>
        <w:gridCol w:w="1125"/>
        <w:gridCol w:w="1609"/>
        <w:gridCol w:w="1381"/>
      </w:tblGrid>
      <w:tr w14:paraId="1529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B6A749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序号</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41C195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名称</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ECF0B11">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74679E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数量</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A009D7B">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预算单价</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C28F25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预算总价</w:t>
            </w:r>
          </w:p>
        </w:tc>
      </w:tr>
      <w:tr w14:paraId="4AEA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6"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35E8D1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1</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A834FF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东胜部超声科介入室改造项目</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AD1ED3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
              <w:jc w:val="center"/>
              <w:rPr>
                <w:rFonts w:hint="eastAsia" w:eastAsiaTheme="minorEastAsia"/>
                <w:sz w:val="28"/>
                <w:szCs w:val="28"/>
                <w:u w:val="none"/>
                <w:lang w:eastAsia="zh-CN"/>
              </w:rPr>
            </w:pPr>
            <w:r>
              <w:rPr>
                <w:rFonts w:hint="eastAsia" w:ascii="宋体" w:hAnsi="宋体" w:eastAsia="宋体" w:cs="宋体"/>
                <w:sz w:val="28"/>
                <w:szCs w:val="28"/>
                <w:u w:val="none"/>
                <w:lang w:val="en-US" w:eastAsia="zh-CN"/>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9E0511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8"/>
                <w:szCs w:val="28"/>
                <w:u w:val="none"/>
                <w:lang w:val="en-US" w:eastAsia="zh-CN"/>
              </w:rPr>
            </w:pPr>
            <w:r>
              <w:rPr>
                <w:rFonts w:hint="eastAsia" w:ascii="宋体" w:hAnsi="宋体" w:eastAsia="宋体" w:cs="宋体"/>
                <w:sz w:val="28"/>
                <w:szCs w:val="28"/>
                <w:u w:val="none"/>
                <w:lang w:val="en-US" w:eastAsia="zh-CN"/>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946E5E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185000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28FE6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u w:val="none"/>
                <w:lang w:val="en-US"/>
              </w:rPr>
            </w:pPr>
            <w:r>
              <w:rPr>
                <w:rFonts w:hint="eastAsia" w:ascii="宋体" w:hAnsi="宋体" w:eastAsia="宋体" w:cs="宋体"/>
                <w:sz w:val="28"/>
                <w:szCs w:val="28"/>
                <w:u w:val="none"/>
                <w:lang w:val="en-US" w:eastAsia="zh-CN"/>
              </w:rPr>
              <w:t>185000</w:t>
            </w:r>
          </w:p>
        </w:tc>
      </w:tr>
      <w:tr w14:paraId="3E34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E61E179">
            <w:pPr>
              <w:keepNext w:val="0"/>
              <w:keepLines w:val="0"/>
              <w:widowControl/>
              <w:suppressLineNumbers w:val="0"/>
              <w:spacing w:before="0" w:beforeAutospacing="0" w:after="0" w:afterAutospacing="0"/>
              <w:ind w:left="0" w:right="0"/>
              <w:jc w:val="center"/>
              <w:rPr>
                <w:sz w:val="28"/>
                <w:szCs w:val="28"/>
                <w:u w:val="none"/>
              </w:rPr>
            </w:pPr>
          </w:p>
        </w:tc>
        <w:tc>
          <w:tcPr>
            <w:tcW w:w="6358"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746C93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0"/>
              <w:jc w:val="center"/>
              <w:rPr>
                <w:sz w:val="28"/>
                <w:szCs w:val="28"/>
                <w:u w:val="none"/>
              </w:rPr>
            </w:pPr>
            <w:r>
              <w:rPr>
                <w:rFonts w:hint="eastAsia" w:ascii="宋体" w:hAnsi="宋体" w:eastAsia="宋体" w:cs="宋体"/>
                <w:sz w:val="28"/>
                <w:szCs w:val="28"/>
                <w:u w:val="none"/>
              </w:rPr>
              <w:t>总价合计</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67A9E1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u w:val="none"/>
                <w:lang w:val="en-US"/>
              </w:rPr>
            </w:pPr>
            <w:r>
              <w:rPr>
                <w:rFonts w:hint="eastAsia" w:ascii="宋体" w:hAnsi="宋体" w:eastAsia="宋体" w:cs="宋体"/>
                <w:sz w:val="28"/>
                <w:szCs w:val="28"/>
                <w:u w:val="none"/>
                <w:lang w:val="en-US" w:eastAsia="zh-CN"/>
              </w:rPr>
              <w:t>185000</w:t>
            </w:r>
          </w:p>
        </w:tc>
      </w:tr>
      <w:tr w14:paraId="7264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318FC9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2</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D4541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入场</w:t>
            </w:r>
            <w:r>
              <w:rPr>
                <w:rFonts w:hint="eastAsia" w:ascii="宋体" w:hAnsi="宋体" w:eastAsia="宋体" w:cs="宋体"/>
                <w:sz w:val="28"/>
                <w:szCs w:val="28"/>
                <w:u w:val="none"/>
              </w:rPr>
              <w:t>时间</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EDEFB1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u w:val="none"/>
                <w:lang w:val="en-US"/>
              </w:rPr>
            </w:pPr>
            <w:r>
              <w:rPr>
                <w:rFonts w:hint="eastAsia" w:ascii="仿宋" w:hAnsi="仿宋" w:eastAsia="仿宋" w:cs="仿宋"/>
                <w:kern w:val="0"/>
                <w:sz w:val="32"/>
                <w:szCs w:val="32"/>
                <w:lang w:val="en-US" w:eastAsia="zh-CN"/>
              </w:rPr>
              <w:t>合同签订后一周日内</w:t>
            </w:r>
          </w:p>
        </w:tc>
      </w:tr>
      <w:tr w14:paraId="69A8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0436D0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3</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43666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质保</w:t>
            </w:r>
            <w:r>
              <w:rPr>
                <w:rFonts w:hint="eastAsia" w:ascii="宋体" w:hAnsi="宋体" w:eastAsia="宋体" w:cs="宋体"/>
                <w:sz w:val="28"/>
                <w:szCs w:val="28"/>
                <w:u w:val="none"/>
              </w:rPr>
              <w:t>期</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4CE27A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1年</w:t>
            </w:r>
          </w:p>
        </w:tc>
      </w:tr>
      <w:tr w14:paraId="2EFA6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A8B42D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4</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3C549E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付款方式</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315E5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eastAsiaTheme="minorEastAsia"/>
                <w:sz w:val="28"/>
                <w:szCs w:val="28"/>
                <w:u w:val="none"/>
                <w:lang w:val="en-US" w:eastAsia="zh-CN"/>
              </w:rPr>
            </w:pPr>
            <w:r>
              <w:rPr>
                <w:rFonts w:hint="eastAsia"/>
                <w:sz w:val="28"/>
                <w:szCs w:val="28"/>
                <w:u w:val="none"/>
                <w:lang w:val="en-US" w:eastAsia="zh-CN"/>
              </w:rPr>
              <w:t>施工完成验收合格后支付95%，剩余5%质保金一年质保期满无任何质量问题付清</w:t>
            </w:r>
          </w:p>
        </w:tc>
      </w:tr>
      <w:tr w14:paraId="1E1B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884D1F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5</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542AC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工</w:t>
            </w:r>
            <w:r>
              <w:rPr>
                <w:rFonts w:hint="eastAsia" w:ascii="宋体" w:hAnsi="宋体" w:eastAsia="宋体" w:cs="宋体"/>
                <w:sz w:val="28"/>
                <w:szCs w:val="28"/>
                <w:u w:val="none"/>
              </w:rPr>
              <w:t>期</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FEC4B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30日历日</w:t>
            </w:r>
          </w:p>
        </w:tc>
      </w:tr>
      <w:tr w14:paraId="35B9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E539CD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6</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7A3FCE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交付地点</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E8767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8"/>
                <w:szCs w:val="28"/>
                <w:u w:val="none"/>
                <w:lang w:eastAsia="zh-CN"/>
              </w:rPr>
            </w:pPr>
            <w:r>
              <w:rPr>
                <w:rFonts w:hint="eastAsia" w:ascii="宋体" w:hAnsi="宋体" w:eastAsia="宋体" w:cs="宋体"/>
                <w:sz w:val="28"/>
                <w:szCs w:val="28"/>
                <w:u w:val="none"/>
              </w:rPr>
              <w:t>鄂尔多斯市中心医院</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东胜部</w:t>
            </w:r>
            <w:r>
              <w:rPr>
                <w:rFonts w:hint="eastAsia" w:ascii="宋体" w:hAnsi="宋体" w:eastAsia="宋体" w:cs="宋体"/>
                <w:sz w:val="28"/>
                <w:szCs w:val="28"/>
                <w:u w:val="none"/>
                <w:lang w:eastAsia="zh-CN"/>
              </w:rPr>
              <w:t>）</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01D20BCB">
      <w:pPr>
        <w:spacing w:line="360" w:lineRule="auto"/>
        <w:jc w:val="left"/>
        <w:rPr>
          <w:rFonts w:hint="eastAsia" w:ascii="仿宋" w:hAnsi="仿宋" w:eastAsia="仿宋" w:cs="仿宋"/>
          <w:color w:val="000000"/>
          <w:sz w:val="32"/>
          <w:szCs w:val="32"/>
        </w:rPr>
      </w:pPr>
      <w:r>
        <w:rPr>
          <w:rFonts w:hint="eastAsia" w:ascii="仿宋" w:hAnsi="仿宋" w:eastAsia="仿宋" w:cs="仿宋"/>
          <w:color w:val="000000"/>
          <w:sz w:val="32"/>
          <w:szCs w:val="32"/>
        </w:rPr>
        <w:t>（一）项目基本情况介绍：</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eastAsia="zh-CN"/>
        </w:rPr>
        <w:t>东胜部</w:t>
      </w:r>
      <w:r>
        <w:rPr>
          <w:rFonts w:hint="eastAsia" w:ascii="仿宋" w:hAnsi="仿宋" w:eastAsia="仿宋" w:cs="仿宋"/>
          <w:color w:val="000000"/>
          <w:sz w:val="32"/>
          <w:szCs w:val="32"/>
          <w:u w:val="single"/>
          <w:lang w:val="en-US" w:eastAsia="zh-CN"/>
        </w:rPr>
        <w:t>原有超声科介入室流程和装饰材料等不符合综合医院建筑设计规范及控感要求，亦不满足三区两通道洁污分流的流线路径，经科室上报对原有介入室进行改造升级，使其流程满足控感要求及使用科室功能需求。</w:t>
      </w:r>
      <w:r>
        <w:rPr>
          <w:rFonts w:hint="eastAsia" w:ascii="仿宋" w:hAnsi="仿宋" w:eastAsia="仿宋" w:cs="仿宋"/>
          <w:color w:val="000000"/>
          <w:sz w:val="32"/>
          <w:szCs w:val="32"/>
          <w:u w:val="single"/>
        </w:rPr>
        <w:t xml:space="preserve">                                                </w:t>
      </w:r>
    </w:p>
    <w:p w14:paraId="721FD28D">
      <w:pPr>
        <w:spacing w:line="360" w:lineRule="auto"/>
        <w:jc w:val="left"/>
        <w:rPr>
          <w:rFonts w:hint="eastAsia" w:ascii="仿宋" w:hAnsi="仿宋" w:eastAsia="仿宋" w:cs="仿宋"/>
          <w:color w:val="000000"/>
          <w:sz w:val="32"/>
          <w:szCs w:val="32"/>
        </w:rPr>
      </w:pPr>
    </w:p>
    <w:p w14:paraId="75CA7EFA">
      <w:pPr>
        <w:spacing w:line="360" w:lineRule="auto"/>
        <w:jc w:val="left"/>
        <w:rPr>
          <w:rFonts w:hint="eastAsia" w:ascii="仿宋" w:hAnsi="仿宋" w:eastAsia="仿宋" w:cs="仿宋"/>
          <w:color w:val="000000"/>
          <w:sz w:val="32"/>
          <w:szCs w:val="32"/>
          <w:u w:val="single"/>
        </w:rPr>
      </w:pPr>
      <w:r>
        <w:rPr>
          <w:rFonts w:hint="eastAsia" w:ascii="仿宋" w:hAnsi="仿宋" w:eastAsia="仿宋" w:cs="仿宋"/>
          <w:color w:val="000000"/>
          <w:sz w:val="32"/>
          <w:szCs w:val="32"/>
        </w:rPr>
        <w:t>（二）技术参数和要求（功能和质量）</w:t>
      </w:r>
    </w:p>
    <w:tbl>
      <w:tblPr>
        <w:tblStyle w:val="14"/>
        <w:tblW w:w="9810" w:type="dxa"/>
        <w:jc w:val="center"/>
        <w:tblLayout w:type="fixed"/>
        <w:tblCellMar>
          <w:top w:w="0" w:type="dxa"/>
          <w:left w:w="108" w:type="dxa"/>
          <w:bottom w:w="0" w:type="dxa"/>
          <w:right w:w="108" w:type="dxa"/>
        </w:tblCellMar>
      </w:tblPr>
      <w:tblGrid>
        <w:gridCol w:w="1911"/>
        <w:gridCol w:w="1073"/>
        <w:gridCol w:w="6826"/>
      </w:tblGrid>
      <w:tr w14:paraId="7E759BFE">
        <w:tblPrEx>
          <w:tblCellMar>
            <w:top w:w="0" w:type="dxa"/>
            <w:left w:w="108" w:type="dxa"/>
            <w:bottom w:w="0" w:type="dxa"/>
            <w:right w:w="108" w:type="dxa"/>
          </w:tblCellMar>
        </w:tblPrEx>
        <w:trPr>
          <w:trHeight w:val="487"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参数性质</w:t>
            </w:r>
          </w:p>
        </w:tc>
        <w:tc>
          <w:tcPr>
            <w:tcW w:w="1073"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编号</w:t>
            </w:r>
          </w:p>
        </w:tc>
        <w:tc>
          <w:tcPr>
            <w:tcW w:w="6826"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技术参数和要求</w:t>
            </w:r>
          </w:p>
        </w:tc>
      </w:tr>
      <w:tr w14:paraId="3766A3F1">
        <w:tblPrEx>
          <w:tblCellMar>
            <w:top w:w="0" w:type="dxa"/>
            <w:left w:w="108" w:type="dxa"/>
            <w:bottom w:w="0" w:type="dxa"/>
            <w:right w:w="108" w:type="dxa"/>
          </w:tblCellMar>
        </w:tblPrEx>
        <w:trPr>
          <w:trHeight w:val="32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w:t>
            </w:r>
          </w:p>
        </w:tc>
        <w:tc>
          <w:tcPr>
            <w:tcW w:w="1073"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6826" w:type="dxa"/>
            <w:tcBorders>
              <w:top w:val="single" w:color="auto" w:sz="4" w:space="0"/>
              <w:left w:val="nil"/>
              <w:bottom w:val="single" w:color="auto" w:sz="4" w:space="0"/>
              <w:right w:val="single" w:color="auto" w:sz="4" w:space="0"/>
            </w:tcBorders>
            <w:vAlign w:val="center"/>
          </w:tcPr>
          <w:p w14:paraId="709302B1">
            <w:pPr>
              <w:widowControl/>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本项目包含吊塔1套，具体要求如下：</w:t>
            </w:r>
          </w:p>
          <w:p w14:paraId="35CE40E9">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机械外科塔：</w:t>
            </w:r>
          </w:p>
          <w:p w14:paraId="1C4C5507">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1、产品必须通过ISO13485及ISO9001质量体系认证。</w:t>
            </w:r>
          </w:p>
          <w:p w14:paraId="7C0143B9">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2、吊塔主体材料要求为高强度铝合金，方形全封闭式设计，吊塔所采用的材料必须防腐蚀，便于清洗，设备表面喷塑采用优质环保抗菌粉末，其具有表面抑制细菌再生作用。（提供抗菌证明文件）</w:t>
            </w:r>
          </w:p>
          <w:p w14:paraId="2A1ADC29">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3、所有吊塔均须配有良好的机械刹车系统 。</w:t>
            </w:r>
          </w:p>
          <w:p w14:paraId="3F995FF7">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4、气体终端要求：要求所有气体插座均为不同颜色和不同形状，防止误操作，具有Standby (原位待接通状态)功能。插座插头可保证2万次以上的插拔，可带气维修。</w:t>
            </w:r>
          </w:p>
          <w:p w14:paraId="29A161B8">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5、依据ISO 11197 201.11.2.2.101要求，底板具有开孔，在模拟氧气泄露流量为1L/min时，腔体内部的氧气浓度不超过25%。</w:t>
            </w:r>
          </w:p>
          <w:p w14:paraId="04A5869E">
            <w:pPr>
              <w:widowControl/>
              <w:jc w:val="left"/>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6</w:t>
            </w:r>
            <w:r>
              <w:rPr>
                <w:rFonts w:hint="eastAsia" w:ascii="仿宋" w:hAnsi="仿宋" w:eastAsia="仿宋" w:cs="仿宋"/>
                <w:color w:val="000000"/>
                <w:sz w:val="28"/>
                <w:szCs w:val="28"/>
                <w:lang w:val="en-US" w:eastAsia="zh-CN"/>
              </w:rPr>
              <w:t>、吊柱式，气电箱长度≥800mm。</w:t>
            </w:r>
          </w:p>
          <w:p w14:paraId="53D229AB">
            <w:pPr>
              <w:widowControl/>
              <w:jc w:val="left"/>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7</w:t>
            </w:r>
            <w:r>
              <w:rPr>
                <w:rFonts w:hint="eastAsia" w:ascii="仿宋" w:hAnsi="仿宋" w:eastAsia="仿宋" w:cs="仿宋"/>
                <w:color w:val="000000"/>
                <w:sz w:val="28"/>
                <w:szCs w:val="28"/>
                <w:lang w:val="en-US" w:eastAsia="zh-CN"/>
              </w:rPr>
              <w:t>、气电箱旋转角度≥340°。</w:t>
            </w:r>
          </w:p>
          <w:p w14:paraId="52FF5BA4">
            <w:pPr>
              <w:widowControl/>
              <w:jc w:val="left"/>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8</w:t>
            </w:r>
            <w:r>
              <w:rPr>
                <w:rFonts w:hint="eastAsia" w:ascii="仿宋" w:hAnsi="仿宋" w:eastAsia="仿宋" w:cs="仿宋"/>
                <w:color w:val="000000"/>
                <w:sz w:val="28"/>
                <w:szCs w:val="28"/>
                <w:lang w:val="en-US" w:eastAsia="zh-CN"/>
              </w:rPr>
              <w:t>、吊臂长度旋转半径总长≥750mm，可选配双臂旋转半径总长≥1500mm（具体长度根据医院现场实际定制）。</w:t>
            </w:r>
          </w:p>
          <w:p w14:paraId="015D904A">
            <w:pPr>
              <w:widowControl/>
              <w:jc w:val="left"/>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9</w:t>
            </w:r>
            <w:r>
              <w:rPr>
                <w:rFonts w:hint="eastAsia" w:ascii="仿宋" w:hAnsi="仿宋" w:eastAsia="仿宋" w:cs="仿宋"/>
                <w:color w:val="000000"/>
                <w:sz w:val="28"/>
                <w:szCs w:val="28"/>
                <w:lang w:val="en-US" w:eastAsia="zh-CN"/>
              </w:rPr>
              <w:t>、德式标准气体插座（氧气≥1个，空气≥1个，负压吸引≥1个），并包含所有插头。</w:t>
            </w:r>
          </w:p>
          <w:p w14:paraId="161311FF">
            <w:pPr>
              <w:widowControl/>
              <w:jc w:val="left"/>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10</w:t>
            </w:r>
            <w:r>
              <w:rPr>
                <w:rFonts w:hint="eastAsia" w:ascii="仿宋" w:hAnsi="仿宋" w:eastAsia="仿宋" w:cs="仿宋"/>
                <w:color w:val="000000"/>
                <w:sz w:val="28"/>
                <w:szCs w:val="28"/>
                <w:lang w:val="en-US" w:eastAsia="zh-CN"/>
              </w:rPr>
              <w:t>、电源插座8个，网络接口 1个，等电位住2个。</w:t>
            </w:r>
          </w:p>
          <w:p w14:paraId="2A201173">
            <w:pPr>
              <w:widowControl/>
              <w:jc w:val="left"/>
              <w:rPr>
                <w:rFonts w:hint="eastAsia" w:ascii="仿宋" w:hAnsi="仿宋" w:eastAsia="仿宋" w:cs="仿宋"/>
                <w:color w:val="000000"/>
                <w:sz w:val="28"/>
                <w:szCs w:val="28"/>
              </w:rPr>
            </w:pPr>
            <w:r>
              <w:rPr>
                <w:rFonts w:hint="default" w:ascii="仿宋" w:hAnsi="仿宋" w:eastAsia="仿宋" w:cs="仿宋"/>
                <w:color w:val="000000"/>
                <w:sz w:val="28"/>
                <w:szCs w:val="28"/>
                <w:lang w:val="en-US" w:eastAsia="zh-CN"/>
              </w:rPr>
              <w:t>11</w:t>
            </w:r>
            <w:r>
              <w:rPr>
                <w:rFonts w:hint="eastAsia" w:ascii="仿宋" w:hAnsi="仿宋" w:eastAsia="仿宋" w:cs="仿宋"/>
                <w:color w:val="000000"/>
                <w:sz w:val="28"/>
                <w:szCs w:val="28"/>
                <w:lang w:val="en-US" w:eastAsia="zh-CN"/>
              </w:rPr>
              <w:t>、仪器承载托盘2个，其中一个带抽屉，带标准附件导轨，尺寸≥530X480mm。</w:t>
            </w:r>
          </w:p>
        </w:tc>
      </w:tr>
      <w:tr w14:paraId="4387962C">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w:t>
            </w:r>
          </w:p>
        </w:tc>
        <w:tc>
          <w:tcPr>
            <w:tcW w:w="1073"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6826" w:type="dxa"/>
            <w:tcBorders>
              <w:top w:val="single" w:color="auto" w:sz="4" w:space="0"/>
              <w:left w:val="nil"/>
              <w:bottom w:val="single" w:color="auto" w:sz="4" w:space="0"/>
              <w:right w:val="single" w:color="auto" w:sz="4" w:space="0"/>
            </w:tcBorders>
            <w:vAlign w:val="center"/>
          </w:tcPr>
          <w:p w14:paraId="4469BEE0">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硅岩净化板：</w:t>
            </w:r>
          </w:p>
          <w:p w14:paraId="508AA85D">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1、外观质量:表面应平整，不得有妨碍实用的伤痕、污迹或破损。</w:t>
            </w:r>
          </w:p>
          <w:p w14:paraId="38D16728">
            <w:pPr>
              <w:widowControl/>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2、燃烧性能:属于A级不燃材料。</w:t>
            </w:r>
          </w:p>
          <w:p w14:paraId="29372FD2">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3、耐温性:800度。</w:t>
            </w:r>
          </w:p>
          <w:p w14:paraId="5806898A">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4、吸湿性:大于200%。</w:t>
            </w:r>
          </w:p>
          <w:p w14:paraId="2883296F">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5、容量:小于或等于150kg/m3。</w:t>
            </w:r>
          </w:p>
          <w:p w14:paraId="191E5673">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6、氧指数:0 。</w:t>
            </w:r>
          </w:p>
          <w:p w14:paraId="08A0A4E8">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7、导热系数:0.04~0.055W/m·K 。</w:t>
            </w:r>
          </w:p>
          <w:p w14:paraId="7326FB3B">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8、隔热保温，导热系数强度高，可作为围护结构或承重结构。</w:t>
            </w:r>
          </w:p>
          <w:p w14:paraId="74F2D8F0">
            <w:pPr>
              <w:widowControl/>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9、色泽鲜艳，无需表面装饰。</w:t>
            </w:r>
          </w:p>
        </w:tc>
      </w:tr>
      <w:tr w14:paraId="013FD3B5">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1073"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6826" w:type="dxa"/>
            <w:tcBorders>
              <w:top w:val="single" w:color="auto" w:sz="4" w:space="0"/>
              <w:left w:val="nil"/>
              <w:bottom w:val="single" w:color="auto" w:sz="4" w:space="0"/>
              <w:right w:val="single" w:color="auto" w:sz="4" w:space="0"/>
            </w:tcBorders>
            <w:vAlign w:val="center"/>
          </w:tcPr>
          <w:p w14:paraId="5758B267">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钢制气密门：</w:t>
            </w:r>
          </w:p>
          <w:p w14:paraId="2D35BA7B">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1、门板：镀锌板。</w:t>
            </w:r>
            <w:r>
              <w:rPr>
                <w:rFonts w:hint="eastAsia" w:ascii="仿宋" w:hAnsi="仿宋" w:eastAsia="仿宋" w:cs="仿宋"/>
                <w:color w:val="000000"/>
                <w:sz w:val="28"/>
                <w:szCs w:val="28"/>
                <w:lang w:val="en-US" w:eastAsia="zh-CN"/>
              </w:rPr>
              <w:br w:type="textWrapping"/>
            </w:r>
            <w:r>
              <w:rPr>
                <w:rFonts w:hint="eastAsia" w:ascii="仿宋" w:hAnsi="仿宋" w:eastAsia="仿宋" w:cs="仿宋"/>
                <w:color w:val="000000"/>
                <w:sz w:val="28"/>
                <w:szCs w:val="28"/>
                <w:lang w:val="en-US" w:eastAsia="zh-CN"/>
              </w:rPr>
              <w:t>2、门框：镀锌板。</w:t>
            </w:r>
            <w:r>
              <w:rPr>
                <w:rFonts w:hint="eastAsia" w:ascii="仿宋" w:hAnsi="仿宋" w:eastAsia="仿宋" w:cs="仿宋"/>
                <w:color w:val="000000"/>
                <w:sz w:val="28"/>
                <w:szCs w:val="28"/>
                <w:lang w:val="en-US" w:eastAsia="zh-CN"/>
              </w:rPr>
              <w:br w:type="textWrapping"/>
            </w:r>
            <w:r>
              <w:rPr>
                <w:rFonts w:hint="eastAsia" w:ascii="仿宋" w:hAnsi="仿宋" w:eastAsia="仿宋" w:cs="仿宋"/>
                <w:color w:val="000000"/>
                <w:sz w:val="28"/>
                <w:szCs w:val="28"/>
                <w:lang w:val="en-US" w:eastAsia="zh-CN"/>
              </w:rPr>
              <w:t>3、夹层：纸蜂窝/铝蜂窝/岩棉。</w:t>
            </w:r>
          </w:p>
          <w:p w14:paraId="5E2BCE82">
            <w:pPr>
              <w:widowControl/>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4、视窗：5mm 厚双层钢化玻璃常规 400*600。</w:t>
            </w:r>
            <w:r>
              <w:rPr>
                <w:rFonts w:hint="eastAsia" w:ascii="仿宋" w:hAnsi="仿宋" w:eastAsia="仿宋" w:cs="仿宋"/>
                <w:color w:val="000000"/>
                <w:sz w:val="28"/>
                <w:szCs w:val="28"/>
                <w:lang w:val="en-US" w:eastAsia="zh-CN"/>
              </w:rPr>
              <w:br w:type="textWrapping"/>
            </w:r>
            <w:r>
              <w:rPr>
                <w:rFonts w:hint="eastAsia" w:ascii="仿宋" w:hAnsi="仿宋" w:eastAsia="仿宋" w:cs="仿宋"/>
                <w:color w:val="000000"/>
                <w:sz w:val="28"/>
                <w:szCs w:val="28"/>
                <w:lang w:val="en-US" w:eastAsia="zh-CN"/>
              </w:rPr>
              <w:t>5、聚酯树脂塑粉。</w:t>
            </w:r>
            <w:r>
              <w:rPr>
                <w:rFonts w:hint="eastAsia" w:ascii="仿宋" w:hAnsi="仿宋" w:eastAsia="仿宋" w:cs="仿宋"/>
                <w:color w:val="000000"/>
                <w:sz w:val="28"/>
                <w:szCs w:val="28"/>
                <w:lang w:val="en-US" w:eastAsia="zh-CN"/>
              </w:rPr>
              <w:br w:type="textWrapping"/>
            </w:r>
            <w:r>
              <w:rPr>
                <w:rFonts w:hint="eastAsia" w:ascii="仿宋" w:hAnsi="仿宋" w:eastAsia="仿宋" w:cs="仿宋"/>
                <w:color w:val="000000"/>
                <w:sz w:val="28"/>
                <w:szCs w:val="28"/>
                <w:lang w:val="en-US" w:eastAsia="zh-CN"/>
              </w:rPr>
              <w:t>6、锁具：高档不锈钢执手锁。</w:t>
            </w:r>
          </w:p>
        </w:tc>
      </w:tr>
      <w:tr w14:paraId="5B36B854">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09E73365">
            <w:pPr>
              <w:widowControl/>
              <w:jc w:val="center"/>
              <w:rPr>
                <w:rFonts w:hint="eastAsia" w:ascii="仿宋" w:hAnsi="仿宋" w:eastAsia="仿宋" w:cs="仿宋"/>
                <w:color w:val="000000"/>
                <w:sz w:val="28"/>
                <w:szCs w:val="28"/>
                <w:lang w:val="en-US" w:eastAsia="zh-CN"/>
              </w:rPr>
            </w:pPr>
          </w:p>
        </w:tc>
        <w:tc>
          <w:tcPr>
            <w:tcW w:w="1073" w:type="dxa"/>
            <w:tcBorders>
              <w:top w:val="single" w:color="auto" w:sz="4" w:space="0"/>
              <w:left w:val="nil"/>
              <w:bottom w:val="single" w:color="auto" w:sz="4" w:space="0"/>
              <w:right w:val="single" w:color="auto" w:sz="4" w:space="0"/>
            </w:tcBorders>
            <w:vAlign w:val="center"/>
          </w:tcPr>
          <w:p w14:paraId="43D66176">
            <w:pPr>
              <w:widowControl/>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6826" w:type="dxa"/>
            <w:tcBorders>
              <w:top w:val="single" w:color="auto" w:sz="4" w:space="0"/>
              <w:left w:val="nil"/>
              <w:bottom w:val="single" w:color="auto" w:sz="4" w:space="0"/>
              <w:right w:val="single" w:color="auto" w:sz="4" w:space="0"/>
            </w:tcBorders>
            <w:shd w:val="clear" w:color="auto" w:fill="auto"/>
            <w:vAlign w:val="center"/>
          </w:tcPr>
          <w:p w14:paraId="477A7955">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拆除工程：拆除原有部分墙体、吊顶、套装门、等。</w:t>
            </w:r>
          </w:p>
        </w:tc>
      </w:tr>
      <w:tr w14:paraId="37EF0B28">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49CBB4FC">
            <w:pPr>
              <w:widowControl/>
              <w:jc w:val="center"/>
              <w:rPr>
                <w:rFonts w:hint="eastAsia" w:ascii="仿宋" w:hAnsi="仿宋" w:eastAsia="仿宋" w:cs="仿宋"/>
                <w:color w:val="000000"/>
                <w:sz w:val="28"/>
                <w:szCs w:val="28"/>
                <w:lang w:val="en-US" w:eastAsia="zh-CN"/>
              </w:rPr>
            </w:pPr>
          </w:p>
        </w:tc>
        <w:tc>
          <w:tcPr>
            <w:tcW w:w="1073" w:type="dxa"/>
            <w:tcBorders>
              <w:top w:val="single" w:color="auto" w:sz="4" w:space="0"/>
              <w:left w:val="nil"/>
              <w:bottom w:val="single" w:color="auto" w:sz="4" w:space="0"/>
              <w:right w:val="single" w:color="auto" w:sz="4" w:space="0"/>
            </w:tcBorders>
            <w:vAlign w:val="center"/>
          </w:tcPr>
          <w:p w14:paraId="5300DAA5">
            <w:pPr>
              <w:widowControl/>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6826" w:type="dxa"/>
            <w:tcBorders>
              <w:top w:val="single" w:color="auto" w:sz="4" w:space="0"/>
              <w:left w:val="nil"/>
              <w:bottom w:val="single" w:color="auto" w:sz="4" w:space="0"/>
              <w:right w:val="single" w:color="auto" w:sz="4" w:space="0"/>
            </w:tcBorders>
            <w:shd w:val="clear" w:color="auto" w:fill="auto"/>
            <w:vAlign w:val="center"/>
          </w:tcPr>
          <w:p w14:paraId="7BA32897">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装修工程：墙面装饰、吊顶、地面铺装、门等都需满足科室要求。</w:t>
            </w:r>
          </w:p>
        </w:tc>
      </w:tr>
      <w:tr w14:paraId="2B3D49FC">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5630D36C">
            <w:pPr>
              <w:widowControl/>
              <w:jc w:val="center"/>
              <w:rPr>
                <w:rFonts w:hint="eastAsia" w:ascii="仿宋" w:hAnsi="仿宋" w:eastAsia="仿宋" w:cs="仿宋"/>
                <w:color w:val="000000"/>
                <w:sz w:val="28"/>
                <w:szCs w:val="28"/>
                <w:lang w:val="en-US" w:eastAsia="zh-CN"/>
              </w:rPr>
            </w:pPr>
          </w:p>
        </w:tc>
        <w:tc>
          <w:tcPr>
            <w:tcW w:w="1073" w:type="dxa"/>
            <w:tcBorders>
              <w:top w:val="single" w:color="auto" w:sz="4" w:space="0"/>
              <w:left w:val="nil"/>
              <w:bottom w:val="single" w:color="auto" w:sz="4" w:space="0"/>
              <w:right w:val="single" w:color="auto" w:sz="4" w:space="0"/>
            </w:tcBorders>
            <w:vAlign w:val="center"/>
          </w:tcPr>
          <w:p w14:paraId="3734DA18">
            <w:pPr>
              <w:widowControl/>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w:t>
            </w:r>
          </w:p>
        </w:tc>
        <w:tc>
          <w:tcPr>
            <w:tcW w:w="6826" w:type="dxa"/>
            <w:tcBorders>
              <w:top w:val="single" w:color="auto" w:sz="4" w:space="0"/>
              <w:left w:val="nil"/>
              <w:bottom w:val="single" w:color="auto" w:sz="4" w:space="0"/>
              <w:right w:val="single" w:color="auto" w:sz="4" w:space="0"/>
            </w:tcBorders>
            <w:shd w:val="clear" w:color="auto" w:fill="auto"/>
            <w:vAlign w:val="center"/>
          </w:tcPr>
          <w:p w14:paraId="6BC6C4CB">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安装工程：强弱电基础配线、开关、照明、上下水改造等。</w:t>
            </w:r>
          </w:p>
        </w:tc>
      </w:tr>
      <w:tr w14:paraId="579EDEA6">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5F635CCB">
            <w:pPr>
              <w:widowControl/>
              <w:jc w:val="center"/>
              <w:rPr>
                <w:rFonts w:hint="eastAsia" w:ascii="仿宋" w:hAnsi="仿宋" w:eastAsia="仿宋" w:cs="仿宋"/>
                <w:color w:val="000000"/>
                <w:sz w:val="28"/>
                <w:szCs w:val="28"/>
                <w:lang w:val="en-US" w:eastAsia="zh-CN"/>
              </w:rPr>
            </w:pPr>
          </w:p>
        </w:tc>
        <w:tc>
          <w:tcPr>
            <w:tcW w:w="1073" w:type="dxa"/>
            <w:tcBorders>
              <w:top w:val="single" w:color="auto" w:sz="4" w:space="0"/>
              <w:left w:val="nil"/>
              <w:bottom w:val="single" w:color="auto" w:sz="4" w:space="0"/>
              <w:right w:val="single" w:color="auto" w:sz="4" w:space="0"/>
            </w:tcBorders>
            <w:vAlign w:val="center"/>
          </w:tcPr>
          <w:p w14:paraId="1ED0F941">
            <w:pPr>
              <w:widowControl/>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w:t>
            </w:r>
          </w:p>
        </w:tc>
        <w:tc>
          <w:tcPr>
            <w:tcW w:w="6826" w:type="dxa"/>
            <w:tcBorders>
              <w:top w:val="single" w:color="auto" w:sz="4" w:space="0"/>
              <w:left w:val="nil"/>
              <w:bottom w:val="single" w:color="auto" w:sz="4" w:space="0"/>
              <w:right w:val="single" w:color="auto" w:sz="4" w:space="0"/>
            </w:tcBorders>
            <w:shd w:val="clear" w:color="auto" w:fill="auto"/>
            <w:vAlign w:val="center"/>
          </w:tcPr>
          <w:p w14:paraId="0589B395">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质量、安生、环境管理体系与措施：编制符合本项目的质量管理体系、其中管理措施需合理、有效。</w:t>
            </w:r>
          </w:p>
        </w:tc>
      </w:tr>
      <w:tr w14:paraId="3CF5A78B">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03B1CBCF">
            <w:pPr>
              <w:widowControl/>
              <w:jc w:val="center"/>
              <w:rPr>
                <w:rFonts w:hint="eastAsia" w:ascii="仿宋" w:hAnsi="仿宋" w:eastAsia="仿宋" w:cs="仿宋"/>
                <w:color w:val="000000"/>
                <w:sz w:val="28"/>
                <w:szCs w:val="28"/>
                <w:lang w:val="en-US" w:eastAsia="zh-CN"/>
              </w:rPr>
            </w:pPr>
          </w:p>
        </w:tc>
        <w:tc>
          <w:tcPr>
            <w:tcW w:w="1073" w:type="dxa"/>
            <w:tcBorders>
              <w:top w:val="single" w:color="auto" w:sz="4" w:space="0"/>
              <w:left w:val="nil"/>
              <w:bottom w:val="single" w:color="auto" w:sz="4" w:space="0"/>
              <w:right w:val="single" w:color="auto" w:sz="4" w:space="0"/>
            </w:tcBorders>
            <w:vAlign w:val="center"/>
          </w:tcPr>
          <w:p w14:paraId="7A784B64">
            <w:pPr>
              <w:widowControl/>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6826" w:type="dxa"/>
            <w:tcBorders>
              <w:top w:val="single" w:color="auto" w:sz="4" w:space="0"/>
              <w:left w:val="nil"/>
              <w:bottom w:val="single" w:color="auto" w:sz="4" w:space="0"/>
              <w:right w:val="single" w:color="auto" w:sz="4" w:space="0"/>
            </w:tcBorders>
            <w:shd w:val="clear" w:color="auto" w:fill="auto"/>
            <w:vAlign w:val="center"/>
          </w:tcPr>
          <w:p w14:paraId="72E9777F">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资源配备计划:根据项目施工工期投入适当的劳动力与施工设备，投入劳动力与施工设备的数量、种类需全面，计划方案合理、有效。</w:t>
            </w:r>
          </w:p>
        </w:tc>
      </w:tr>
      <w:tr w14:paraId="3FEC2FDD">
        <w:tblPrEx>
          <w:tblCellMar>
            <w:top w:w="0" w:type="dxa"/>
            <w:left w:w="108" w:type="dxa"/>
            <w:bottom w:w="0" w:type="dxa"/>
            <w:right w:w="108" w:type="dxa"/>
          </w:tblCellMar>
        </w:tblPrEx>
        <w:trPr>
          <w:trHeight w:val="773"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4C7680C0">
            <w:pPr>
              <w:widowControl/>
              <w:jc w:val="center"/>
              <w:rPr>
                <w:rFonts w:hint="eastAsia" w:ascii="仿宋" w:hAnsi="仿宋" w:eastAsia="仿宋" w:cs="仿宋"/>
                <w:color w:val="000000"/>
                <w:sz w:val="28"/>
                <w:szCs w:val="28"/>
                <w:lang w:val="en-US" w:eastAsia="zh-CN"/>
              </w:rPr>
            </w:pPr>
          </w:p>
        </w:tc>
        <w:tc>
          <w:tcPr>
            <w:tcW w:w="1073" w:type="dxa"/>
            <w:tcBorders>
              <w:top w:val="single" w:color="auto" w:sz="4" w:space="0"/>
              <w:left w:val="nil"/>
              <w:bottom w:val="single" w:color="auto" w:sz="4" w:space="0"/>
              <w:right w:val="single" w:color="auto" w:sz="4" w:space="0"/>
            </w:tcBorders>
            <w:vAlign w:val="center"/>
          </w:tcPr>
          <w:p w14:paraId="7F0A8A97">
            <w:pPr>
              <w:widowControl/>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w:t>
            </w:r>
          </w:p>
        </w:tc>
        <w:tc>
          <w:tcPr>
            <w:tcW w:w="6826" w:type="dxa"/>
            <w:tcBorders>
              <w:top w:val="single" w:color="auto" w:sz="4" w:space="0"/>
              <w:left w:val="nil"/>
              <w:bottom w:val="single" w:color="auto" w:sz="4" w:space="0"/>
              <w:right w:val="single" w:color="auto" w:sz="4" w:space="0"/>
            </w:tcBorders>
            <w:shd w:val="clear" w:color="auto" w:fill="auto"/>
            <w:vAlign w:val="center"/>
          </w:tcPr>
          <w:p w14:paraId="59C60D0B">
            <w:pPr>
              <w:widowControl/>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进度计划与措施:</w:t>
            </w:r>
          </w:p>
          <w:p w14:paraId="0328874F">
            <w:pPr>
              <w:widowControl/>
              <w:jc w:val="lef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根据医院现状编制符合医院运行规律的工程进度计划与措施，需保证方案与措施合理、可靠、有效。</w:t>
            </w:r>
          </w:p>
        </w:tc>
      </w:tr>
    </w:tbl>
    <w:p w14:paraId="54B89272">
      <w:pPr>
        <w:rPr>
          <w:rFonts w:hint="eastAsia" w:ascii="仿宋" w:hAnsi="仿宋" w:eastAsia="仿宋" w:cs="仿宋"/>
          <w:color w:val="000000"/>
          <w:sz w:val="32"/>
          <w:szCs w:val="32"/>
        </w:rPr>
      </w:pPr>
    </w:p>
    <w:p w14:paraId="30E9841B">
      <w:pPr>
        <w:rPr>
          <w:rFonts w:hint="eastAsia" w:ascii="仿宋" w:hAnsi="仿宋" w:eastAsia="仿宋" w:cs="仿宋"/>
          <w:color w:val="000000"/>
          <w:sz w:val="32"/>
          <w:szCs w:val="32"/>
        </w:rPr>
      </w:pPr>
    </w:p>
    <w:p w14:paraId="1C06CBA0">
      <w:pPr>
        <w:rPr>
          <w:rFonts w:hint="eastAsia" w:ascii="仿宋" w:hAnsi="仿宋" w:eastAsia="仿宋" w:cs="仿宋"/>
          <w:color w:val="000000"/>
          <w:sz w:val="32"/>
          <w:szCs w:val="32"/>
        </w:rPr>
      </w:pPr>
    </w:p>
    <w:p w14:paraId="12D53A66">
      <w:pPr>
        <w:rPr>
          <w:rFonts w:hint="eastAsia" w:ascii="仿宋" w:hAnsi="仿宋" w:eastAsia="仿宋" w:cs="仿宋"/>
          <w:color w:val="000000"/>
          <w:sz w:val="32"/>
          <w:szCs w:val="32"/>
        </w:rPr>
      </w:pPr>
    </w:p>
    <w:p w14:paraId="62BC2E06">
      <w:pPr>
        <w:rPr>
          <w:rFonts w:hint="eastAsia" w:ascii="仿宋" w:hAnsi="仿宋" w:eastAsia="仿宋" w:cs="仿宋"/>
          <w:color w:val="000000"/>
          <w:sz w:val="32"/>
          <w:szCs w:val="32"/>
        </w:rPr>
      </w:pPr>
    </w:p>
    <w:p w14:paraId="5CC7863F">
      <w:pPr>
        <w:rPr>
          <w:rFonts w:hint="eastAsia" w:ascii="仿宋" w:hAnsi="仿宋" w:eastAsia="仿宋" w:cs="仿宋"/>
          <w:color w:val="000000"/>
          <w:sz w:val="32"/>
          <w:szCs w:val="32"/>
        </w:rPr>
      </w:pPr>
    </w:p>
    <w:p w14:paraId="72D46726">
      <w:pPr>
        <w:rPr>
          <w:rFonts w:hint="eastAsia" w:ascii="仿宋" w:hAnsi="仿宋" w:eastAsia="仿宋" w:cs="仿宋"/>
          <w:color w:val="000000"/>
          <w:sz w:val="32"/>
          <w:szCs w:val="32"/>
        </w:rPr>
      </w:pPr>
    </w:p>
    <w:p w14:paraId="046B64E3">
      <w:pPr>
        <w:rPr>
          <w:rFonts w:hint="eastAsia" w:ascii="仿宋" w:hAnsi="仿宋" w:eastAsia="仿宋" w:cs="仿宋"/>
          <w:color w:val="000000"/>
          <w:sz w:val="32"/>
          <w:szCs w:val="32"/>
        </w:rPr>
      </w:pPr>
    </w:p>
    <w:p w14:paraId="7D41CA0D">
      <w:pPr>
        <w:rPr>
          <w:rFonts w:hint="eastAsia" w:ascii="仿宋" w:hAnsi="仿宋" w:eastAsia="仿宋" w:cs="仿宋"/>
          <w:color w:val="000000"/>
          <w:sz w:val="32"/>
          <w:szCs w:val="32"/>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40D88E3D">
      <w:pPr>
        <w:pStyle w:val="13"/>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8"/>
      </w:pPr>
    </w:p>
    <w:p w14:paraId="3132B795"/>
    <w:p w14:paraId="0A576042">
      <w:pPr>
        <w:pStyle w:val="8"/>
      </w:pPr>
    </w:p>
    <w:p w14:paraId="6DC81925"/>
    <w:p w14:paraId="73950FA8">
      <w:pPr>
        <w:pStyle w:val="8"/>
      </w:pPr>
    </w:p>
    <w:p w14:paraId="3D3ADE1E"/>
    <w:p w14:paraId="3EA602B9">
      <w:pPr>
        <w:pStyle w:val="8"/>
      </w:pPr>
    </w:p>
    <w:p w14:paraId="1C2369B1"/>
    <w:p w14:paraId="3D46A060">
      <w:pPr>
        <w:pStyle w:val="8"/>
      </w:pPr>
    </w:p>
    <w:p w14:paraId="0941FFCE"/>
    <w:p w14:paraId="46CE1A36">
      <w:pPr>
        <w:pStyle w:val="8"/>
      </w:pPr>
    </w:p>
    <w:p w14:paraId="2D3AA324"/>
    <w:p w14:paraId="5C50B345">
      <w:pPr>
        <w:pStyle w:val="8"/>
      </w:pPr>
    </w:p>
    <w:p w14:paraId="1C24A7AD"/>
    <w:p w14:paraId="38F03B4E">
      <w:pPr>
        <w:pStyle w:val="8"/>
      </w:pPr>
    </w:p>
    <w:p w14:paraId="5AB51ED1"/>
    <w:p w14:paraId="6F67E51F">
      <w:pPr>
        <w:pStyle w:val="8"/>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十四、工程量清单</w:t>
      </w:r>
      <w:r>
        <w:rPr>
          <w:rFonts w:ascii="宋体" w:hAnsi="宋体" w:eastAsia="宋体" w:cs="宋体"/>
          <w:b w:val="0"/>
          <w:color w:val="000000"/>
          <w:sz w:val="24"/>
          <w:szCs w:val="24"/>
        </w:rPr>
        <w:t>.....................................................</w:t>
      </w:r>
    </w:p>
    <w:p w14:paraId="3C07B32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十五、其他</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7EB90A3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8"/>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8"/>
        <w:rPr>
          <w:rFonts w:hint="eastAsia" w:ascii="宋体" w:hAnsi="宋体" w:eastAsia="宋体" w:cs="宋体"/>
          <w:b w:val="0"/>
          <w:color w:val="000000"/>
          <w:sz w:val="24"/>
          <w:szCs w:val="24"/>
          <w:lang w:val="en-US" w:eastAsia="zh-CN" w:bidi="ar-SA"/>
        </w:rPr>
      </w:pPr>
    </w:p>
    <w:p w14:paraId="68D71BD6">
      <w:pPr>
        <w:rPr>
          <w:rFonts w:hint="eastAsia" w:ascii="宋体" w:hAnsi="宋体" w:eastAsia="宋体" w:cs="宋体"/>
          <w:b w:val="0"/>
          <w:color w:val="000000"/>
          <w:sz w:val="24"/>
          <w:szCs w:val="24"/>
          <w:lang w:val="en-US" w:eastAsia="zh-CN" w:bidi="ar-SA"/>
        </w:rPr>
      </w:pPr>
    </w:p>
    <w:p w14:paraId="756E997C">
      <w:pPr>
        <w:pStyle w:val="8"/>
        <w:rPr>
          <w:rFonts w:hint="eastAsia"/>
          <w:lang w:val="en-US" w:eastAsia="zh-CN"/>
        </w:rPr>
      </w:pPr>
    </w:p>
    <w:p w14:paraId="1D14D27C">
      <w:pPr>
        <w:rPr>
          <w:rFonts w:hint="eastAsia"/>
          <w:lang w:val="en-US" w:eastAsia="zh-CN"/>
        </w:rPr>
      </w:pPr>
    </w:p>
    <w:p w14:paraId="1547887F">
      <w:pPr>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8"/>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十三、技术参数偏离表 （包括各项佐证材料）</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17F60C46">
      <w:pPr>
        <w:pStyle w:val="4"/>
        <w:keepNext w:val="0"/>
        <w:keepLines w:val="0"/>
        <w:pageBreakBefore w:val="0"/>
        <w:widowControl/>
        <w:numPr>
          <w:ilvl w:val="0"/>
          <w:numId w:val="0"/>
        </w:numPr>
        <w:kinsoku/>
        <w:overflowPunct/>
        <w:topLinePunct w:val="0"/>
        <w:autoSpaceDE/>
        <w:autoSpaceDN/>
        <w:bidi w:val="0"/>
        <w:adjustRightInd/>
        <w:snapToGrid/>
        <w:ind w:firstLine="562" w:firstLineChars="200"/>
        <w:jc w:val="left"/>
        <w:textAlignment w:val="auto"/>
        <w:outlineLvl w:val="2"/>
        <w:rPr>
          <w:rFonts w:hint="default" w:ascii="宋体" w:hAnsi="宋体" w:eastAsia="宋体" w:cs="宋体"/>
          <w:b/>
          <w:sz w:val="28"/>
          <w:szCs w:val="28"/>
          <w:lang w:val="en-US" w:eastAsia="zh-CN"/>
        </w:rPr>
      </w:pPr>
      <w:r>
        <w:rPr>
          <w:rFonts w:hint="eastAsia" w:eastAsia="宋体" w:cs="宋体"/>
          <w:b/>
          <w:sz w:val="28"/>
          <w:szCs w:val="28"/>
          <w:lang w:val="en-US" w:eastAsia="zh-CN"/>
        </w:rPr>
        <w:t>十四、工程量清单</w:t>
      </w: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十五、其它</w:t>
      </w:r>
      <w:bookmarkStart w:id="1" w:name="_GoBack"/>
      <w:bookmarkEnd w:id="1"/>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4552ABC"/>
    <w:rsid w:val="05076A5B"/>
    <w:rsid w:val="06B07F83"/>
    <w:rsid w:val="07EE0F70"/>
    <w:rsid w:val="080A65A2"/>
    <w:rsid w:val="0CC91539"/>
    <w:rsid w:val="0DA07F51"/>
    <w:rsid w:val="0F4E11A2"/>
    <w:rsid w:val="10D60D02"/>
    <w:rsid w:val="114A4798"/>
    <w:rsid w:val="11AB1717"/>
    <w:rsid w:val="11EF4694"/>
    <w:rsid w:val="14CB207F"/>
    <w:rsid w:val="150E71F6"/>
    <w:rsid w:val="15C27910"/>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8D913CA"/>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0378CC"/>
    <w:rsid w:val="44AA028A"/>
    <w:rsid w:val="44B37A44"/>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5EA4EE3"/>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96E52AA"/>
    <w:rsid w:val="7A8D5099"/>
    <w:rsid w:val="7BB21433"/>
    <w:rsid w:val="7D582F68"/>
    <w:rsid w:val="7DC23B16"/>
    <w:rsid w:val="7E926F37"/>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5">
    <w:name w:val="heading 4"/>
    <w:basedOn w:val="1"/>
    <w:next w:val="1"/>
    <w:unhideWhenUsed/>
    <w:qFormat/>
    <w:uiPriority w:val="0"/>
    <w:pPr>
      <w:keepNext/>
      <w:keepLines/>
      <w:outlineLvl w:val="3"/>
    </w:pPr>
    <w:rPr>
      <w:rFonts w:ascii="Arial" w:hAnsi="Arial" w:eastAsia="黑体"/>
      <w:sz w:val="24"/>
    </w:rPr>
  </w:style>
  <w:style w:type="character" w:default="1" w:styleId="16">
    <w:name w:val="Default Paragraph Font"/>
    <w:autoRedefine/>
    <w:semiHidden/>
    <w:qFormat/>
    <w:uiPriority w:val="2"/>
  </w:style>
  <w:style w:type="table" w:default="1" w:styleId="14">
    <w:name w:val="Normal Table"/>
    <w:semiHidden/>
    <w:qFormat/>
    <w:uiPriority w:val="3"/>
    <w:tblPr>
      <w:tblCellMar>
        <w:top w:w="0" w:type="dxa"/>
        <w:left w:w="108" w:type="dxa"/>
        <w:bottom w:w="0" w:type="dxa"/>
        <w:right w:w="108" w:type="dxa"/>
      </w:tblCellMar>
    </w:tbl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Body Text Indent"/>
    <w:basedOn w:val="1"/>
    <w:qFormat/>
    <w:uiPriority w:val="0"/>
    <w:pPr>
      <w:spacing w:after="120" w:afterLines="0" w:afterAutospacing="0"/>
      <w:ind w:left="420" w:leftChars="200"/>
    </w:pPr>
  </w:style>
  <w:style w:type="paragraph" w:styleId="8">
    <w:name w:val="Plain Text"/>
    <w:basedOn w:val="9"/>
    <w:next w:val="1"/>
    <w:qFormat/>
    <w:uiPriority w:val="0"/>
    <w:rPr>
      <w:rFonts w:ascii="宋体" w:hAnsi="Courier New"/>
    </w:rPr>
  </w:style>
  <w:style w:type="paragraph" w:customStyle="1" w:styleId="9">
    <w:name w:val="Normal_6"/>
    <w:next w:val="8"/>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footer"/>
    <w:basedOn w:val="1"/>
    <w:qFormat/>
    <w:uiPriority w:val="151"/>
    <w:pPr>
      <w:tabs>
        <w:tab w:val="center" w:pos="4153"/>
        <w:tab w:val="right" w:pos="8306"/>
      </w:tabs>
      <w:snapToGrid w:val="0"/>
      <w:jc w:val="left"/>
    </w:pPr>
    <w:rPr>
      <w:sz w:val="18"/>
      <w:szCs w:val="18"/>
    </w:rPr>
  </w:style>
  <w:style w:type="paragraph" w:styleId="11">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3">
    <w:name w:val="Body Text First Indent 2"/>
    <w:basedOn w:val="7"/>
    <w:qFormat/>
    <w:uiPriority w:val="0"/>
    <w:pPr>
      <w:ind w:firstLine="420" w:firstLineChars="200"/>
    </w:pPr>
  </w:style>
  <w:style w:type="table" w:styleId="15">
    <w:name w:val="Table Grid"/>
    <w:basedOn w:val="14"/>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6"/>
    <w:autoRedefine/>
    <w:qFormat/>
    <w:uiPriority w:val="0"/>
    <w:rPr>
      <w:rFonts w:hint="eastAsia" w:ascii="宋体" w:hAnsi="宋体" w:eastAsia="宋体" w:cs="宋体"/>
      <w:color w:val="000000"/>
      <w:sz w:val="24"/>
      <w:szCs w:val="24"/>
      <w:u w:val="none"/>
    </w:rPr>
  </w:style>
  <w:style w:type="character" w:customStyle="1" w:styleId="20">
    <w:name w:val="font31"/>
    <w:basedOn w:val="16"/>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6"/>
    <w:autoRedefine/>
    <w:qFormat/>
    <w:uiPriority w:val="0"/>
    <w:rPr>
      <w:rFonts w:ascii="Calibri" w:hAnsi="Calibri" w:cs="Calibri"/>
      <w:color w:val="000000"/>
      <w:sz w:val="28"/>
      <w:szCs w:val="28"/>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2438</Words>
  <Characters>2589</Characters>
  <Lines>0</Lines>
  <Paragraphs>0</Paragraphs>
  <TotalTime>19</TotalTime>
  <ScaleCrop>false</ScaleCrop>
  <LinksUpToDate>false</LinksUpToDate>
  <CharactersWithSpaces>2717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2025-09-04T02:08:40Z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E45A43C3AE6F437385CE4980C4A1935B_13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