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鄂尔多斯市中心医院</w:t>
      </w:r>
    </w:p>
    <w:p w14:paraId="4460EAC3">
      <w:pPr>
        <w:numPr>
          <w:ilvl w:val="0"/>
          <w:numId w:val="0"/>
        </w:numPr>
        <w:jc w:val="center"/>
        <w:rPr>
          <w:rFonts w:hint="eastAsia" w:ascii="微软雅黑" w:hAnsi="微软雅黑" w:eastAsia="微软雅黑" w:cs="微软雅黑"/>
          <w:b/>
          <w:bCs/>
          <w:sz w:val="44"/>
          <w:szCs w:val="44"/>
          <w:lang w:val="en-US" w:eastAsia="zh-CN"/>
        </w:rPr>
      </w:pPr>
    </w:p>
    <w:p w14:paraId="7855E913">
      <w:pPr>
        <w:numPr>
          <w:ilvl w:val="0"/>
          <w:numId w:val="0"/>
        </w:numPr>
        <w:jc w:val="center"/>
        <w:rPr>
          <w:rFonts w:hint="eastAsia" w:ascii="微软雅黑" w:hAnsi="微软雅黑" w:eastAsia="微软雅黑" w:cs="微软雅黑"/>
          <w:b/>
          <w:bCs/>
          <w:sz w:val="44"/>
          <w:szCs w:val="44"/>
          <w:lang w:val="en-US" w:eastAsia="zh-CN"/>
        </w:rPr>
      </w:pPr>
    </w:p>
    <w:p w14:paraId="24BCF1D6">
      <w:pPr>
        <w:numPr>
          <w:ilvl w:val="0"/>
          <w:numId w:val="0"/>
        </w:numPr>
        <w:ind w:firstLine="2641" w:firstLineChars="600"/>
        <w:jc w:val="both"/>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9"/>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710D3972">
      <w:pPr>
        <w:pStyle w:val="14"/>
        <w:rPr>
          <w:rFonts w:hint="eastAsia"/>
          <w:lang w:val="en-US" w:eastAsia="zh-CN"/>
        </w:rPr>
      </w:pPr>
      <w:r>
        <w:rPr>
          <w:rFonts w:hint="eastAsia" w:ascii="微软雅黑" w:hAnsi="微软雅黑" w:eastAsia="微软雅黑" w:cs="微软雅黑"/>
          <w:b/>
          <w:bCs/>
          <w:sz w:val="36"/>
          <w:szCs w:val="36"/>
          <w:lang w:val="en-US" w:eastAsia="zh-CN" w:bidi="ar-SA"/>
        </w:rPr>
        <w:t>土地房产信息测绘服务项目（东康两部）</w:t>
      </w:r>
      <w:r>
        <w:rPr>
          <w:rFonts w:hint="eastAsia"/>
          <w:lang w:val="en-US" w:eastAsia="zh-CN"/>
        </w:rPr>
        <w:t> </w:t>
      </w:r>
    </w:p>
    <w:p w14:paraId="13F46CB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2025年9月2日</w:t>
      </w:r>
    </w:p>
    <w:p w14:paraId="3DED3793">
      <w:pPr>
        <w:numPr>
          <w:ilvl w:val="0"/>
          <w:numId w:val="0"/>
        </w:numPr>
        <w:rPr>
          <w:rFonts w:hint="eastAsia"/>
          <w:b/>
          <w:bCs/>
          <w:sz w:val="28"/>
          <w:szCs w:val="28"/>
          <w:lang w:val="en-US" w:eastAsia="zh-CN"/>
        </w:rPr>
      </w:pPr>
      <w:r>
        <w:rPr>
          <w:rFonts w:hint="eastAsia"/>
          <w:b/>
          <w:bCs/>
          <w:sz w:val="28"/>
          <w:szCs w:val="28"/>
          <w:lang w:val="en-US" w:eastAsia="zh-CN"/>
        </w:rPr>
        <w:t xml:space="preserve">  </w:t>
      </w:r>
    </w:p>
    <w:p w14:paraId="65D21F43">
      <w:pPr>
        <w:numPr>
          <w:ilvl w:val="0"/>
          <w:numId w:val="0"/>
        </w:numPr>
        <w:rPr>
          <w:rFonts w:hint="default"/>
          <w:b/>
          <w:bCs/>
          <w:sz w:val="28"/>
          <w:szCs w:val="28"/>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商务条款                               货币单位：元</w:t>
      </w:r>
    </w:p>
    <w:tbl>
      <w:tblPr>
        <w:tblStyle w:val="15"/>
        <w:tblW w:w="8739"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0"/>
        <w:gridCol w:w="2692"/>
        <w:gridCol w:w="962"/>
        <w:gridCol w:w="1125"/>
        <w:gridCol w:w="1609"/>
        <w:gridCol w:w="1381"/>
      </w:tblGrid>
      <w:tr w14:paraId="04C4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66705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bookmarkStart w:id="1" w:name="_GoBack"/>
            <w:r>
              <w:rPr>
                <w:rFonts w:hint="eastAsia" w:ascii="宋体" w:hAnsi="宋体" w:eastAsia="宋体" w:cs="宋体"/>
                <w:sz w:val="28"/>
                <w:szCs w:val="28"/>
                <w:u w:val="none"/>
              </w:rPr>
              <w:t>序号</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87CCE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名称</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82EB9A">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u w:val="none"/>
              </w:rPr>
            </w:pPr>
            <w:r>
              <w:rPr>
                <w:rFonts w:hint="eastAsia" w:ascii="宋体" w:hAnsi="宋体" w:eastAsia="宋体" w:cs="宋体"/>
                <w:sz w:val="28"/>
                <w:szCs w:val="28"/>
                <w:u w:val="none"/>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788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数量</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D92702">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u w:val="none"/>
              </w:rPr>
            </w:pPr>
            <w:r>
              <w:rPr>
                <w:rFonts w:hint="eastAsia" w:ascii="宋体" w:hAnsi="宋体" w:eastAsia="宋体" w:cs="宋体"/>
                <w:sz w:val="28"/>
                <w:szCs w:val="28"/>
                <w:u w:val="none"/>
              </w:rPr>
              <w:t>预算单价</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AC79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预算总价</w:t>
            </w:r>
          </w:p>
        </w:tc>
      </w:tr>
      <w:tr w14:paraId="13EC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6"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ED3FC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1</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7ED33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土地房产信息测绘服务项目（东康两部）</w:t>
            </w:r>
            <w:r>
              <w:rPr>
                <w:rFonts w:hint="eastAsia" w:ascii="宋体" w:hAnsi="宋体" w:eastAsia="宋体" w:cs="宋体"/>
                <w:sz w:val="28"/>
                <w:szCs w:val="28"/>
                <w:u w:val="none"/>
              </w:rPr>
              <w:t> </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5A23F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
              <w:jc w:val="center"/>
              <w:rPr>
                <w:rFonts w:hint="eastAsia" w:eastAsiaTheme="minorEastAsia"/>
                <w:sz w:val="28"/>
                <w:szCs w:val="28"/>
                <w:u w:val="none"/>
                <w:lang w:eastAsia="zh-CN"/>
              </w:rPr>
            </w:pPr>
            <w:r>
              <w:rPr>
                <w:rFonts w:hint="eastAsia" w:ascii="宋体" w:hAnsi="宋体" w:eastAsia="宋体" w:cs="宋体"/>
                <w:sz w:val="28"/>
                <w:szCs w:val="28"/>
                <w:u w:val="none"/>
                <w:lang w:val="en-US" w:eastAsia="zh-CN"/>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735FE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val="en-US" w:eastAsia="zh-CN"/>
              </w:rPr>
            </w:pPr>
            <w:r>
              <w:rPr>
                <w:rFonts w:hint="eastAsia" w:ascii="宋体" w:hAnsi="宋体" w:eastAsia="宋体" w:cs="宋体"/>
                <w:sz w:val="28"/>
                <w:szCs w:val="28"/>
                <w:u w:val="none"/>
                <w:lang w:val="en-US" w:eastAsia="zh-CN"/>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E38B3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499458</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C2601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宋体" w:hAnsi="宋体" w:eastAsia="宋体" w:cs="宋体"/>
                <w:sz w:val="28"/>
                <w:szCs w:val="28"/>
                <w:u w:val="none"/>
                <w:lang w:val="en-US" w:eastAsia="zh-CN"/>
              </w:rPr>
              <w:t>499458</w:t>
            </w:r>
          </w:p>
        </w:tc>
      </w:tr>
      <w:tr w14:paraId="1AD0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4E399D">
            <w:pPr>
              <w:keepNext w:val="0"/>
              <w:keepLines w:val="0"/>
              <w:widowControl/>
              <w:suppressLineNumbers w:val="0"/>
              <w:spacing w:before="0" w:beforeAutospacing="0" w:after="0" w:afterAutospacing="0"/>
              <w:ind w:left="0" w:right="0"/>
              <w:jc w:val="center"/>
              <w:rPr>
                <w:sz w:val="28"/>
                <w:szCs w:val="28"/>
                <w:u w:val="none"/>
              </w:rPr>
            </w:pPr>
          </w:p>
        </w:tc>
        <w:tc>
          <w:tcPr>
            <w:tcW w:w="63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873DD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sz w:val="28"/>
                <w:szCs w:val="28"/>
                <w:u w:val="none"/>
              </w:rPr>
            </w:pPr>
            <w:r>
              <w:rPr>
                <w:rFonts w:hint="eastAsia" w:ascii="宋体" w:hAnsi="宋体" w:eastAsia="宋体" w:cs="宋体"/>
                <w:sz w:val="28"/>
                <w:szCs w:val="28"/>
                <w:u w:val="none"/>
              </w:rPr>
              <w:t>总价合计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C9CBB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宋体" w:hAnsi="宋体" w:eastAsia="宋体" w:cs="宋体"/>
                <w:sz w:val="28"/>
                <w:szCs w:val="28"/>
                <w:u w:val="none"/>
                <w:lang w:val="en-US" w:eastAsia="zh-CN"/>
              </w:rPr>
              <w:t>499458</w:t>
            </w:r>
          </w:p>
        </w:tc>
      </w:tr>
      <w:tr w14:paraId="596A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5FE1E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2</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435D7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交付使用时间</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0919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仿宋" w:hAnsi="仿宋" w:eastAsia="仿宋" w:cs="仿宋"/>
                <w:kern w:val="0"/>
                <w:sz w:val="32"/>
                <w:szCs w:val="32"/>
                <w:lang w:val="en-US" w:eastAsia="zh-CN"/>
              </w:rPr>
              <w:t>合同签订后30日内</w:t>
            </w:r>
          </w:p>
        </w:tc>
      </w:tr>
      <w:tr w14:paraId="2D53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7704E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3</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2BA21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合同期</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0331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30日</w:t>
            </w:r>
          </w:p>
        </w:tc>
      </w:tr>
      <w:tr w14:paraId="6A4F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55EB6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4</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8D26E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付款方式</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221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default"/>
                <w:sz w:val="28"/>
                <w:szCs w:val="28"/>
                <w:u w:val="none"/>
                <w:lang w:val="en-US"/>
              </w:rPr>
            </w:pPr>
            <w:r>
              <w:rPr>
                <w:rFonts w:hint="eastAsia"/>
                <w:sz w:val="28"/>
                <w:szCs w:val="28"/>
                <w:u w:val="none"/>
                <w:lang w:val="en-US" w:eastAsia="zh-CN"/>
              </w:rPr>
              <w:t>验收合格后支付审定金额的100%</w:t>
            </w:r>
          </w:p>
        </w:tc>
      </w:tr>
      <w:tr w14:paraId="305C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85EA3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5</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8DFD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服务期</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5735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服务全流程</w:t>
            </w:r>
          </w:p>
        </w:tc>
      </w:tr>
      <w:tr w14:paraId="6647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88B8C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6</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A65E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交付地点</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33E84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eastAsia="zh-CN"/>
              </w:rPr>
            </w:pPr>
            <w:r>
              <w:rPr>
                <w:rFonts w:hint="eastAsia" w:ascii="宋体" w:hAnsi="宋体" w:eastAsia="宋体" w:cs="宋体"/>
                <w:sz w:val="28"/>
                <w:szCs w:val="28"/>
                <w:u w:val="none"/>
              </w:rPr>
              <w:t>鄂尔多斯市中心医院</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东康两部</w:t>
            </w:r>
            <w:r>
              <w:rPr>
                <w:rFonts w:hint="eastAsia" w:ascii="宋体" w:hAnsi="宋体" w:eastAsia="宋体" w:cs="宋体"/>
                <w:sz w:val="28"/>
                <w:szCs w:val="28"/>
                <w:u w:val="none"/>
                <w:lang w:eastAsia="zh-CN"/>
              </w:rPr>
              <w:t>）</w:t>
            </w:r>
          </w:p>
        </w:tc>
      </w:tr>
      <w:tr w14:paraId="55EE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97BA9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7</w:t>
            </w:r>
          </w:p>
        </w:tc>
        <w:tc>
          <w:tcPr>
            <w:tcW w:w="266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7A6A1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资质要求</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591B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rPr>
              <w:t>供应商须具有行政主管部门颁发的的测绘（需包含航空摄影）乙级及以上资质且在有效期内（响应文件须附原件扫描件）。</w:t>
            </w:r>
          </w:p>
        </w:tc>
      </w:tr>
      <w:bookmarkEnd w:id="1"/>
    </w:tbl>
    <w:p w14:paraId="702CAB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p>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A04ACB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u w:val="single"/>
        </w:rPr>
        <w:t xml:space="preserve"> 根据市机关事务服务中心有关文件要求，开展东康两部土地房产信息测绘</w:t>
      </w:r>
      <w:r>
        <w:rPr>
          <w:rFonts w:hint="eastAsia" w:ascii="仿宋" w:hAnsi="仿宋" w:eastAsia="仿宋" w:cs="仿宋"/>
          <w:sz w:val="32"/>
          <w:szCs w:val="32"/>
          <w:u w:val="single"/>
          <w:lang w:val="en-US" w:eastAsia="zh-CN"/>
        </w:rPr>
        <w:t>,包含</w:t>
      </w:r>
      <w:r>
        <w:rPr>
          <w:rFonts w:hint="eastAsia" w:ascii="仿宋" w:hAnsi="仿宋" w:eastAsia="仿宋" w:cs="仿宋"/>
          <w:sz w:val="32"/>
          <w:szCs w:val="32"/>
          <w:u w:val="single"/>
        </w:rPr>
        <w:t>办公用房测绘、东康两部建筑面积测绘、东胜部土地面积测绘</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 xml:space="preserve">                                                 </w:t>
      </w:r>
    </w:p>
    <w:p w14:paraId="366648C3">
      <w:pPr>
        <w:spacing w:line="360" w:lineRule="auto"/>
        <w:jc w:val="left"/>
        <w:rPr>
          <w:rFonts w:hint="eastAsia" w:ascii="仿宋" w:hAnsi="仿宋" w:eastAsia="仿宋" w:cs="仿宋"/>
          <w:sz w:val="32"/>
          <w:szCs w:val="32"/>
          <w:u w:val="single"/>
        </w:rPr>
      </w:pPr>
    </w:p>
    <w:p w14:paraId="75CA7E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技术参数和要求（功能和质量）</w:t>
      </w:r>
    </w:p>
    <w:tbl>
      <w:tblPr>
        <w:tblStyle w:val="15"/>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sz w:val="32"/>
                <w:szCs w:val="32"/>
              </w:rPr>
            </w:pPr>
            <w:r>
              <w:rPr>
                <w:rFonts w:hint="eastAsia" w:ascii="仿宋" w:hAnsi="仿宋" w:eastAsia="仿宋" w:cs="仿宋"/>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sz w:val="32"/>
                <w:szCs w:val="32"/>
              </w:rPr>
            </w:pPr>
            <w:r>
              <w:rPr>
                <w:rFonts w:hint="eastAsia" w:ascii="仿宋" w:hAnsi="仿宋" w:eastAsia="仿宋" w:cs="仿宋"/>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sz w:val="32"/>
                <w:szCs w:val="32"/>
              </w:rPr>
            </w:pPr>
            <w:r>
              <w:rPr>
                <w:rFonts w:hint="eastAsia" w:ascii="仿宋" w:hAnsi="仿宋" w:eastAsia="仿宋" w:cs="仿宋"/>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7121" w:type="dxa"/>
            <w:tcBorders>
              <w:top w:val="single" w:color="auto" w:sz="4" w:space="0"/>
              <w:left w:val="nil"/>
              <w:bottom w:val="single" w:color="auto" w:sz="4" w:space="0"/>
              <w:right w:val="single" w:color="auto" w:sz="4" w:space="0"/>
            </w:tcBorders>
            <w:vAlign w:val="center"/>
          </w:tcPr>
          <w:p w14:paraId="5FC71CA0">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1.开展依据： </w:t>
            </w:r>
          </w:p>
          <w:p w14:paraId="5369B16C">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按照测绘行业规范标准开展工作，符合国家及行业相关法律法规要求。 </w:t>
            </w:r>
          </w:p>
          <w:p w14:paraId="3D27B46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2.服务内容： </w:t>
            </w:r>
          </w:p>
          <w:p w14:paraId="1C4C5507">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为土地房屋供应提供测绘数据，并提交相应图件资料。  </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sz w:val="32"/>
                <w:szCs w:val="32"/>
              </w:rPr>
            </w:pPr>
            <w:r>
              <w:rPr>
                <w:rFonts w:hint="eastAsia" w:ascii="仿宋" w:hAnsi="仿宋" w:eastAsia="仿宋" w:cs="仿宋"/>
                <w:sz w:val="32"/>
                <w:szCs w:val="32"/>
              </w:rPr>
              <w:t>2</w:t>
            </w:r>
          </w:p>
        </w:tc>
        <w:tc>
          <w:tcPr>
            <w:tcW w:w="7121" w:type="dxa"/>
            <w:tcBorders>
              <w:top w:val="single" w:color="auto" w:sz="4" w:space="0"/>
              <w:left w:val="nil"/>
              <w:bottom w:val="single" w:color="auto" w:sz="4" w:space="0"/>
              <w:right w:val="single" w:color="auto" w:sz="4" w:space="0"/>
            </w:tcBorders>
            <w:vAlign w:val="center"/>
          </w:tcPr>
          <w:p w14:paraId="0B11A111">
            <w:pPr>
              <w:pStyle w:val="2"/>
              <w:rPr>
                <w:rFonts w:hint="eastAsia" w:ascii="仿宋" w:hAnsi="仿宋" w:eastAsia="仿宋" w:cs="仿宋"/>
                <w:sz w:val="32"/>
                <w:szCs w:val="32"/>
              </w:rPr>
            </w:pPr>
            <w:r>
              <w:rPr>
                <w:rFonts w:hint="eastAsia" w:ascii="仿宋" w:hAnsi="仿宋" w:eastAsia="仿宋" w:cs="仿宋"/>
                <w:sz w:val="32"/>
                <w:szCs w:val="32"/>
              </w:rPr>
              <w:t>一、办理不动产证房产实测报告</w:t>
            </w:r>
          </w:p>
          <w:p w14:paraId="545D936F">
            <w:pPr>
              <w:pStyle w:val="2"/>
              <w:rPr>
                <w:rFonts w:hint="eastAsia" w:ascii="仿宋" w:hAnsi="仿宋" w:eastAsia="仿宋" w:cs="仿宋"/>
                <w:sz w:val="32"/>
                <w:szCs w:val="32"/>
              </w:rPr>
            </w:pPr>
            <w:r>
              <w:rPr>
                <w:rFonts w:hint="eastAsia" w:ascii="仿宋" w:hAnsi="仿宋" w:eastAsia="仿宋" w:cs="仿宋"/>
                <w:sz w:val="32"/>
                <w:szCs w:val="32"/>
              </w:rPr>
              <w:t>1.康巴什部需测建筑面积138023平方米</w:t>
            </w:r>
          </w:p>
          <w:p w14:paraId="1DECD631">
            <w:pPr>
              <w:pStyle w:val="2"/>
              <w:rPr>
                <w:rFonts w:hint="eastAsia" w:ascii="仿宋" w:hAnsi="仿宋" w:eastAsia="仿宋" w:cs="仿宋"/>
                <w:sz w:val="32"/>
                <w:szCs w:val="32"/>
              </w:rPr>
            </w:pPr>
            <w:r>
              <w:rPr>
                <w:rFonts w:hint="eastAsia" w:ascii="仿宋" w:hAnsi="仿宋" w:eastAsia="仿宋" w:cs="仿宋"/>
                <w:sz w:val="32"/>
                <w:szCs w:val="32"/>
              </w:rPr>
              <w:t>2.东胜部需测170000平方米</w:t>
            </w:r>
          </w:p>
          <w:p w14:paraId="26F46E67">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本项服务实测报告</w:t>
            </w:r>
            <w:r>
              <w:rPr>
                <w:rFonts w:hint="eastAsia" w:ascii="仿宋" w:hAnsi="仿宋" w:eastAsia="仿宋" w:cs="仿宋"/>
                <w:sz w:val="32"/>
                <w:szCs w:val="32"/>
              </w:rPr>
              <w:t>需鄂尔多斯市城乡建设局审验通过，</w:t>
            </w:r>
            <w:r>
              <w:rPr>
                <w:rFonts w:hint="eastAsia" w:ascii="仿宋" w:hAnsi="仿宋" w:eastAsia="仿宋" w:cs="仿宋"/>
                <w:sz w:val="32"/>
                <w:szCs w:val="32"/>
                <w:lang w:eastAsia="zh-CN"/>
              </w:rPr>
              <w:t>用于</w:t>
            </w:r>
            <w:r>
              <w:rPr>
                <w:rFonts w:hint="eastAsia" w:ascii="仿宋" w:hAnsi="仿宋" w:eastAsia="仿宋" w:cs="仿宋"/>
                <w:sz w:val="32"/>
                <w:szCs w:val="32"/>
              </w:rPr>
              <w:t>办理不动产证</w:t>
            </w:r>
            <w:r>
              <w:rPr>
                <w:rFonts w:hint="eastAsia" w:ascii="仿宋" w:hAnsi="仿宋" w:eastAsia="仿宋" w:cs="仿宋"/>
                <w:sz w:val="32"/>
                <w:szCs w:val="32"/>
                <w:lang w:eastAsia="zh-CN"/>
              </w:rPr>
              <w:t>，确保数据准确，满足办理要求。</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sz w:val="32"/>
                <w:szCs w:val="32"/>
              </w:rPr>
            </w:pPr>
            <w:r>
              <w:rPr>
                <w:rFonts w:hint="eastAsia" w:ascii="仿宋" w:hAnsi="仿宋" w:eastAsia="仿宋" w:cs="仿宋"/>
                <w:sz w:val="32"/>
                <w:szCs w:val="32"/>
              </w:rPr>
              <w:t>3</w:t>
            </w:r>
          </w:p>
        </w:tc>
        <w:tc>
          <w:tcPr>
            <w:tcW w:w="7121" w:type="dxa"/>
            <w:tcBorders>
              <w:top w:val="single" w:color="auto" w:sz="4" w:space="0"/>
              <w:left w:val="nil"/>
              <w:bottom w:val="single" w:color="auto" w:sz="4" w:space="0"/>
              <w:right w:val="single" w:color="auto" w:sz="4" w:space="0"/>
            </w:tcBorders>
            <w:vAlign w:val="center"/>
          </w:tcPr>
          <w:p w14:paraId="2D35BA7B">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东胜部办理土地证地籍报告：占地面积83868平方米</w:t>
            </w:r>
            <w:r>
              <w:rPr>
                <w:rFonts w:hint="eastAsia" w:ascii="仿宋" w:hAnsi="仿宋" w:eastAsia="仿宋" w:cs="仿宋"/>
                <w:sz w:val="32"/>
                <w:szCs w:val="32"/>
                <w:lang w:eastAsia="zh-CN"/>
              </w:rPr>
              <w:t>。出具准确的符合实际的报告，协助办理土地证。</w:t>
            </w:r>
          </w:p>
        </w:tc>
      </w:tr>
      <w:tr w14:paraId="6B3DB58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6C9288">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3A982959">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37172BB7">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三、办公用房信息测绘报告：行政办公楼每层功能、使用人职务、房间使用面积等。</w:t>
            </w:r>
          </w:p>
          <w:p w14:paraId="4BC7F841">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1.康巴什部健康医学中心</w:t>
            </w:r>
            <w:r>
              <w:rPr>
                <w:rFonts w:hint="eastAsia" w:ascii="仿宋" w:hAnsi="仿宋" w:eastAsia="仿宋" w:cs="仿宋"/>
                <w:sz w:val="32"/>
                <w:szCs w:val="32"/>
                <w:lang w:val="en-US" w:eastAsia="zh-CN"/>
              </w:rPr>
              <w:t>3层、</w:t>
            </w:r>
            <w:r>
              <w:rPr>
                <w:rFonts w:hint="eastAsia" w:ascii="仿宋" w:hAnsi="仿宋" w:eastAsia="仿宋" w:cs="仿宋"/>
                <w:sz w:val="32"/>
                <w:szCs w:val="32"/>
                <w:lang w:eastAsia="zh-CN"/>
              </w:rPr>
              <w:t>5至7层，合计5931平米，</w:t>
            </w:r>
          </w:p>
          <w:p w14:paraId="054032BC">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2.东胜部行政办公楼，门诊楼8至10层，信息科、医工科办公室等合计6216平米 。</w:t>
            </w:r>
          </w:p>
          <w:p w14:paraId="284C006B">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东康俩部总计12147平米，需分别测绘测量准确数据，并体现于</w:t>
            </w:r>
            <w:r>
              <w:rPr>
                <w:rFonts w:hint="eastAsia" w:ascii="仿宋" w:hAnsi="仿宋" w:eastAsia="仿宋" w:cs="仿宋"/>
                <w:sz w:val="32"/>
                <w:szCs w:val="32"/>
                <w:lang w:val="en-US" w:eastAsia="zh-CN"/>
              </w:rPr>
              <w:t>CAD图型及表格中</w:t>
            </w:r>
            <w:r>
              <w:rPr>
                <w:rFonts w:hint="eastAsia" w:ascii="仿宋" w:hAnsi="仿宋" w:eastAsia="仿宋" w:cs="仿宋"/>
                <w:sz w:val="32"/>
                <w:szCs w:val="32"/>
                <w:lang w:eastAsia="zh-CN"/>
              </w:rPr>
              <w:t>。</w:t>
            </w:r>
          </w:p>
          <w:p w14:paraId="05497FB8">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办公用房测绘最终版CAD图形，要用平台专用识别工具识别上传到鄂尔多斯市党政机关房地产管理信息平台，所有表格和文件文字等相关信息、以及CAD图形信息，按树状结构分单位逐条录入到鄂尔多斯市党政机关房地产管理信息平台，鄂尔多斯市机关事务中心审验合格视为验收合格。</w:t>
            </w:r>
          </w:p>
        </w:tc>
      </w:tr>
    </w:tbl>
    <w:p w14:paraId="7F72B80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10D094E3">
      <w:pPr>
        <w:pStyle w:val="2"/>
        <w:rPr>
          <w:rFonts w:hint="eastAsia" w:eastAsia="宋体" w:asciiTheme="minorEastAsia" w:hAnsiTheme="minorEastAsia"/>
          <w:b/>
          <w:sz w:val="28"/>
          <w:szCs w:val="28"/>
          <w:lang w:val="en-US" w:eastAsia="zh-CN"/>
        </w:rPr>
      </w:pPr>
    </w:p>
    <w:p w14:paraId="043237CE">
      <w:pPr>
        <w:pStyle w:val="2"/>
        <w:rPr>
          <w:rFonts w:hint="eastAsia" w:eastAsia="宋体" w:asciiTheme="minorEastAsia" w:hAnsiTheme="minorEastAsia"/>
          <w:b/>
          <w:sz w:val="28"/>
          <w:szCs w:val="28"/>
          <w:lang w:val="en-US" w:eastAsia="zh-CN"/>
        </w:rPr>
      </w:pPr>
    </w:p>
    <w:p w14:paraId="0AA145E2">
      <w:pPr>
        <w:pStyle w:val="2"/>
        <w:rPr>
          <w:rFonts w:hint="eastAsia" w:eastAsia="宋体" w:asciiTheme="minorEastAsia" w:hAnsiTheme="minorEastAsia"/>
          <w:b/>
          <w:sz w:val="28"/>
          <w:szCs w:val="28"/>
          <w:lang w:val="en-US" w:eastAsia="zh-CN"/>
        </w:rPr>
      </w:pPr>
    </w:p>
    <w:p w14:paraId="06C5EB9D">
      <w:pPr>
        <w:pStyle w:val="2"/>
        <w:rPr>
          <w:rFonts w:hint="eastAsia" w:eastAsia="宋体" w:asciiTheme="minorEastAsia" w:hAnsiTheme="minorEastAsia"/>
          <w:b/>
          <w:sz w:val="28"/>
          <w:szCs w:val="28"/>
          <w:lang w:val="en-US" w:eastAsia="zh-CN"/>
        </w:rPr>
      </w:pPr>
    </w:p>
    <w:p w14:paraId="1D6E227F">
      <w:pPr>
        <w:pStyle w:val="2"/>
        <w:rPr>
          <w:rFonts w:hint="eastAsia" w:eastAsia="宋体" w:asciiTheme="minorEastAsia" w:hAnsiTheme="minorEastAsia"/>
          <w:b/>
          <w:sz w:val="28"/>
          <w:szCs w:val="28"/>
          <w:lang w:val="en-US" w:eastAsia="zh-CN"/>
        </w:rPr>
      </w:pPr>
    </w:p>
    <w:p w14:paraId="2FCE8C01">
      <w:pPr>
        <w:pStyle w:val="2"/>
        <w:rPr>
          <w:rFonts w:hint="eastAsia" w:eastAsia="宋体" w:asciiTheme="minorEastAsia" w:hAnsiTheme="minorEastAsia"/>
          <w:b/>
          <w:sz w:val="28"/>
          <w:szCs w:val="28"/>
          <w:lang w:val="en-US" w:eastAsia="zh-CN"/>
        </w:rPr>
      </w:pPr>
    </w:p>
    <w:p w14:paraId="6B2715E2">
      <w:pPr>
        <w:pStyle w:val="2"/>
        <w:rPr>
          <w:rFonts w:hint="eastAsia" w:eastAsia="宋体" w:asciiTheme="minorEastAsia" w:hAnsiTheme="minorEastAsia"/>
          <w:b/>
          <w:sz w:val="28"/>
          <w:szCs w:val="28"/>
          <w:lang w:val="en-US" w:eastAsia="zh-CN"/>
        </w:rPr>
      </w:pPr>
    </w:p>
    <w:p w14:paraId="049B9499">
      <w:pPr>
        <w:pStyle w:val="2"/>
        <w:rPr>
          <w:rFonts w:hint="eastAsia" w:eastAsia="宋体" w:asciiTheme="minorEastAsia" w:hAnsiTheme="minorEastAsia"/>
          <w:b/>
          <w:sz w:val="28"/>
          <w:szCs w:val="28"/>
          <w:lang w:val="en-US" w:eastAsia="zh-CN"/>
        </w:rPr>
      </w:pPr>
    </w:p>
    <w:p w14:paraId="46D7EB31">
      <w:pPr>
        <w:pStyle w:val="2"/>
        <w:rPr>
          <w:rFonts w:hint="eastAsia" w:eastAsia="宋体" w:asciiTheme="minorEastAsia" w:hAnsiTheme="minorEastAsia"/>
          <w:b/>
          <w:sz w:val="28"/>
          <w:szCs w:val="28"/>
          <w:lang w:val="en-US" w:eastAsia="zh-CN"/>
        </w:rPr>
      </w:pPr>
    </w:p>
    <w:p w14:paraId="55AAAFCB">
      <w:pPr>
        <w:pStyle w:val="2"/>
        <w:rPr>
          <w:rFonts w:hint="eastAsia" w:eastAsia="宋体" w:asciiTheme="minorEastAsia" w:hAnsiTheme="minorEastAsia"/>
          <w:b/>
          <w:sz w:val="28"/>
          <w:szCs w:val="28"/>
          <w:lang w:val="en-US" w:eastAsia="zh-CN"/>
        </w:rPr>
      </w:pPr>
    </w:p>
    <w:p w14:paraId="22A61F98">
      <w:pPr>
        <w:pStyle w:val="2"/>
        <w:rPr>
          <w:rFonts w:hint="eastAsia" w:eastAsia="宋体" w:asciiTheme="minorEastAsia" w:hAnsiTheme="minorEastAsia"/>
          <w:b/>
          <w:sz w:val="28"/>
          <w:szCs w:val="28"/>
          <w:lang w:val="en-US" w:eastAsia="zh-CN"/>
        </w:rPr>
      </w:pPr>
    </w:p>
    <w:p w14:paraId="6FC5FB8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5"/>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609FE361">
      <w:pPr>
        <w:pStyle w:val="14"/>
        <w:ind w:left="0" w:leftChars="0" w:firstLine="0" w:firstLineChars="0"/>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9"/>
      </w:pPr>
    </w:p>
    <w:p w14:paraId="3132B795"/>
    <w:p w14:paraId="0A576042">
      <w:pPr>
        <w:pStyle w:val="9"/>
      </w:pPr>
    </w:p>
    <w:p w14:paraId="6DC81925"/>
    <w:p w14:paraId="73950FA8">
      <w:pPr>
        <w:pStyle w:val="9"/>
      </w:pPr>
    </w:p>
    <w:p w14:paraId="3D3ADE1E"/>
    <w:p w14:paraId="3EA602B9">
      <w:pPr>
        <w:pStyle w:val="9"/>
      </w:pPr>
    </w:p>
    <w:p w14:paraId="1C2369B1"/>
    <w:p w14:paraId="3D46A060">
      <w:pPr>
        <w:pStyle w:val="9"/>
      </w:pPr>
    </w:p>
    <w:p w14:paraId="0941FFCE"/>
    <w:p w14:paraId="46CE1A36">
      <w:pPr>
        <w:pStyle w:val="9"/>
      </w:pPr>
    </w:p>
    <w:p w14:paraId="2D3AA324"/>
    <w:p w14:paraId="5C50B345">
      <w:pPr>
        <w:pStyle w:val="9"/>
      </w:pPr>
    </w:p>
    <w:p w14:paraId="1C24A7AD"/>
    <w:p w14:paraId="38F03B4E">
      <w:pPr>
        <w:pStyle w:val="9"/>
      </w:pPr>
    </w:p>
    <w:p w14:paraId="5AB51ED1"/>
    <w:p w14:paraId="6F67E51F">
      <w:pPr>
        <w:pStyle w:val="9"/>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9"/>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9"/>
        <w:rPr>
          <w:rFonts w:hint="eastAsia" w:ascii="宋体" w:hAnsi="宋体" w:eastAsia="宋体" w:cs="宋体"/>
          <w:b w:val="0"/>
          <w:color w:val="000000"/>
          <w:sz w:val="24"/>
          <w:szCs w:val="24"/>
          <w:lang w:val="en-US" w:eastAsia="zh-CN" w:bidi="ar-SA"/>
        </w:rPr>
      </w:pPr>
    </w:p>
    <w:p w14:paraId="3D0138F3">
      <w:pPr>
        <w:rPr>
          <w:rFonts w:hint="eastAsia" w:ascii="宋体" w:hAnsi="宋体" w:eastAsia="宋体" w:cs="宋体"/>
          <w:b w:val="0"/>
          <w:color w:val="000000"/>
          <w:sz w:val="24"/>
          <w:szCs w:val="24"/>
          <w:lang w:val="en-US" w:eastAsia="zh-CN" w:bidi="ar-SA"/>
        </w:rPr>
      </w:pPr>
    </w:p>
    <w:p w14:paraId="744C5544">
      <w:pPr>
        <w:pStyle w:val="2"/>
        <w:rPr>
          <w:rFonts w:hint="eastAsia"/>
          <w:lang w:val="en-US" w:eastAsia="zh-CN"/>
        </w:rPr>
      </w:pPr>
    </w:p>
    <w:p w14:paraId="68D71BD6">
      <w:pPr>
        <w:rPr>
          <w:rFonts w:hint="eastAsia" w:ascii="宋体" w:hAnsi="宋体" w:eastAsia="宋体" w:cs="宋体"/>
          <w:b w:val="0"/>
          <w:color w:val="000000"/>
          <w:sz w:val="24"/>
          <w:szCs w:val="24"/>
          <w:lang w:val="en-US" w:eastAsia="zh-CN" w:bidi="ar-SA"/>
        </w:rPr>
      </w:pPr>
    </w:p>
    <w:p w14:paraId="756E997C">
      <w:pPr>
        <w:pStyle w:val="9"/>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9"/>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5"/>
        <w:rPr>
          <w:rFonts w:hint="eastAsia"/>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56335F8"/>
    <w:multiLevelType w:val="singleLevel"/>
    <w:tmpl w:val="656335F8"/>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BE04C9F"/>
    <w:rsid w:val="0CC91539"/>
    <w:rsid w:val="0DA07F51"/>
    <w:rsid w:val="0F4E11A2"/>
    <w:rsid w:val="10D60D02"/>
    <w:rsid w:val="114A4798"/>
    <w:rsid w:val="11AB1717"/>
    <w:rsid w:val="11EF4694"/>
    <w:rsid w:val="14CB207F"/>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3DD4729"/>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9A4539"/>
    <w:rsid w:val="3E650D1D"/>
    <w:rsid w:val="3E9002A8"/>
    <w:rsid w:val="3F552A03"/>
    <w:rsid w:val="3FAD4587"/>
    <w:rsid w:val="420378CC"/>
    <w:rsid w:val="44AA028A"/>
    <w:rsid w:val="44B37A44"/>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5EA4EE3"/>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6">
    <w:name w:val="heading 4"/>
    <w:basedOn w:val="1"/>
    <w:next w:val="1"/>
    <w:unhideWhenUsed/>
    <w:qFormat/>
    <w:uiPriority w:val="0"/>
    <w:pPr>
      <w:keepNext/>
      <w:keepLines/>
      <w:outlineLvl w:val="3"/>
    </w:pPr>
    <w:rPr>
      <w:rFonts w:ascii="Arial" w:hAnsi="Arial" w:eastAsia="黑体"/>
      <w:sz w:val="24"/>
    </w:rPr>
  </w:style>
  <w:style w:type="character" w:default="1" w:styleId="17">
    <w:name w:val="Default Paragraph Font"/>
    <w:autoRedefine/>
    <w:semiHidden/>
    <w:qFormat/>
    <w:uiPriority w:val="2"/>
  </w:style>
  <w:style w:type="table" w:default="1" w:styleId="15">
    <w:name w:val="Normal Table"/>
    <w:semiHidden/>
    <w:qFormat/>
    <w:uiPriority w:val="3"/>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Body Text Indent"/>
    <w:basedOn w:val="1"/>
    <w:qFormat/>
    <w:uiPriority w:val="0"/>
    <w:pPr>
      <w:spacing w:after="120" w:afterLines="0" w:afterAutospacing="0"/>
      <w:ind w:left="420" w:leftChars="200"/>
    </w:pPr>
  </w:style>
  <w:style w:type="paragraph" w:styleId="9">
    <w:name w:val="Plain Text"/>
    <w:basedOn w:val="10"/>
    <w:next w:val="1"/>
    <w:qFormat/>
    <w:uiPriority w:val="0"/>
    <w:rPr>
      <w:rFonts w:ascii="宋体" w:hAnsi="Courier New"/>
    </w:rPr>
  </w:style>
  <w:style w:type="paragraph" w:customStyle="1" w:styleId="10">
    <w:name w:val="Normal_6"/>
    <w:next w:val="9"/>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footer"/>
    <w:basedOn w:val="1"/>
    <w:qFormat/>
    <w:uiPriority w:val="151"/>
    <w:pPr>
      <w:tabs>
        <w:tab w:val="center" w:pos="4153"/>
        <w:tab w:val="right" w:pos="8306"/>
      </w:tabs>
      <w:snapToGrid w:val="0"/>
      <w:jc w:val="left"/>
    </w:pPr>
    <w:rPr>
      <w:sz w:val="18"/>
      <w:szCs w:val="18"/>
    </w:rPr>
  </w:style>
  <w:style w:type="paragraph" w:styleId="12">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4">
    <w:name w:val="Body Text First Indent 2"/>
    <w:basedOn w:val="8"/>
    <w:qFormat/>
    <w:uiPriority w:val="0"/>
    <w:pPr>
      <w:ind w:firstLine="420" w:firstLineChars="200"/>
    </w:pPr>
  </w:style>
  <w:style w:type="table" w:styleId="16">
    <w:name w:val="Table Grid"/>
    <w:basedOn w:val="15"/>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7"/>
    <w:autoRedefine/>
    <w:qFormat/>
    <w:uiPriority w:val="0"/>
    <w:rPr>
      <w:rFonts w:hint="eastAsia" w:ascii="宋体" w:hAnsi="宋体" w:eastAsia="宋体" w:cs="宋体"/>
      <w:color w:val="000000"/>
      <w:sz w:val="24"/>
      <w:szCs w:val="24"/>
      <w:u w:val="none"/>
    </w:rPr>
  </w:style>
  <w:style w:type="character" w:customStyle="1" w:styleId="21">
    <w:name w:val="font31"/>
    <w:basedOn w:val="17"/>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7"/>
    <w:autoRedefine/>
    <w:qFormat/>
    <w:uiPriority w:val="0"/>
    <w:rPr>
      <w:rFonts w:ascii="Calibri" w:hAnsi="Calibri" w:cs="Calibri"/>
      <w:color w:val="000000"/>
      <w:sz w:val="28"/>
      <w:szCs w:val="28"/>
      <w:u w:val="none"/>
    </w:rPr>
  </w:style>
  <w:style w:type="character" w:customStyle="1" w:styleId="24">
    <w:name w:val="font21"/>
    <w:basedOn w:val="17"/>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6009</Words>
  <Characters>6672</Characters>
  <Lines>0</Lines>
  <Paragraphs>0</Paragraphs>
  <TotalTime>1</TotalTime>
  <ScaleCrop>false</ScaleCrop>
  <LinksUpToDate>false</LinksUpToDate>
  <CharactersWithSpaces>7144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2025-09-05T02:45:32Z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D872D674157948C1990C50C997AB26FF_13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