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b/>
          <w:bCs/>
          <w:sz w:val="44"/>
          <w:szCs w:val="44"/>
          <w:lang w:val="en-US" w:eastAsia="zh-CN"/>
        </w:rPr>
      </w:pPr>
      <w:r>
        <w:rPr>
          <w:rFonts w:hint="eastAsia"/>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41" w:firstLineChars="600"/>
        <w:jc w:val="both"/>
        <w:rPr>
          <w:rFonts w:hint="default"/>
          <w:b/>
          <w:bCs/>
          <w:sz w:val="44"/>
          <w:szCs w:val="44"/>
          <w:lang w:val="en-US" w:eastAsia="zh-CN"/>
        </w:rPr>
      </w:pPr>
      <w:r>
        <w:rPr>
          <w:rFonts w:hint="eastAsia"/>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3753AF03">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东胜部院区楼顶大字更换项目</w:t>
      </w:r>
    </w:p>
    <w:p w14:paraId="13F46CBC">
      <w:pPr>
        <w:numPr>
          <w:ilvl w:val="0"/>
          <w:numId w:val="0"/>
        </w:numPr>
        <w:jc w:val="center"/>
        <w:rPr>
          <w:rFonts w:hint="default"/>
          <w:b/>
          <w:bCs/>
          <w:sz w:val="36"/>
          <w:szCs w:val="36"/>
          <w:lang w:val="en-US" w:eastAsia="zh-CN"/>
        </w:rPr>
      </w:pPr>
      <w:r>
        <w:rPr>
          <w:rFonts w:hint="eastAsia"/>
          <w:b/>
          <w:bCs/>
          <w:sz w:val="36"/>
          <w:szCs w:val="36"/>
          <w:lang w:val="en-US" w:eastAsia="zh-CN"/>
        </w:rPr>
        <w:t>2025年10月10日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7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841"/>
      </w:tblGrid>
      <w:tr w14:paraId="57FCD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7DB621C4">
            <w:pP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序号</w:t>
            </w:r>
          </w:p>
        </w:tc>
        <w:tc>
          <w:tcPr>
            <w:tcW w:w="2865" w:type="dxa"/>
            <w:vAlign w:val="center"/>
          </w:tcPr>
          <w:p w14:paraId="0802FA1B">
            <w:pP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名称</w:t>
            </w:r>
          </w:p>
        </w:tc>
        <w:tc>
          <w:tcPr>
            <w:tcW w:w="903" w:type="dxa"/>
            <w:vAlign w:val="center"/>
          </w:tcPr>
          <w:p w14:paraId="6B1B56C7">
            <w:pP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单位</w:t>
            </w:r>
          </w:p>
        </w:tc>
        <w:tc>
          <w:tcPr>
            <w:tcW w:w="826" w:type="dxa"/>
            <w:vAlign w:val="center"/>
          </w:tcPr>
          <w:p w14:paraId="3DF89953">
            <w:pP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数量</w:t>
            </w:r>
          </w:p>
        </w:tc>
        <w:tc>
          <w:tcPr>
            <w:tcW w:w="1338" w:type="dxa"/>
            <w:vAlign w:val="center"/>
          </w:tcPr>
          <w:p w14:paraId="3E5AE380">
            <w:pP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预算单价</w:t>
            </w:r>
          </w:p>
        </w:tc>
        <w:tc>
          <w:tcPr>
            <w:tcW w:w="1841" w:type="dxa"/>
            <w:vAlign w:val="center"/>
          </w:tcPr>
          <w:p w14:paraId="6E6CE8D9">
            <w:pP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预算总价</w:t>
            </w:r>
          </w:p>
        </w:tc>
      </w:tr>
      <w:tr w14:paraId="22CF1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6FB0D43">
            <w:pP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w:t>
            </w:r>
          </w:p>
        </w:tc>
        <w:tc>
          <w:tcPr>
            <w:tcW w:w="2865" w:type="dxa"/>
            <w:vAlign w:val="center"/>
          </w:tcPr>
          <w:p w14:paraId="073D8730">
            <w:pP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东胜部院区楼顶大字更换项目</w:t>
            </w:r>
          </w:p>
        </w:tc>
        <w:tc>
          <w:tcPr>
            <w:tcW w:w="903" w:type="dxa"/>
            <w:vAlign w:val="center"/>
          </w:tcPr>
          <w:p w14:paraId="0260718B">
            <w:pP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项</w:t>
            </w:r>
          </w:p>
        </w:tc>
        <w:tc>
          <w:tcPr>
            <w:tcW w:w="826" w:type="dxa"/>
            <w:vAlign w:val="center"/>
          </w:tcPr>
          <w:p w14:paraId="7CC6A557">
            <w:pP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w:t>
            </w:r>
          </w:p>
        </w:tc>
        <w:tc>
          <w:tcPr>
            <w:tcW w:w="1338" w:type="dxa"/>
            <w:vAlign w:val="center"/>
          </w:tcPr>
          <w:p w14:paraId="265F8618">
            <w:pP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409709</w:t>
            </w:r>
          </w:p>
        </w:tc>
        <w:tc>
          <w:tcPr>
            <w:tcW w:w="1841" w:type="dxa"/>
            <w:vAlign w:val="center"/>
          </w:tcPr>
          <w:p w14:paraId="607782CA">
            <w:pP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409709</w:t>
            </w:r>
          </w:p>
        </w:tc>
      </w:tr>
      <w:tr w14:paraId="58F2C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2DD80649">
            <w:pPr>
              <w:rPr>
                <w:rFonts w:hint="eastAsia" w:ascii="仿宋" w:hAnsi="仿宋" w:eastAsia="仿宋" w:cs="仿宋"/>
                <w:color w:val="auto"/>
                <w:kern w:val="0"/>
                <w:sz w:val="32"/>
                <w:szCs w:val="32"/>
                <w:lang w:val="en-US" w:eastAsia="zh-CN"/>
              </w:rPr>
            </w:pPr>
          </w:p>
        </w:tc>
        <w:tc>
          <w:tcPr>
            <w:tcW w:w="5932" w:type="dxa"/>
            <w:gridSpan w:val="4"/>
            <w:vAlign w:val="center"/>
          </w:tcPr>
          <w:p w14:paraId="27EF5805">
            <w:pP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总价合计</w:t>
            </w:r>
          </w:p>
        </w:tc>
        <w:tc>
          <w:tcPr>
            <w:tcW w:w="1841" w:type="dxa"/>
            <w:vAlign w:val="center"/>
          </w:tcPr>
          <w:p w14:paraId="0204B84E">
            <w:pP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409709</w:t>
            </w:r>
          </w:p>
        </w:tc>
      </w:tr>
      <w:tr w14:paraId="6B544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939" w:type="dxa"/>
            <w:vAlign w:val="center"/>
          </w:tcPr>
          <w:p w14:paraId="5CE90E8C">
            <w:pP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w:t>
            </w:r>
          </w:p>
        </w:tc>
        <w:tc>
          <w:tcPr>
            <w:tcW w:w="2865" w:type="dxa"/>
            <w:vAlign w:val="center"/>
          </w:tcPr>
          <w:p w14:paraId="31835C3A">
            <w:pP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工期</w:t>
            </w:r>
          </w:p>
        </w:tc>
        <w:tc>
          <w:tcPr>
            <w:tcW w:w="4908" w:type="dxa"/>
            <w:gridSpan w:val="4"/>
            <w:vAlign w:val="center"/>
          </w:tcPr>
          <w:p w14:paraId="335A8252">
            <w:pP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40个日历日</w:t>
            </w:r>
          </w:p>
        </w:tc>
      </w:tr>
      <w:tr w14:paraId="198AA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2BB6EB70">
            <w:pP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w:t>
            </w:r>
          </w:p>
        </w:tc>
        <w:tc>
          <w:tcPr>
            <w:tcW w:w="2865" w:type="dxa"/>
            <w:vAlign w:val="center"/>
          </w:tcPr>
          <w:p w14:paraId="35DC6DE2">
            <w:pP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付款方式</w:t>
            </w:r>
          </w:p>
        </w:tc>
        <w:tc>
          <w:tcPr>
            <w:tcW w:w="4908" w:type="dxa"/>
            <w:gridSpan w:val="4"/>
            <w:vAlign w:val="center"/>
          </w:tcPr>
          <w:p w14:paraId="698BC31F">
            <w:pP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施工完成验收合格后付款95%，剩余5%质保金一年质保期满无质量问题付清。</w:t>
            </w:r>
          </w:p>
        </w:tc>
      </w:tr>
      <w:tr w14:paraId="798E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0CE68E3">
            <w:pP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p>
        </w:tc>
        <w:tc>
          <w:tcPr>
            <w:tcW w:w="2865" w:type="dxa"/>
            <w:vAlign w:val="center"/>
          </w:tcPr>
          <w:p w14:paraId="206B4B13">
            <w:pP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质保期</w:t>
            </w:r>
          </w:p>
        </w:tc>
        <w:tc>
          <w:tcPr>
            <w:tcW w:w="4908" w:type="dxa"/>
            <w:gridSpan w:val="4"/>
            <w:vAlign w:val="center"/>
          </w:tcPr>
          <w:p w14:paraId="5867A169">
            <w:pP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1年</w:t>
            </w:r>
          </w:p>
        </w:tc>
      </w:tr>
      <w:tr w14:paraId="666A8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22E9297F">
            <w:pP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w:t>
            </w:r>
          </w:p>
        </w:tc>
        <w:tc>
          <w:tcPr>
            <w:tcW w:w="2865" w:type="dxa"/>
            <w:vAlign w:val="center"/>
          </w:tcPr>
          <w:p w14:paraId="6A06BE01">
            <w:pP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交付地点</w:t>
            </w:r>
          </w:p>
        </w:tc>
        <w:tc>
          <w:tcPr>
            <w:tcW w:w="4908" w:type="dxa"/>
            <w:gridSpan w:val="4"/>
            <w:vAlign w:val="center"/>
          </w:tcPr>
          <w:p w14:paraId="4318DF7A">
            <w:pP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鄂尔多斯市中心医院东胜部</w:t>
            </w:r>
          </w:p>
        </w:tc>
      </w:tr>
      <w:tr w14:paraId="1DF62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1024102D">
            <w:pP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w:t>
            </w:r>
          </w:p>
        </w:tc>
        <w:tc>
          <w:tcPr>
            <w:tcW w:w="2865" w:type="dxa"/>
            <w:vAlign w:val="center"/>
          </w:tcPr>
          <w:p w14:paraId="4C6EEEBF">
            <w:pPr>
              <w:jc w:val="both"/>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进场时间</w:t>
            </w:r>
          </w:p>
        </w:tc>
        <w:tc>
          <w:tcPr>
            <w:tcW w:w="4908" w:type="dxa"/>
            <w:gridSpan w:val="4"/>
            <w:vAlign w:val="center"/>
          </w:tcPr>
          <w:p w14:paraId="0D9BB9E1">
            <w:pPr>
              <w:jc w:val="both"/>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签订合同后一周内</w:t>
            </w:r>
          </w:p>
        </w:tc>
      </w:tr>
    </w:tbl>
    <w:p w14:paraId="6E4C0A80">
      <w:pPr>
        <w:rPr>
          <w:rFonts w:hint="eastAsia" w:hAnsi="宋体"/>
          <w:sz w:val="24"/>
          <w:szCs w:val="24"/>
          <w:lang w:val="en-US" w:eastAsia="zh-CN"/>
        </w:rPr>
      </w:pPr>
      <w:bookmarkStart w:id="1" w:name="_GoBack"/>
      <w:bookmarkEnd w:id="1"/>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二、项目要求</w:t>
      </w:r>
    </w:p>
    <w:p w14:paraId="23F1A072">
      <w:pPr>
        <w:spacing w:line="360" w:lineRule="auto"/>
        <w:jc w:val="left"/>
        <w:rPr>
          <w:rFonts w:hint="eastAsia" w:ascii="仿宋" w:hAnsi="仿宋" w:eastAsia="仿宋" w:cs="仿宋"/>
          <w:color w:val="auto"/>
          <w:sz w:val="32"/>
          <w:szCs w:val="32"/>
          <w:u w:val="single"/>
        </w:rPr>
      </w:pPr>
      <w:r>
        <w:rPr>
          <w:rFonts w:hint="eastAsia" w:ascii="仿宋" w:hAnsi="仿宋" w:eastAsia="仿宋" w:cs="仿宋"/>
          <w:color w:val="auto"/>
          <w:sz w:val="32"/>
          <w:szCs w:val="32"/>
        </w:rPr>
        <w:t>（一）项目基本情况介绍：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拆除东胜部住院25层住院楼顶原有红十字标志及“市中心医院”蒙汉文三套楼顶大字、拆除已腐蚀氧化的钢结构。重新焊接加固钢结构、重新制作安装“鄂尔多斯市中心医院”三套楼顶发光大字及红十字医院标志。新制作安装门诊楼“健康医学中心”冲孔发光字。</w:t>
      </w:r>
      <w:r>
        <w:rPr>
          <w:rFonts w:hint="eastAsia" w:ascii="仿宋" w:hAnsi="仿宋" w:eastAsia="仿宋" w:cs="仿宋"/>
          <w:color w:val="auto"/>
          <w:sz w:val="32"/>
          <w:szCs w:val="32"/>
          <w:u w:val="single"/>
        </w:rPr>
        <w:t xml:space="preserve">                        </w:t>
      </w:r>
    </w:p>
    <w:p w14:paraId="1FD3B0ED">
      <w:pPr>
        <w:spacing w:line="360" w:lineRule="auto"/>
        <w:jc w:val="left"/>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u w:val="single"/>
          <w:lang w:val="en-US" w:eastAsia="zh-CN"/>
        </w:rPr>
        <w:t xml:space="preserve">                                                                     </w:t>
      </w:r>
    </w:p>
    <w:p w14:paraId="1A04ACB7">
      <w:pPr>
        <w:spacing w:line="360" w:lineRule="auto"/>
        <w:jc w:val="left"/>
        <w:rPr>
          <w:rFonts w:hint="eastAsia" w:ascii="仿宋" w:hAnsi="仿宋" w:eastAsia="仿宋" w:cs="仿宋"/>
          <w:color w:val="auto"/>
          <w:sz w:val="32"/>
          <w:szCs w:val="32"/>
          <w:u w:val="single"/>
        </w:rPr>
      </w:pP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p>
    <w:p w14:paraId="383ABE4F">
      <w:pPr>
        <w:spacing w:line="360" w:lineRule="auto"/>
        <w:jc w:val="left"/>
        <w:rPr>
          <w:rFonts w:hint="eastAsia" w:ascii="仿宋" w:hAnsi="仿宋" w:eastAsia="仿宋" w:cs="仿宋"/>
          <w:color w:val="auto"/>
          <w:sz w:val="32"/>
          <w:szCs w:val="32"/>
        </w:rPr>
      </w:pPr>
    </w:p>
    <w:p w14:paraId="770EDFEF">
      <w:pPr>
        <w:spacing w:line="360" w:lineRule="auto"/>
        <w:jc w:val="left"/>
        <w:rPr>
          <w:rFonts w:hint="eastAsia" w:ascii="仿宋" w:hAnsi="仿宋" w:eastAsia="仿宋" w:cs="仿宋"/>
          <w:color w:val="auto"/>
          <w:sz w:val="32"/>
          <w:szCs w:val="32"/>
        </w:rPr>
      </w:pPr>
    </w:p>
    <w:p w14:paraId="74E86F8E">
      <w:pPr>
        <w:spacing w:line="360" w:lineRule="auto"/>
        <w:jc w:val="left"/>
        <w:rPr>
          <w:rFonts w:hint="eastAsia" w:ascii="仿宋" w:hAnsi="仿宋" w:eastAsia="仿宋" w:cs="仿宋"/>
          <w:color w:val="auto"/>
          <w:sz w:val="32"/>
          <w:szCs w:val="32"/>
        </w:rPr>
      </w:pPr>
    </w:p>
    <w:p w14:paraId="34151CEA">
      <w:pPr>
        <w:spacing w:line="360" w:lineRule="auto"/>
        <w:jc w:val="left"/>
        <w:rPr>
          <w:rFonts w:hint="eastAsia" w:ascii="仿宋" w:hAnsi="仿宋" w:eastAsia="仿宋" w:cs="仿宋"/>
          <w:color w:val="auto"/>
          <w:sz w:val="32"/>
          <w:szCs w:val="32"/>
        </w:rPr>
      </w:pPr>
    </w:p>
    <w:p w14:paraId="763905AD">
      <w:pPr>
        <w:spacing w:line="360" w:lineRule="auto"/>
        <w:jc w:val="left"/>
        <w:rPr>
          <w:rFonts w:hint="eastAsia" w:ascii="仿宋" w:hAnsi="仿宋" w:eastAsia="仿宋" w:cs="仿宋"/>
          <w:color w:val="auto"/>
          <w:sz w:val="32"/>
          <w:szCs w:val="32"/>
        </w:rPr>
      </w:pPr>
    </w:p>
    <w:p w14:paraId="427BAAD1">
      <w:pPr>
        <w:spacing w:line="360" w:lineRule="auto"/>
        <w:jc w:val="left"/>
        <w:rPr>
          <w:rFonts w:hint="eastAsia" w:ascii="仿宋" w:hAnsi="仿宋" w:eastAsia="仿宋" w:cs="仿宋"/>
          <w:color w:val="auto"/>
          <w:sz w:val="32"/>
          <w:szCs w:val="32"/>
        </w:rPr>
      </w:pPr>
    </w:p>
    <w:p w14:paraId="640F8907">
      <w:pPr>
        <w:spacing w:line="360" w:lineRule="auto"/>
        <w:jc w:val="left"/>
        <w:rPr>
          <w:rFonts w:hint="eastAsia" w:ascii="仿宋" w:hAnsi="仿宋" w:eastAsia="仿宋" w:cs="仿宋"/>
          <w:color w:val="auto"/>
          <w:sz w:val="32"/>
          <w:szCs w:val="32"/>
        </w:rPr>
      </w:pPr>
    </w:p>
    <w:p w14:paraId="16A3863F">
      <w:pPr>
        <w:spacing w:line="360" w:lineRule="auto"/>
        <w:jc w:val="left"/>
        <w:rPr>
          <w:rFonts w:hint="eastAsia" w:ascii="仿宋" w:hAnsi="仿宋" w:eastAsia="仿宋" w:cs="仿宋"/>
          <w:color w:val="auto"/>
          <w:sz w:val="32"/>
          <w:szCs w:val="32"/>
        </w:rPr>
      </w:pPr>
    </w:p>
    <w:p w14:paraId="4A86BB5F">
      <w:pPr>
        <w:spacing w:line="360" w:lineRule="auto"/>
        <w:jc w:val="left"/>
        <w:rPr>
          <w:rFonts w:hint="eastAsia" w:ascii="仿宋" w:hAnsi="仿宋" w:eastAsia="仿宋" w:cs="仿宋"/>
          <w:color w:val="auto"/>
          <w:sz w:val="32"/>
          <w:szCs w:val="32"/>
        </w:rPr>
      </w:pPr>
    </w:p>
    <w:p w14:paraId="6B4338E5">
      <w:pPr>
        <w:spacing w:line="360" w:lineRule="auto"/>
        <w:jc w:val="left"/>
        <w:rPr>
          <w:rFonts w:hint="eastAsia" w:ascii="仿宋" w:hAnsi="仿宋" w:eastAsia="仿宋" w:cs="仿宋"/>
          <w:color w:val="auto"/>
          <w:sz w:val="32"/>
          <w:szCs w:val="32"/>
        </w:rPr>
      </w:pPr>
    </w:p>
    <w:p w14:paraId="7985CE00">
      <w:pPr>
        <w:spacing w:line="360" w:lineRule="auto"/>
        <w:jc w:val="left"/>
        <w:rPr>
          <w:rFonts w:hint="eastAsia" w:ascii="仿宋" w:hAnsi="仿宋" w:eastAsia="仿宋" w:cs="仿宋"/>
          <w:color w:val="auto"/>
          <w:sz w:val="32"/>
          <w:szCs w:val="32"/>
        </w:rPr>
      </w:pPr>
    </w:p>
    <w:p w14:paraId="76BB6B3D">
      <w:pPr>
        <w:spacing w:line="360" w:lineRule="auto"/>
        <w:jc w:val="left"/>
        <w:rPr>
          <w:rFonts w:hint="eastAsia" w:ascii="仿宋" w:hAnsi="仿宋" w:eastAsia="仿宋" w:cs="仿宋"/>
          <w:color w:val="auto"/>
          <w:sz w:val="32"/>
          <w:szCs w:val="32"/>
        </w:rPr>
      </w:pPr>
    </w:p>
    <w:p w14:paraId="4EFE9729">
      <w:pPr>
        <w:spacing w:line="360" w:lineRule="auto"/>
        <w:jc w:val="left"/>
        <w:rPr>
          <w:rFonts w:hint="eastAsia" w:ascii="仿宋" w:hAnsi="仿宋" w:eastAsia="仿宋" w:cs="仿宋"/>
          <w:color w:val="auto"/>
          <w:sz w:val="32"/>
          <w:szCs w:val="32"/>
        </w:rPr>
      </w:pPr>
    </w:p>
    <w:p w14:paraId="54A24FD7">
      <w:pPr>
        <w:spacing w:line="360" w:lineRule="auto"/>
        <w:jc w:val="left"/>
        <w:rPr>
          <w:rFonts w:hint="eastAsia" w:ascii="仿宋" w:hAnsi="仿宋" w:eastAsia="仿宋" w:cs="仿宋"/>
          <w:color w:val="auto"/>
          <w:sz w:val="32"/>
          <w:szCs w:val="32"/>
        </w:rPr>
      </w:pPr>
    </w:p>
    <w:p w14:paraId="1567D3B9">
      <w:pPr>
        <w:spacing w:line="360" w:lineRule="auto"/>
        <w:jc w:val="left"/>
        <w:rPr>
          <w:rFonts w:hint="eastAsia" w:ascii="仿宋" w:hAnsi="仿宋" w:eastAsia="仿宋" w:cs="仿宋"/>
          <w:color w:val="auto"/>
          <w:sz w:val="32"/>
          <w:szCs w:val="32"/>
        </w:rPr>
      </w:pPr>
    </w:p>
    <w:p w14:paraId="5D1F7524">
      <w:pPr>
        <w:spacing w:line="360" w:lineRule="auto"/>
        <w:jc w:val="left"/>
        <w:rPr>
          <w:rFonts w:hint="eastAsia" w:ascii="仿宋" w:hAnsi="仿宋" w:eastAsia="仿宋" w:cs="仿宋"/>
          <w:color w:val="auto"/>
          <w:sz w:val="32"/>
          <w:szCs w:val="32"/>
        </w:rPr>
      </w:pPr>
    </w:p>
    <w:p w14:paraId="557CB461">
      <w:pPr>
        <w:spacing w:line="360" w:lineRule="auto"/>
        <w:jc w:val="left"/>
        <w:rPr>
          <w:rFonts w:hint="eastAsia" w:ascii="仿宋" w:hAnsi="仿宋" w:eastAsia="仿宋" w:cs="仿宋"/>
          <w:color w:val="auto"/>
          <w:sz w:val="32"/>
          <w:szCs w:val="32"/>
        </w:rPr>
      </w:pPr>
    </w:p>
    <w:p w14:paraId="721FD28D">
      <w:pPr>
        <w:spacing w:line="360" w:lineRule="auto"/>
        <w:jc w:val="left"/>
        <w:rPr>
          <w:rFonts w:hint="eastAsia" w:ascii="仿宋" w:hAnsi="仿宋" w:eastAsia="仿宋" w:cs="仿宋"/>
          <w:color w:val="auto"/>
          <w:sz w:val="32"/>
          <w:szCs w:val="32"/>
        </w:rPr>
      </w:pPr>
    </w:p>
    <w:p w14:paraId="75CA7EFA">
      <w:pPr>
        <w:spacing w:line="360" w:lineRule="auto"/>
        <w:jc w:val="left"/>
        <w:rPr>
          <w:rFonts w:hint="eastAsia" w:ascii="仿宋" w:hAnsi="仿宋" w:eastAsia="仿宋" w:cs="仿宋"/>
          <w:color w:val="auto"/>
          <w:sz w:val="32"/>
          <w:szCs w:val="32"/>
          <w:u w:val="single"/>
        </w:rPr>
      </w:pPr>
      <w:r>
        <w:rPr>
          <w:rFonts w:hint="eastAsia" w:ascii="仿宋" w:hAnsi="仿宋" w:eastAsia="仿宋" w:cs="仿宋"/>
          <w:color w:val="auto"/>
          <w:sz w:val="32"/>
          <w:szCs w:val="32"/>
        </w:rPr>
        <w:t>（二）技术参数和要求（功能和质量）</w:t>
      </w:r>
    </w:p>
    <w:tbl>
      <w:tblPr>
        <w:tblStyle w:val="14"/>
        <w:tblW w:w="10073" w:type="dxa"/>
        <w:jc w:val="center"/>
        <w:tblLayout w:type="fixed"/>
        <w:tblCellMar>
          <w:top w:w="0" w:type="dxa"/>
          <w:left w:w="108" w:type="dxa"/>
          <w:bottom w:w="0" w:type="dxa"/>
          <w:right w:w="108" w:type="dxa"/>
        </w:tblCellMar>
      </w:tblPr>
      <w:tblGrid>
        <w:gridCol w:w="1610"/>
        <w:gridCol w:w="975"/>
        <w:gridCol w:w="7488"/>
      </w:tblGrid>
      <w:tr w14:paraId="7E759BFE">
        <w:tblPrEx>
          <w:tblCellMar>
            <w:top w:w="0" w:type="dxa"/>
            <w:left w:w="108" w:type="dxa"/>
            <w:bottom w:w="0" w:type="dxa"/>
            <w:right w:w="108" w:type="dxa"/>
          </w:tblCellMar>
        </w:tblPrEx>
        <w:trPr>
          <w:trHeight w:val="599"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参数性质</w:t>
            </w:r>
          </w:p>
        </w:tc>
        <w:tc>
          <w:tcPr>
            <w:tcW w:w="975"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编号</w:t>
            </w:r>
          </w:p>
        </w:tc>
        <w:tc>
          <w:tcPr>
            <w:tcW w:w="7488"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975"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1</w:t>
            </w:r>
          </w:p>
        </w:tc>
        <w:tc>
          <w:tcPr>
            <w:tcW w:w="7488" w:type="dxa"/>
            <w:tcBorders>
              <w:top w:val="single" w:color="auto" w:sz="4" w:space="0"/>
              <w:left w:val="nil"/>
              <w:bottom w:val="single" w:color="auto" w:sz="4" w:space="0"/>
              <w:right w:val="single" w:color="auto" w:sz="4" w:space="0"/>
            </w:tcBorders>
            <w:vAlign w:val="center"/>
          </w:tcPr>
          <w:p w14:paraId="2A201173">
            <w:pPr>
              <w:widowControl/>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1.5mm厚度镀锌板烤漆</w:t>
            </w:r>
          </w:p>
        </w:tc>
      </w:tr>
      <w:tr w14:paraId="4387962C">
        <w:tblPrEx>
          <w:tblCellMar>
            <w:top w:w="0" w:type="dxa"/>
            <w:left w:w="108" w:type="dxa"/>
            <w:bottom w:w="0" w:type="dxa"/>
            <w:right w:w="108" w:type="dxa"/>
          </w:tblCellMar>
        </w:tblPrEx>
        <w:trPr>
          <w:trHeight w:val="773"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975" w:type="dxa"/>
            <w:tcBorders>
              <w:top w:val="single" w:color="auto" w:sz="4" w:space="0"/>
              <w:left w:val="nil"/>
              <w:bottom w:val="single" w:color="auto" w:sz="4" w:space="0"/>
              <w:right w:val="single" w:color="auto" w:sz="4" w:space="0"/>
            </w:tcBorders>
            <w:vAlign w:val="center"/>
          </w:tcPr>
          <w:p w14:paraId="22BECC8A">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7488" w:type="dxa"/>
            <w:tcBorders>
              <w:top w:val="single" w:color="auto" w:sz="4" w:space="0"/>
              <w:left w:val="nil"/>
              <w:bottom w:val="single" w:color="auto" w:sz="4" w:space="0"/>
              <w:right w:val="single" w:color="auto" w:sz="4" w:space="0"/>
            </w:tcBorders>
            <w:vAlign w:val="center"/>
          </w:tcPr>
          <w:p w14:paraId="74F2D8F0">
            <w:pPr>
              <w:widowControl/>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2cm蓝景LED灯、使用防水电源</w:t>
            </w:r>
          </w:p>
        </w:tc>
      </w:tr>
      <w:tr w14:paraId="013FD3B5">
        <w:tblPrEx>
          <w:tblCellMar>
            <w:top w:w="0" w:type="dxa"/>
            <w:left w:w="108" w:type="dxa"/>
            <w:bottom w:w="0" w:type="dxa"/>
            <w:right w:w="108" w:type="dxa"/>
          </w:tblCellMar>
        </w:tblPrEx>
        <w:trPr>
          <w:trHeight w:val="773"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p>
        </w:tc>
        <w:tc>
          <w:tcPr>
            <w:tcW w:w="975" w:type="dxa"/>
            <w:tcBorders>
              <w:top w:val="single" w:color="auto" w:sz="4" w:space="0"/>
              <w:left w:val="nil"/>
              <w:bottom w:val="single" w:color="auto" w:sz="4" w:space="0"/>
              <w:right w:val="single" w:color="auto" w:sz="4" w:space="0"/>
            </w:tcBorders>
            <w:vAlign w:val="center"/>
          </w:tcPr>
          <w:p w14:paraId="402381C2">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3</w:t>
            </w:r>
          </w:p>
        </w:tc>
        <w:tc>
          <w:tcPr>
            <w:tcW w:w="7488" w:type="dxa"/>
            <w:tcBorders>
              <w:top w:val="single" w:color="auto" w:sz="4" w:space="0"/>
              <w:left w:val="nil"/>
              <w:bottom w:val="single" w:color="auto" w:sz="4" w:space="0"/>
              <w:right w:val="single" w:color="auto" w:sz="4" w:space="0"/>
            </w:tcBorders>
            <w:vAlign w:val="center"/>
          </w:tcPr>
          <w:p w14:paraId="34B7F30B">
            <w:pPr>
              <w:widowControl/>
              <w:tabs>
                <w:tab w:val="left" w:pos="1513"/>
              </w:tabs>
              <w:jc w:val="left"/>
              <w:rPr>
                <w:rFonts w:hint="default" w:ascii="仿宋" w:hAnsi="仿宋" w:eastAsia="宋体" w:cs="仿宋"/>
                <w:color w:val="auto"/>
                <w:sz w:val="32"/>
                <w:szCs w:val="32"/>
                <w:lang w:val="en-US" w:eastAsia="zh-CN"/>
              </w:rPr>
            </w:pPr>
            <w:r>
              <w:rPr>
                <w:rFonts w:hint="eastAsia" w:ascii="仿宋" w:hAnsi="仿宋" w:eastAsia="仿宋" w:cs="仿宋"/>
                <w:color w:val="auto"/>
                <w:sz w:val="32"/>
                <w:szCs w:val="32"/>
                <w:lang w:val="en-US" w:eastAsia="zh-CN"/>
              </w:rPr>
              <w:t>角钢/镀锌管等钢结构材料要求：壁厚2.0mm</w:t>
            </w:r>
          </w:p>
        </w:tc>
      </w:tr>
      <w:tr w14:paraId="5B36B854">
        <w:tblPrEx>
          <w:tblCellMar>
            <w:top w:w="0" w:type="dxa"/>
            <w:left w:w="108" w:type="dxa"/>
            <w:bottom w:w="0" w:type="dxa"/>
            <w:right w:w="108" w:type="dxa"/>
          </w:tblCellMar>
        </w:tblPrEx>
        <w:trPr>
          <w:trHeight w:val="773"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14:paraId="09E73365">
            <w:pPr>
              <w:widowControl/>
              <w:jc w:val="center"/>
              <w:rPr>
                <w:rFonts w:hint="eastAsia" w:ascii="仿宋" w:hAnsi="仿宋" w:eastAsia="仿宋" w:cs="仿宋"/>
                <w:color w:val="auto"/>
                <w:sz w:val="32"/>
                <w:szCs w:val="32"/>
                <w:lang w:val="en-US" w:eastAsia="zh-CN"/>
              </w:rPr>
            </w:pPr>
          </w:p>
        </w:tc>
        <w:tc>
          <w:tcPr>
            <w:tcW w:w="975" w:type="dxa"/>
            <w:tcBorders>
              <w:top w:val="single" w:color="auto" w:sz="4" w:space="0"/>
              <w:left w:val="nil"/>
              <w:bottom w:val="single" w:color="auto" w:sz="4" w:space="0"/>
              <w:right w:val="single" w:color="auto" w:sz="4" w:space="0"/>
            </w:tcBorders>
            <w:vAlign w:val="center"/>
          </w:tcPr>
          <w:p w14:paraId="43D66176">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p>
        </w:tc>
        <w:tc>
          <w:tcPr>
            <w:tcW w:w="7488" w:type="dxa"/>
            <w:tcBorders>
              <w:top w:val="single" w:color="auto" w:sz="4" w:space="0"/>
              <w:left w:val="nil"/>
              <w:bottom w:val="single" w:color="auto" w:sz="4" w:space="0"/>
              <w:right w:val="single" w:color="auto" w:sz="4" w:space="0"/>
            </w:tcBorders>
            <w:shd w:val="clear" w:color="auto" w:fill="auto"/>
            <w:vAlign w:val="center"/>
          </w:tcPr>
          <w:p w14:paraId="477A7955">
            <w:pPr>
              <w:widowControl/>
              <w:jc w:val="left"/>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拆除工程：使用高空作业车、拆除人员需持有高空作业证、焊接与热切割工作证等相关证件。</w:t>
            </w:r>
          </w:p>
        </w:tc>
      </w:tr>
      <w:tr w14:paraId="37EF0B28">
        <w:tblPrEx>
          <w:tblCellMar>
            <w:top w:w="0" w:type="dxa"/>
            <w:left w:w="108" w:type="dxa"/>
            <w:bottom w:w="0" w:type="dxa"/>
            <w:right w:w="108" w:type="dxa"/>
          </w:tblCellMar>
        </w:tblPrEx>
        <w:trPr>
          <w:trHeight w:val="773"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14:paraId="49CBB4FC">
            <w:pPr>
              <w:widowControl/>
              <w:jc w:val="center"/>
              <w:rPr>
                <w:rFonts w:hint="eastAsia" w:ascii="仿宋" w:hAnsi="仿宋" w:eastAsia="仿宋" w:cs="仿宋"/>
                <w:color w:val="auto"/>
                <w:sz w:val="32"/>
                <w:szCs w:val="32"/>
                <w:lang w:val="en-US" w:eastAsia="zh-CN"/>
              </w:rPr>
            </w:pPr>
          </w:p>
        </w:tc>
        <w:tc>
          <w:tcPr>
            <w:tcW w:w="975" w:type="dxa"/>
            <w:tcBorders>
              <w:top w:val="single" w:color="auto" w:sz="4" w:space="0"/>
              <w:left w:val="nil"/>
              <w:bottom w:val="single" w:color="auto" w:sz="4" w:space="0"/>
              <w:right w:val="single" w:color="auto" w:sz="4" w:space="0"/>
            </w:tcBorders>
            <w:vAlign w:val="center"/>
          </w:tcPr>
          <w:p w14:paraId="5300DAA5">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p>
        </w:tc>
        <w:tc>
          <w:tcPr>
            <w:tcW w:w="7488" w:type="dxa"/>
            <w:tcBorders>
              <w:top w:val="single" w:color="auto" w:sz="4" w:space="0"/>
              <w:left w:val="nil"/>
              <w:bottom w:val="single" w:color="auto" w:sz="4" w:space="0"/>
              <w:right w:val="single" w:color="auto" w:sz="4" w:space="0"/>
            </w:tcBorders>
            <w:shd w:val="clear" w:color="auto" w:fill="auto"/>
            <w:vAlign w:val="center"/>
          </w:tcPr>
          <w:p w14:paraId="7BA32897">
            <w:pPr>
              <w:widowControl/>
              <w:jc w:val="left"/>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装修工程：参与人员需持有焊接与热切割工作证、特种作业上岗操作证等相关证件。</w:t>
            </w:r>
          </w:p>
        </w:tc>
      </w:tr>
      <w:tr w14:paraId="2B3D49FC">
        <w:tblPrEx>
          <w:tblCellMar>
            <w:top w:w="0" w:type="dxa"/>
            <w:left w:w="108" w:type="dxa"/>
            <w:bottom w:w="0" w:type="dxa"/>
            <w:right w:w="108" w:type="dxa"/>
          </w:tblCellMar>
        </w:tblPrEx>
        <w:trPr>
          <w:trHeight w:val="773"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14:paraId="5630D36C">
            <w:pPr>
              <w:widowControl/>
              <w:jc w:val="center"/>
              <w:rPr>
                <w:rFonts w:hint="eastAsia" w:ascii="仿宋" w:hAnsi="仿宋" w:eastAsia="仿宋" w:cs="仿宋"/>
                <w:color w:val="auto"/>
                <w:sz w:val="32"/>
                <w:szCs w:val="32"/>
                <w:lang w:val="en-US" w:eastAsia="zh-CN"/>
              </w:rPr>
            </w:pPr>
          </w:p>
        </w:tc>
        <w:tc>
          <w:tcPr>
            <w:tcW w:w="975" w:type="dxa"/>
            <w:tcBorders>
              <w:top w:val="single" w:color="auto" w:sz="4" w:space="0"/>
              <w:left w:val="nil"/>
              <w:bottom w:val="single" w:color="auto" w:sz="4" w:space="0"/>
              <w:right w:val="single" w:color="auto" w:sz="4" w:space="0"/>
            </w:tcBorders>
            <w:vAlign w:val="center"/>
          </w:tcPr>
          <w:p w14:paraId="3734DA18">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p>
        </w:tc>
        <w:tc>
          <w:tcPr>
            <w:tcW w:w="7488" w:type="dxa"/>
            <w:tcBorders>
              <w:top w:val="single" w:color="auto" w:sz="4" w:space="0"/>
              <w:left w:val="nil"/>
              <w:bottom w:val="single" w:color="auto" w:sz="4" w:space="0"/>
              <w:right w:val="single" w:color="auto" w:sz="4" w:space="0"/>
            </w:tcBorders>
            <w:shd w:val="clear" w:color="auto" w:fill="auto"/>
            <w:vAlign w:val="center"/>
          </w:tcPr>
          <w:p w14:paraId="6BC6C4CB">
            <w:pPr>
              <w:widowControl/>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安装工程：安装人员需持有高空作业证、焊接与热切割工作证、特种作业上岗操作证等。</w:t>
            </w:r>
          </w:p>
        </w:tc>
      </w:tr>
      <w:tr w14:paraId="579EDEA6">
        <w:tblPrEx>
          <w:tblCellMar>
            <w:top w:w="0" w:type="dxa"/>
            <w:left w:w="108" w:type="dxa"/>
            <w:bottom w:w="0" w:type="dxa"/>
            <w:right w:w="108" w:type="dxa"/>
          </w:tblCellMar>
        </w:tblPrEx>
        <w:trPr>
          <w:trHeight w:val="773"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14:paraId="5F635CCB">
            <w:pPr>
              <w:widowControl/>
              <w:jc w:val="center"/>
              <w:rPr>
                <w:rFonts w:hint="eastAsia" w:ascii="仿宋" w:hAnsi="仿宋" w:eastAsia="仿宋" w:cs="仿宋"/>
                <w:color w:val="auto"/>
                <w:sz w:val="32"/>
                <w:szCs w:val="32"/>
                <w:lang w:val="en-US" w:eastAsia="zh-CN"/>
              </w:rPr>
            </w:pPr>
          </w:p>
        </w:tc>
        <w:tc>
          <w:tcPr>
            <w:tcW w:w="975" w:type="dxa"/>
            <w:tcBorders>
              <w:top w:val="single" w:color="auto" w:sz="4" w:space="0"/>
              <w:left w:val="nil"/>
              <w:bottom w:val="single" w:color="auto" w:sz="4" w:space="0"/>
              <w:right w:val="single" w:color="auto" w:sz="4" w:space="0"/>
            </w:tcBorders>
            <w:vAlign w:val="center"/>
          </w:tcPr>
          <w:p w14:paraId="1ED0F941">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w:t>
            </w:r>
          </w:p>
        </w:tc>
        <w:tc>
          <w:tcPr>
            <w:tcW w:w="7488" w:type="dxa"/>
            <w:tcBorders>
              <w:top w:val="single" w:color="auto" w:sz="4" w:space="0"/>
              <w:left w:val="nil"/>
              <w:bottom w:val="single" w:color="auto" w:sz="4" w:space="0"/>
              <w:right w:val="single" w:color="auto" w:sz="4" w:space="0"/>
            </w:tcBorders>
            <w:shd w:val="clear" w:color="auto" w:fill="auto"/>
            <w:vAlign w:val="center"/>
          </w:tcPr>
          <w:p w14:paraId="0589B395">
            <w:pPr>
              <w:widowControl/>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质量、安生、环境管理体系与措施：编制符合本项目的质量管理体系、其中管理措施需合理、有效。</w:t>
            </w:r>
          </w:p>
        </w:tc>
      </w:tr>
      <w:tr w14:paraId="3CF5A78B">
        <w:tblPrEx>
          <w:tblCellMar>
            <w:top w:w="0" w:type="dxa"/>
            <w:left w:w="108" w:type="dxa"/>
            <w:bottom w:w="0" w:type="dxa"/>
            <w:right w:w="108" w:type="dxa"/>
          </w:tblCellMar>
        </w:tblPrEx>
        <w:trPr>
          <w:trHeight w:val="773"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14:paraId="03B1CBCF">
            <w:pPr>
              <w:widowControl/>
              <w:jc w:val="center"/>
              <w:rPr>
                <w:rFonts w:hint="eastAsia" w:ascii="仿宋" w:hAnsi="仿宋" w:eastAsia="仿宋" w:cs="仿宋"/>
                <w:color w:val="auto"/>
                <w:sz w:val="32"/>
                <w:szCs w:val="32"/>
                <w:lang w:val="en-US" w:eastAsia="zh-CN"/>
              </w:rPr>
            </w:pPr>
          </w:p>
        </w:tc>
        <w:tc>
          <w:tcPr>
            <w:tcW w:w="975" w:type="dxa"/>
            <w:tcBorders>
              <w:top w:val="single" w:color="auto" w:sz="4" w:space="0"/>
              <w:left w:val="nil"/>
              <w:bottom w:val="single" w:color="auto" w:sz="4" w:space="0"/>
              <w:right w:val="single" w:color="auto" w:sz="4" w:space="0"/>
            </w:tcBorders>
            <w:vAlign w:val="center"/>
          </w:tcPr>
          <w:p w14:paraId="7A784B64">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w:t>
            </w:r>
          </w:p>
        </w:tc>
        <w:tc>
          <w:tcPr>
            <w:tcW w:w="7488" w:type="dxa"/>
            <w:tcBorders>
              <w:top w:val="single" w:color="auto" w:sz="4" w:space="0"/>
              <w:left w:val="nil"/>
              <w:bottom w:val="single" w:color="auto" w:sz="4" w:space="0"/>
              <w:right w:val="single" w:color="auto" w:sz="4" w:space="0"/>
            </w:tcBorders>
            <w:shd w:val="clear" w:color="auto" w:fill="auto"/>
            <w:vAlign w:val="center"/>
          </w:tcPr>
          <w:p w14:paraId="72E9777F">
            <w:pPr>
              <w:widowControl/>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资源配备计划:根据项目施工工期投入适当的劳动力与施工设备，投入劳动力与施工设备的数量、种类需全面，计划方案合理、有效。</w:t>
            </w:r>
          </w:p>
        </w:tc>
      </w:tr>
      <w:tr w14:paraId="3FEC2FDD">
        <w:tblPrEx>
          <w:tblCellMar>
            <w:top w:w="0" w:type="dxa"/>
            <w:left w:w="108" w:type="dxa"/>
            <w:bottom w:w="0" w:type="dxa"/>
            <w:right w:w="108" w:type="dxa"/>
          </w:tblCellMar>
        </w:tblPrEx>
        <w:trPr>
          <w:trHeight w:val="773"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14:paraId="4C7680C0">
            <w:pPr>
              <w:widowControl/>
              <w:jc w:val="center"/>
              <w:rPr>
                <w:rFonts w:hint="eastAsia" w:ascii="仿宋" w:hAnsi="仿宋" w:eastAsia="仿宋" w:cs="仿宋"/>
                <w:color w:val="auto"/>
                <w:sz w:val="32"/>
                <w:szCs w:val="32"/>
                <w:lang w:val="en-US" w:eastAsia="zh-CN"/>
              </w:rPr>
            </w:pPr>
          </w:p>
        </w:tc>
        <w:tc>
          <w:tcPr>
            <w:tcW w:w="975" w:type="dxa"/>
            <w:tcBorders>
              <w:top w:val="single" w:color="auto" w:sz="4" w:space="0"/>
              <w:left w:val="nil"/>
              <w:bottom w:val="single" w:color="auto" w:sz="4" w:space="0"/>
              <w:right w:val="single" w:color="auto" w:sz="4" w:space="0"/>
            </w:tcBorders>
            <w:vAlign w:val="center"/>
          </w:tcPr>
          <w:p w14:paraId="7F0A8A97">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w:t>
            </w:r>
          </w:p>
        </w:tc>
        <w:tc>
          <w:tcPr>
            <w:tcW w:w="7488" w:type="dxa"/>
            <w:tcBorders>
              <w:top w:val="single" w:color="auto" w:sz="4" w:space="0"/>
              <w:left w:val="nil"/>
              <w:bottom w:val="single" w:color="auto" w:sz="4" w:space="0"/>
              <w:right w:val="single" w:color="auto" w:sz="4" w:space="0"/>
            </w:tcBorders>
            <w:shd w:val="clear" w:color="auto" w:fill="auto"/>
            <w:vAlign w:val="center"/>
          </w:tcPr>
          <w:p w14:paraId="59C60D0B">
            <w:pPr>
              <w:widowControl/>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进度计划与措施:</w:t>
            </w:r>
          </w:p>
          <w:p w14:paraId="0328874F">
            <w:pPr>
              <w:widowControl/>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根据医院现状编制符合医院运行规律的工程进度计划与措施，需保证方案与措施合理、可靠、有效。</w:t>
            </w:r>
          </w:p>
        </w:tc>
      </w:tr>
      <w:tr w14:paraId="47B2DBB5">
        <w:tblPrEx>
          <w:tblCellMar>
            <w:top w:w="0" w:type="dxa"/>
            <w:left w:w="108" w:type="dxa"/>
            <w:bottom w:w="0" w:type="dxa"/>
            <w:right w:w="108" w:type="dxa"/>
          </w:tblCellMar>
        </w:tblPrEx>
        <w:trPr>
          <w:trHeight w:val="773" w:hRule="atLeast"/>
          <w:jc w:val="center"/>
        </w:trPr>
        <w:tc>
          <w:tcPr>
            <w:tcW w:w="10073" w:type="dxa"/>
            <w:gridSpan w:val="3"/>
            <w:tcBorders>
              <w:top w:val="single" w:color="auto" w:sz="4" w:space="0"/>
              <w:left w:val="single" w:color="auto" w:sz="4" w:space="0"/>
              <w:bottom w:val="single" w:color="auto" w:sz="4" w:space="0"/>
              <w:right w:val="single" w:color="auto" w:sz="4" w:space="0"/>
            </w:tcBorders>
            <w:vAlign w:val="center"/>
          </w:tcPr>
          <w:p w14:paraId="37E1FBD8">
            <w:pPr>
              <w:widowControl/>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注：“参数性质”标“★”表示此参数为主要技术参数，任意一条不满足或负偏离则导致响应无效；</w:t>
            </w:r>
          </w:p>
        </w:tc>
      </w:tr>
    </w:tbl>
    <w:p w14:paraId="2E248110">
      <w:pPr>
        <w:pStyle w:val="8"/>
        <w:rPr>
          <w:rFonts w:hint="eastAsia"/>
        </w:rPr>
      </w:pPr>
    </w:p>
    <w:p w14:paraId="121FB728">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6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8"/>
        <w:gridCol w:w="2102"/>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528"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2102"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528"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528"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528"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528"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528"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528"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528"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528"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528"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28"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528"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2102"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528"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2102"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528"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2102"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28"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528"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2102"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0AC073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工程量清单..</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工程、服务项目除外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68686F9A">
      <w:pPr>
        <w:pStyle w:val="4"/>
        <w:keepNext w:val="0"/>
        <w:keepLines w:val="0"/>
        <w:pageBreakBefore w:val="0"/>
        <w:widowControl/>
        <w:numPr>
          <w:ilvl w:val="0"/>
          <w:numId w:val="0"/>
        </w:numPr>
        <w:kinsoku/>
        <w:overflowPunct/>
        <w:topLinePunct w:val="0"/>
        <w:autoSpaceDE/>
        <w:autoSpaceDN/>
        <w:bidi w:val="0"/>
        <w:adjustRightInd/>
        <w:snapToGrid/>
        <w:ind w:firstLine="562" w:firstLineChars="200"/>
        <w:jc w:val="left"/>
        <w:textAlignment w:val="auto"/>
        <w:outlineLvl w:val="2"/>
        <w:rPr>
          <w:rFonts w:hint="default"/>
          <w:lang w:val="en-US" w:eastAsia="zh-CN"/>
        </w:rPr>
      </w:pPr>
      <w:r>
        <w:rPr>
          <w:rFonts w:hint="eastAsia" w:eastAsia="宋体" w:cs="宋体"/>
          <w:b/>
          <w:sz w:val="28"/>
          <w:szCs w:val="28"/>
          <w:lang w:val="en-US" w:eastAsia="zh-CN"/>
        </w:rPr>
        <w:t>十四、工程量清单</w:t>
      </w: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7A708D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AE74716"/>
    <w:rsid w:val="3E650D1D"/>
    <w:rsid w:val="3E9002A8"/>
    <w:rsid w:val="3F552A03"/>
    <w:rsid w:val="420378CC"/>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36027D2"/>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6494</Words>
  <Characters>7194</Characters>
  <Lines>0</Lines>
  <Paragraphs>0</Paragraphs>
  <TotalTime>0</TotalTime>
  <ScaleCrop>false</ScaleCrop>
  <LinksUpToDate>false</LinksUpToDate>
  <CharactersWithSpaces>7887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2025-10-10T03:12:29Z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929E42B3DDC8462E95E579426140FEEF_13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