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bookmarkStart w:id="1" w:name="_GoBack"/>
      <w:bookmarkEnd w:id="1"/>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康巴什部心内科机房拆除项目（二次）</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2025年11月5日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康巴什部心内科机房拆除项目（二次）</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35000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360586D">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eastAsia="zh-CN"/>
              </w:rPr>
              <w:t>具备有效的营业执照</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工程完工验收合格后付9</w:t>
            </w:r>
            <w:r>
              <w:rPr>
                <w:rFonts w:hint="eastAsia" w:ascii="Tahoma"/>
                <w:b w:val="0"/>
                <w:i w:val="0"/>
                <w:color w:val="333333"/>
                <w:spacing w:val="0"/>
                <w:sz w:val="24"/>
                <w:szCs w:val="24"/>
                <w:lang w:val="en-US" w:eastAsia="zh-CN"/>
              </w:rPr>
              <w:t>5</w:t>
            </w:r>
            <w:r>
              <w:rPr>
                <w:rFonts w:ascii="Tahoma"/>
                <w:b w:val="0"/>
                <w:i w:val="0"/>
                <w:color w:val="333333"/>
                <w:spacing w:val="0"/>
                <w:sz w:val="24"/>
                <w:szCs w:val="24"/>
              </w:rPr>
              <w:t>%，</w:t>
            </w:r>
            <w:r>
              <w:rPr>
                <w:rFonts w:hint="eastAsia" w:ascii="Tahoma"/>
                <w:b w:val="0"/>
                <w:i w:val="0"/>
                <w:color w:val="333333"/>
                <w:spacing w:val="0"/>
                <w:sz w:val="24"/>
                <w:szCs w:val="24"/>
                <w:lang w:eastAsia="zh-CN"/>
              </w:rPr>
              <w:t>一</w:t>
            </w:r>
            <w:r>
              <w:rPr>
                <w:rFonts w:hint="eastAsia" w:ascii="Tahoma"/>
                <w:b w:val="0"/>
                <w:i w:val="0"/>
                <w:color w:val="333333"/>
                <w:spacing w:val="0"/>
                <w:sz w:val="24"/>
                <w:szCs w:val="24"/>
                <w:lang w:val="en-US" w:eastAsia="zh-CN"/>
              </w:rPr>
              <w:t>年质保期满后支付剩余5%。</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心内科机房拆除改造项目，项目位于鄂尔多斯市中心医院康巴什部西住院3楼。改造内容：心内科净化机房改造为示教室，需拆除原设备，新做吊顶、墙面、PVC地面27平方米，改造强弱电、上下水等。</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6D05551">
      <w:pPr>
        <w:numPr>
          <w:ilvl w:val="0"/>
          <w:numId w:val="0"/>
        </w:numPr>
        <w:spacing w:line="360" w:lineRule="auto"/>
        <w:jc w:val="center"/>
        <w:rPr>
          <w:rFonts w:hint="eastAsia" w:asciiTheme="minorEastAsia" w:hAnsiTheme="minorEastAsia"/>
          <w:b/>
          <w:bCs/>
          <w:sz w:val="32"/>
          <w:szCs w:val="32"/>
          <w:lang w:val="en-US" w:eastAsia="zh-CN"/>
        </w:rPr>
      </w:pPr>
    </w:p>
    <w:p w14:paraId="2A45D03E">
      <w:pPr>
        <w:numPr>
          <w:ilvl w:val="0"/>
          <w:numId w:val="0"/>
        </w:numPr>
        <w:spacing w:line="360" w:lineRule="auto"/>
        <w:jc w:val="both"/>
        <w:rPr>
          <w:rFonts w:hint="eastAsia" w:asciiTheme="minorEastAsia" w:hAnsiTheme="minorEastAsia"/>
          <w:b/>
          <w:bCs/>
          <w:sz w:val="32"/>
          <w:szCs w:val="32"/>
          <w:lang w:val="en-US" w:eastAsia="zh-CN"/>
        </w:rPr>
      </w:pPr>
    </w:p>
    <w:p w14:paraId="093D9F4A">
      <w:pPr>
        <w:numPr>
          <w:ilvl w:val="0"/>
          <w:numId w:val="0"/>
        </w:numPr>
        <w:spacing w:line="360" w:lineRule="auto"/>
        <w:jc w:val="both"/>
        <w:rPr>
          <w:rFonts w:hint="eastAsia" w:asciiTheme="minorEastAsia" w:hAnsiTheme="minorEastAsia"/>
          <w:b/>
          <w:bCs/>
          <w:sz w:val="32"/>
          <w:szCs w:val="32"/>
          <w:lang w:val="en-US" w:eastAsia="zh-CN"/>
        </w:rPr>
      </w:pPr>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11B6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4"/>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240CE15E"/>
    <w:multiLevelType w:val="singleLevel"/>
    <w:tmpl w:val="240CE15E"/>
    <w:lvl w:ilvl="0" w:tentative="0">
      <w:start w:val="6"/>
      <w:numFmt w:val="chineseCounting"/>
      <w:suff w:val="nothing"/>
      <w:lvlText w:val="%1、"/>
      <w:lvlJc w:val="left"/>
      <w:rPr>
        <w:rFonts w:hint="eastAsia"/>
      </w:r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7C91F3AF"/>
    <w:multiLevelType w:val="singleLevel"/>
    <w:tmpl w:val="7C91F3A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025256"/>
    <w:rsid w:val="018B576F"/>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AD10280"/>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4EF6043"/>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4115</Words>
  <Characters>4201</Characters>
  <Lines>0</Lines>
  <Paragraphs>0</Paragraphs>
  <TotalTime>1</TotalTime>
  <ScaleCrop>false</ScaleCrop>
  <LinksUpToDate>false</LinksUpToDate>
  <CharactersWithSpaces>4507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2025-11-05T11:34:26Z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