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62070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人力资源系统项目（二次）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2025年11月5日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1120"/>
        <w:gridCol w:w="1740"/>
        <w:gridCol w:w="1820"/>
      </w:tblGrid>
      <w:tr w14:paraId="420F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6640398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序号</w:t>
            </w:r>
          </w:p>
        </w:tc>
        <w:tc>
          <w:tcPr>
            <w:tcW w:w="2865" w:type="dxa"/>
            <w:vAlign w:val="center"/>
          </w:tcPr>
          <w:p w14:paraId="3590AA37">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名称</w:t>
            </w:r>
          </w:p>
        </w:tc>
        <w:tc>
          <w:tcPr>
            <w:tcW w:w="903" w:type="dxa"/>
            <w:vAlign w:val="center"/>
          </w:tcPr>
          <w:p w14:paraId="2DE0599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单位</w:t>
            </w:r>
          </w:p>
        </w:tc>
        <w:tc>
          <w:tcPr>
            <w:tcW w:w="1120" w:type="dxa"/>
            <w:vAlign w:val="center"/>
          </w:tcPr>
          <w:p w14:paraId="614FC0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数量</w:t>
            </w:r>
          </w:p>
        </w:tc>
        <w:tc>
          <w:tcPr>
            <w:tcW w:w="1740" w:type="dxa"/>
            <w:vAlign w:val="center"/>
          </w:tcPr>
          <w:p w14:paraId="46514B4F">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预算单价</w:t>
            </w:r>
          </w:p>
        </w:tc>
        <w:tc>
          <w:tcPr>
            <w:tcW w:w="1820" w:type="dxa"/>
            <w:vAlign w:val="center"/>
          </w:tcPr>
          <w:p w14:paraId="0C44E57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预算总价</w:t>
            </w:r>
          </w:p>
        </w:tc>
      </w:tr>
      <w:tr w14:paraId="1BC8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826C0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1</w:t>
            </w:r>
          </w:p>
        </w:tc>
        <w:tc>
          <w:tcPr>
            <w:tcW w:w="2865" w:type="dxa"/>
            <w:vAlign w:val="center"/>
          </w:tcPr>
          <w:p w14:paraId="2E3E5F9F">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人力资源系统项目</w:t>
            </w:r>
          </w:p>
        </w:tc>
        <w:tc>
          <w:tcPr>
            <w:tcW w:w="903" w:type="dxa"/>
            <w:vAlign w:val="center"/>
          </w:tcPr>
          <w:p w14:paraId="1EF9C0D5">
            <w:pPr>
              <w:ind w:firstLine="320" w:firstLineChars="1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套</w:t>
            </w:r>
          </w:p>
        </w:tc>
        <w:tc>
          <w:tcPr>
            <w:tcW w:w="1120" w:type="dxa"/>
            <w:vAlign w:val="center"/>
          </w:tcPr>
          <w:p w14:paraId="5472192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w:t>
            </w:r>
          </w:p>
        </w:tc>
        <w:tc>
          <w:tcPr>
            <w:tcW w:w="1740" w:type="dxa"/>
            <w:vAlign w:val="center"/>
          </w:tcPr>
          <w:p w14:paraId="0F7186E4">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c>
          <w:tcPr>
            <w:tcW w:w="1820" w:type="dxa"/>
            <w:vAlign w:val="center"/>
          </w:tcPr>
          <w:p w14:paraId="5874D5C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38F6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530BA07">
            <w:pPr>
              <w:rPr>
                <w:rFonts w:hint="eastAsia" w:ascii="方正仿宋_GB2312" w:hAnsi="方正仿宋_GB2312" w:eastAsia="方正仿宋_GB2312" w:cs="方正仿宋_GB2312"/>
                <w:sz w:val="32"/>
                <w:szCs w:val="32"/>
                <w:lang w:val="zh-CN" w:eastAsia="zh-CN" w:bidi="zh-CN"/>
              </w:rPr>
            </w:pPr>
          </w:p>
        </w:tc>
        <w:tc>
          <w:tcPr>
            <w:tcW w:w="6628" w:type="dxa"/>
            <w:gridSpan w:val="4"/>
            <w:vAlign w:val="center"/>
          </w:tcPr>
          <w:p w14:paraId="3B558A69">
            <w:pPr>
              <w:ind w:firstLine="3200" w:firstLineChars="10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总价合计</w:t>
            </w:r>
          </w:p>
        </w:tc>
        <w:tc>
          <w:tcPr>
            <w:tcW w:w="1820" w:type="dxa"/>
            <w:vAlign w:val="center"/>
          </w:tcPr>
          <w:p w14:paraId="35F8D24A">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0547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3D7FC0E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2</w:t>
            </w:r>
          </w:p>
        </w:tc>
        <w:tc>
          <w:tcPr>
            <w:tcW w:w="2865" w:type="dxa"/>
            <w:vAlign w:val="center"/>
          </w:tcPr>
          <w:p w14:paraId="3808E752">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交付使用时间</w:t>
            </w:r>
          </w:p>
        </w:tc>
        <w:tc>
          <w:tcPr>
            <w:tcW w:w="5583" w:type="dxa"/>
            <w:gridSpan w:val="4"/>
            <w:vAlign w:val="center"/>
          </w:tcPr>
          <w:p w14:paraId="3274AFD9">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合同签订后</w:t>
            </w:r>
            <w:r>
              <w:rPr>
                <w:rFonts w:hint="eastAsia" w:ascii="方正仿宋_GB2312" w:hAnsi="方正仿宋_GB2312" w:eastAsia="方正仿宋_GB2312" w:cs="方正仿宋_GB2312"/>
                <w:sz w:val="32"/>
                <w:szCs w:val="32"/>
                <w:lang w:val="en-US" w:eastAsia="zh-CN" w:bidi="zh-CN"/>
              </w:rPr>
              <w:t>30日</w:t>
            </w:r>
            <w:r>
              <w:rPr>
                <w:rFonts w:hint="eastAsia" w:ascii="方正仿宋_GB2312" w:hAnsi="方正仿宋_GB2312" w:eastAsia="方正仿宋_GB2312" w:cs="方正仿宋_GB2312"/>
                <w:sz w:val="32"/>
                <w:szCs w:val="32"/>
                <w:lang w:val="zh-CN" w:eastAsia="zh-CN" w:bidi="zh-CN"/>
              </w:rPr>
              <w:t>内。</w:t>
            </w:r>
          </w:p>
        </w:tc>
      </w:tr>
      <w:tr w14:paraId="668A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7B387AB6">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3</w:t>
            </w:r>
          </w:p>
        </w:tc>
        <w:tc>
          <w:tcPr>
            <w:tcW w:w="2865" w:type="dxa"/>
            <w:vAlign w:val="center"/>
          </w:tcPr>
          <w:p w14:paraId="78AA057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合同</w:t>
            </w:r>
            <w:r>
              <w:rPr>
                <w:rFonts w:hint="eastAsia" w:ascii="方正仿宋_GB2312" w:hAnsi="方正仿宋_GB2312" w:eastAsia="方正仿宋_GB2312" w:cs="方正仿宋_GB2312"/>
                <w:sz w:val="32"/>
                <w:szCs w:val="32"/>
                <w:lang w:val="zh-CN" w:eastAsia="zh-CN" w:bidi="zh-CN"/>
              </w:rPr>
              <w:t>期</w:t>
            </w:r>
          </w:p>
        </w:tc>
        <w:tc>
          <w:tcPr>
            <w:tcW w:w="5583" w:type="dxa"/>
            <w:gridSpan w:val="4"/>
            <w:vAlign w:val="center"/>
          </w:tcPr>
          <w:p w14:paraId="3742D31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1</w:t>
            </w:r>
            <w:r>
              <w:rPr>
                <w:rFonts w:hint="eastAsia" w:ascii="方正仿宋_GB2312" w:hAnsi="方正仿宋_GB2312" w:eastAsia="方正仿宋_GB2312" w:cs="方正仿宋_GB2312"/>
                <w:sz w:val="32"/>
                <w:szCs w:val="32"/>
                <w:lang w:val="zh-CN" w:eastAsia="zh-CN" w:bidi="zh-CN"/>
              </w:rPr>
              <w:t>年</w:t>
            </w:r>
          </w:p>
        </w:tc>
      </w:tr>
      <w:tr w14:paraId="4A96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78032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4</w:t>
            </w:r>
          </w:p>
        </w:tc>
        <w:tc>
          <w:tcPr>
            <w:tcW w:w="2865" w:type="dxa"/>
            <w:vAlign w:val="center"/>
          </w:tcPr>
          <w:p w14:paraId="585AAA0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付款方式</w:t>
            </w:r>
          </w:p>
        </w:tc>
        <w:tc>
          <w:tcPr>
            <w:tcW w:w="5583" w:type="dxa"/>
            <w:gridSpan w:val="4"/>
            <w:vAlign w:val="center"/>
          </w:tcPr>
          <w:p w14:paraId="4C05B743">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合同签订后付30%，项目验收合格后付70%</w:t>
            </w:r>
          </w:p>
        </w:tc>
      </w:tr>
      <w:tr w14:paraId="3DAF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70638DCC">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5</w:t>
            </w:r>
          </w:p>
        </w:tc>
        <w:tc>
          <w:tcPr>
            <w:tcW w:w="2865" w:type="dxa"/>
            <w:vAlign w:val="center"/>
          </w:tcPr>
          <w:p w14:paraId="2C668249">
            <w:pPr>
              <w:rPr>
                <w:rFonts w:hint="eastAsia"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服务期</w:t>
            </w:r>
          </w:p>
        </w:tc>
        <w:tc>
          <w:tcPr>
            <w:tcW w:w="5583" w:type="dxa"/>
            <w:gridSpan w:val="4"/>
            <w:vAlign w:val="center"/>
          </w:tcPr>
          <w:p w14:paraId="0D82BE95">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07A3C6D">
      <w:pPr>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rPr>
        <w:t>（1）项目基本情况介绍：</w:t>
      </w:r>
      <w:r>
        <w:rPr>
          <w:rFonts w:hint="eastAsia" w:ascii="仿宋_GB2312" w:hAnsi="仿宋_GB2312" w:eastAsia="仿宋_GB2312" w:cs="仿宋_GB2312"/>
          <w:sz w:val="32"/>
          <w:szCs w:val="32"/>
          <w:u w:val="single"/>
          <w:lang w:eastAsia="zh-CN"/>
        </w:rPr>
        <w:t>人事管理</w:t>
      </w:r>
      <w:r>
        <w:rPr>
          <w:rFonts w:hint="eastAsia" w:ascii="仿宋_GB2312" w:hAnsi="仿宋_GB2312" w:eastAsia="仿宋_GB2312" w:cs="仿宋_GB2312"/>
          <w:sz w:val="32"/>
          <w:szCs w:val="32"/>
          <w:u w:val="single"/>
        </w:rPr>
        <w:t>信息系统建立涵盖全院的</w:t>
      </w:r>
      <w:r>
        <w:rPr>
          <w:rFonts w:hint="eastAsia" w:ascii="仿宋_GB2312" w:hAnsi="仿宋_GB2312" w:eastAsia="仿宋_GB2312" w:cs="仿宋_GB2312"/>
          <w:sz w:val="32"/>
          <w:szCs w:val="32"/>
          <w:u w:val="single"/>
          <w:lang w:eastAsia="zh-CN"/>
        </w:rPr>
        <w:t>机构、岗位、人员、合同、</w:t>
      </w:r>
      <w:r>
        <w:rPr>
          <w:rFonts w:hint="eastAsia" w:ascii="仿宋_GB2312" w:hAnsi="仿宋_GB2312" w:eastAsia="仿宋_GB2312" w:cs="仿宋_GB2312"/>
          <w:sz w:val="32"/>
          <w:szCs w:val="32"/>
          <w:u w:val="single"/>
        </w:rPr>
        <w:t>报表、工资、</w:t>
      </w:r>
      <w:r>
        <w:rPr>
          <w:rFonts w:hint="eastAsia" w:ascii="仿宋_GB2312" w:hAnsi="仿宋_GB2312" w:eastAsia="仿宋_GB2312" w:cs="仿宋_GB2312"/>
          <w:sz w:val="32"/>
          <w:szCs w:val="32"/>
          <w:u w:val="single"/>
          <w:lang w:eastAsia="zh-CN"/>
        </w:rPr>
        <w:t>考勤</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年度考核、</w:t>
      </w:r>
      <w:r>
        <w:rPr>
          <w:rFonts w:hint="eastAsia" w:ascii="仿宋_GB2312" w:hAnsi="仿宋_GB2312" w:eastAsia="仿宋_GB2312" w:cs="仿宋_GB2312"/>
          <w:sz w:val="32"/>
          <w:szCs w:val="32"/>
          <w:u w:val="single"/>
          <w:lang w:val="en-US" w:eastAsia="zh-CN"/>
        </w:rPr>
        <w:t>出国出境管理</w:t>
      </w:r>
      <w:r>
        <w:rPr>
          <w:rFonts w:hint="eastAsia" w:ascii="仿宋_GB2312" w:hAnsi="仿宋_GB2312" w:eastAsia="仿宋_GB2312" w:cs="仿宋_GB2312"/>
          <w:sz w:val="32"/>
          <w:szCs w:val="32"/>
          <w:u w:val="single"/>
          <w:lang w:eastAsia="zh-CN"/>
        </w:rPr>
        <w:t>、岗</w:t>
      </w:r>
      <w:r>
        <w:rPr>
          <w:rFonts w:hint="eastAsia" w:ascii="仿宋_GB2312" w:hAnsi="仿宋_GB2312" w:eastAsia="仿宋_GB2312" w:cs="仿宋_GB2312"/>
          <w:sz w:val="32"/>
          <w:szCs w:val="32"/>
          <w:u w:val="single"/>
          <w:lang w:val="en-US" w:eastAsia="zh-CN"/>
        </w:rPr>
        <w:t>位</w:t>
      </w:r>
      <w:r>
        <w:rPr>
          <w:rFonts w:hint="eastAsia" w:ascii="仿宋_GB2312" w:hAnsi="仿宋_GB2312" w:eastAsia="仿宋_GB2312" w:cs="仿宋_GB2312"/>
          <w:sz w:val="32"/>
          <w:szCs w:val="32"/>
          <w:u w:val="single"/>
          <w:lang w:eastAsia="zh-CN"/>
        </w:rPr>
        <w:t>聘</w:t>
      </w:r>
      <w:r>
        <w:rPr>
          <w:rFonts w:hint="eastAsia" w:ascii="仿宋_GB2312" w:hAnsi="仿宋_GB2312" w:eastAsia="仿宋_GB2312" w:cs="仿宋_GB2312"/>
          <w:sz w:val="32"/>
          <w:szCs w:val="32"/>
          <w:u w:val="single"/>
          <w:lang w:val="en-US" w:eastAsia="zh-CN"/>
        </w:rPr>
        <w:t>任</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培训管理、</w:t>
      </w:r>
      <w:r>
        <w:rPr>
          <w:rFonts w:hint="eastAsia" w:ascii="仿宋_GB2312" w:hAnsi="仿宋_GB2312" w:eastAsia="仿宋_GB2312" w:cs="仿宋_GB2312"/>
          <w:sz w:val="32"/>
          <w:szCs w:val="32"/>
          <w:u w:val="single"/>
          <w:lang w:eastAsia="zh-CN"/>
        </w:rPr>
        <w:t>移动应用</w:t>
      </w:r>
      <w:r>
        <w:rPr>
          <w:rFonts w:hint="eastAsia" w:ascii="仿宋_GB2312" w:hAnsi="仿宋_GB2312" w:eastAsia="仿宋_GB2312" w:cs="仿宋_GB2312"/>
          <w:sz w:val="32"/>
          <w:szCs w:val="32"/>
          <w:u w:val="single"/>
        </w:rPr>
        <w:t>等</w:t>
      </w:r>
      <w:r>
        <w:rPr>
          <w:rFonts w:hint="eastAsia" w:ascii="仿宋_GB2312" w:hAnsi="仿宋_GB2312" w:eastAsia="仿宋_GB2312" w:cs="仿宋_GB2312"/>
          <w:sz w:val="32"/>
          <w:szCs w:val="32"/>
          <w:u w:val="single"/>
          <w:lang w:eastAsia="zh-CN"/>
        </w:rPr>
        <w:t>人事</w:t>
      </w:r>
      <w:r>
        <w:rPr>
          <w:rFonts w:hint="eastAsia" w:ascii="仿宋_GB2312" w:hAnsi="仿宋_GB2312" w:eastAsia="仿宋_GB2312" w:cs="仿宋_GB2312"/>
          <w:sz w:val="32"/>
          <w:szCs w:val="32"/>
          <w:u w:val="single"/>
        </w:rPr>
        <w:t>业务管理体系，提高人事工作效率，提升医院人才竞争优势，实现 “信息共享、业务协同、流程优化、决策支持”的人力资源管理信息化目标</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满足医院人事管理的需求</w:t>
      </w:r>
      <w:r>
        <w:rPr>
          <w:rFonts w:hint="eastAsia" w:ascii="仿宋_GB2312" w:hAnsi="仿宋_GB2312" w:eastAsia="仿宋_GB2312" w:cs="仿宋_GB2312"/>
          <w:sz w:val="32"/>
          <w:szCs w:val="32"/>
          <w:u w:val="single"/>
          <w:lang w:eastAsia="zh-CN"/>
        </w:rPr>
        <w:t>。</w:t>
      </w:r>
    </w:p>
    <w:p w14:paraId="6829B8E0">
      <w:pPr>
        <w:pStyle w:val="13"/>
        <w:ind w:left="0" w:leftChars="0" w:firstLine="0" w:firstLineChars="0"/>
        <w:rPr>
          <w:rFonts w:hint="eastAsia" w:hAnsi="宋体"/>
          <w:sz w:val="24"/>
          <w:szCs w:val="24"/>
        </w:rPr>
      </w:pPr>
    </w:p>
    <w:p w14:paraId="62DA5573">
      <w:pPr>
        <w:pStyle w:val="13"/>
        <w:ind w:left="0" w:leftChars="0" w:firstLine="0" w:firstLineChars="0"/>
        <w:rPr>
          <w:rFonts w:hint="eastAsia" w:hAnsi="宋体"/>
          <w:sz w:val="24"/>
          <w:szCs w:val="24"/>
        </w:rPr>
      </w:pPr>
    </w:p>
    <w:p w14:paraId="6AF80B89">
      <w:pPr>
        <w:pStyle w:val="13"/>
        <w:ind w:left="0" w:leftChars="0" w:firstLine="0" w:firstLineChars="0"/>
        <w:rPr>
          <w:rFonts w:hint="eastAsia" w:hAnsi="宋体"/>
          <w:sz w:val="24"/>
          <w:szCs w:val="24"/>
        </w:rPr>
      </w:pPr>
    </w:p>
    <w:p w14:paraId="1033BE8A">
      <w:pPr>
        <w:pStyle w:val="13"/>
        <w:ind w:left="0" w:leftChars="0" w:firstLine="0" w:firstLineChars="0"/>
        <w:rPr>
          <w:rFonts w:hint="eastAsia" w:hAnsi="宋体"/>
          <w:sz w:val="24"/>
          <w:szCs w:val="24"/>
        </w:rPr>
      </w:pPr>
    </w:p>
    <w:p w14:paraId="3B37F235">
      <w:pPr>
        <w:pStyle w:val="13"/>
        <w:ind w:left="0" w:leftChars="0" w:firstLine="0" w:firstLineChars="0"/>
        <w:rPr>
          <w:rFonts w:hint="eastAsia" w:hAnsi="宋体"/>
          <w:sz w:val="24"/>
          <w:szCs w:val="24"/>
        </w:rPr>
      </w:pPr>
    </w:p>
    <w:p w14:paraId="4CA5937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附件1.技术参数和要求表</w:t>
      </w:r>
    </w:p>
    <w:tbl>
      <w:tblPr>
        <w:tblStyle w:val="14"/>
        <w:tblW w:w="9259" w:type="dxa"/>
        <w:jc w:val="center"/>
        <w:tblLayout w:type="fixed"/>
        <w:tblCellMar>
          <w:top w:w="0" w:type="dxa"/>
          <w:left w:w="108" w:type="dxa"/>
          <w:bottom w:w="0" w:type="dxa"/>
          <w:right w:w="108" w:type="dxa"/>
        </w:tblCellMar>
      </w:tblPr>
      <w:tblGrid>
        <w:gridCol w:w="1514"/>
        <w:gridCol w:w="953"/>
        <w:gridCol w:w="6792"/>
      </w:tblGrid>
      <w:tr w14:paraId="2F62606D">
        <w:tblPrEx>
          <w:tblCellMar>
            <w:top w:w="0" w:type="dxa"/>
            <w:left w:w="108" w:type="dxa"/>
            <w:bottom w:w="0" w:type="dxa"/>
            <w:right w:w="108" w:type="dxa"/>
          </w:tblCellMar>
        </w:tblPrEx>
        <w:trPr>
          <w:trHeight w:val="487"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0E01B3A">
            <w:pPr>
              <w:widowControl/>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32"/>
                <w:szCs w:val="32"/>
                <w:lang w:val="en-US" w:eastAsia="zh-CN"/>
              </w:rPr>
              <w:t>参数性质</w:t>
            </w:r>
          </w:p>
        </w:tc>
        <w:tc>
          <w:tcPr>
            <w:tcW w:w="953" w:type="dxa"/>
            <w:tcBorders>
              <w:top w:val="single" w:color="auto" w:sz="4" w:space="0"/>
              <w:left w:val="nil"/>
              <w:bottom w:val="single" w:color="auto" w:sz="4" w:space="0"/>
              <w:right w:val="single" w:color="auto" w:sz="4" w:space="0"/>
            </w:tcBorders>
            <w:vAlign w:val="center"/>
          </w:tcPr>
          <w:p w14:paraId="2985DE18">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6792" w:type="dxa"/>
            <w:tcBorders>
              <w:top w:val="single" w:color="auto" w:sz="4" w:space="0"/>
              <w:left w:val="nil"/>
              <w:bottom w:val="single" w:color="auto" w:sz="4" w:space="0"/>
              <w:right w:val="single" w:color="auto" w:sz="4" w:space="0"/>
            </w:tcBorders>
            <w:vAlign w:val="center"/>
          </w:tcPr>
          <w:p w14:paraId="25F09953">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70E11B54">
        <w:tblPrEx>
          <w:tblCellMar>
            <w:top w:w="0" w:type="dxa"/>
            <w:left w:w="108" w:type="dxa"/>
            <w:bottom w:w="0" w:type="dxa"/>
            <w:right w:w="108" w:type="dxa"/>
          </w:tblCellMar>
        </w:tblPrEx>
        <w:trPr>
          <w:trHeight w:val="32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6B26D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6F0376F">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792" w:type="dxa"/>
            <w:tcBorders>
              <w:top w:val="single" w:color="auto" w:sz="4" w:space="0"/>
              <w:left w:val="nil"/>
              <w:bottom w:val="single" w:color="auto" w:sz="4" w:space="0"/>
              <w:right w:val="single" w:color="auto" w:sz="4" w:space="0"/>
            </w:tcBorders>
            <w:vAlign w:val="center"/>
          </w:tcPr>
          <w:p w14:paraId="5A99628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一、系统整体要求（编号2至43）</w:t>
            </w:r>
          </w:p>
        </w:tc>
      </w:tr>
      <w:tr w14:paraId="406632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F2433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1A138A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792" w:type="dxa"/>
            <w:tcBorders>
              <w:top w:val="single" w:color="auto" w:sz="4" w:space="0"/>
              <w:left w:val="nil"/>
              <w:bottom w:val="single" w:color="auto" w:sz="4" w:space="0"/>
              <w:right w:val="single" w:color="auto" w:sz="4" w:space="0"/>
            </w:tcBorders>
            <w:vAlign w:val="center"/>
          </w:tcPr>
          <w:p w14:paraId="2E99931A">
            <w:pPr>
              <w:widowControl/>
              <w:ind w:left="-17" w:leftChars="-8" w:firstLine="16" w:firstLineChars="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1.灵活性要求（编号3至8）</w:t>
            </w:r>
          </w:p>
        </w:tc>
      </w:tr>
      <w:tr w14:paraId="294534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88AB2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FFA5AD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792" w:type="dxa"/>
            <w:tcBorders>
              <w:top w:val="single" w:color="auto" w:sz="4" w:space="0"/>
              <w:left w:val="nil"/>
              <w:bottom w:val="single" w:color="auto" w:sz="4" w:space="0"/>
              <w:right w:val="single" w:color="auto" w:sz="4" w:space="0"/>
            </w:tcBorders>
            <w:vAlign w:val="center"/>
          </w:tcPr>
          <w:p w14:paraId="4A1E37A2">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1.1单位组织模型的定义和更改可完全通过配置实现, 能支撑复杂组织结构的管理，如行政科室、业务科室以及虚拟组织等。</w:t>
            </w:r>
          </w:p>
        </w:tc>
      </w:tr>
      <w:tr w14:paraId="0D1D5EBF">
        <w:tblPrEx>
          <w:tblCellMar>
            <w:top w:w="0" w:type="dxa"/>
            <w:left w:w="108" w:type="dxa"/>
            <w:bottom w:w="0" w:type="dxa"/>
            <w:right w:w="108" w:type="dxa"/>
          </w:tblCellMar>
        </w:tblPrEx>
        <w:trPr>
          <w:trHeight w:val="609"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113D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81C6ED4">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792" w:type="dxa"/>
            <w:tcBorders>
              <w:top w:val="single" w:color="auto" w:sz="4" w:space="0"/>
              <w:left w:val="nil"/>
              <w:bottom w:val="single" w:color="auto" w:sz="4" w:space="0"/>
              <w:right w:val="single" w:color="auto" w:sz="4" w:space="0"/>
            </w:tcBorders>
            <w:vAlign w:val="center"/>
          </w:tcPr>
          <w:p w14:paraId="60AA223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1.2系统中存储人事信息的子集、指标、代码的更改可由业务用户通过配置实现。</w:t>
            </w:r>
          </w:p>
        </w:tc>
      </w:tr>
      <w:tr w14:paraId="177A7C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00DD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8E159C8">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792" w:type="dxa"/>
            <w:tcBorders>
              <w:top w:val="single" w:color="auto" w:sz="4" w:space="0"/>
              <w:left w:val="nil"/>
              <w:bottom w:val="single" w:color="auto" w:sz="4" w:space="0"/>
              <w:right w:val="single" w:color="auto" w:sz="4" w:space="0"/>
            </w:tcBorders>
            <w:vAlign w:val="center"/>
          </w:tcPr>
          <w:p w14:paraId="22CA0E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具备简单易用的表格设计工具，用户可灵活绘制各类登记表、花名册、业务模板、统计报表，并能够根据需要由业务用户自行调整，无需厂商二次开发；各类表格绘制风格统一、操作简单、支持excel表样导入，并支持设置打印、输出 excel、pdf 等格式。</w:t>
            </w:r>
          </w:p>
        </w:tc>
      </w:tr>
      <w:tr w14:paraId="36DCCAD8">
        <w:tblPrEx>
          <w:tblCellMar>
            <w:top w:w="0" w:type="dxa"/>
            <w:left w:w="108" w:type="dxa"/>
            <w:bottom w:w="0" w:type="dxa"/>
            <w:right w:w="108" w:type="dxa"/>
          </w:tblCellMar>
        </w:tblPrEx>
        <w:trPr>
          <w:trHeight w:val="788"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A6CF2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0C8E7D">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792" w:type="dxa"/>
            <w:tcBorders>
              <w:top w:val="single" w:color="auto" w:sz="4" w:space="0"/>
              <w:left w:val="nil"/>
              <w:bottom w:val="single" w:color="auto" w:sz="4" w:space="0"/>
              <w:right w:val="single" w:color="auto" w:sz="4" w:space="0"/>
            </w:tcBorders>
            <w:vAlign w:val="center"/>
          </w:tcPr>
          <w:p w14:paraId="6D61C1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1.4系统中人事业务流程可灵活定义，包括流程中所涉及到的表单、审批节点、审批内容、数据存储等设计和更改均可完全通过配置实现，无需动用代码级二次开发。</w:t>
            </w:r>
          </w:p>
        </w:tc>
      </w:tr>
      <w:tr w14:paraId="61FF71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AC619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B75660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792" w:type="dxa"/>
            <w:tcBorders>
              <w:top w:val="single" w:color="auto" w:sz="4" w:space="0"/>
              <w:left w:val="nil"/>
              <w:bottom w:val="single" w:color="auto" w:sz="4" w:space="0"/>
              <w:right w:val="single" w:color="auto" w:sz="4" w:space="0"/>
            </w:tcBorders>
            <w:vAlign w:val="center"/>
          </w:tcPr>
          <w:p w14:paraId="3606B3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1.5系统内人事业务能根据实际要求进行灵活配置实现，如招聘资格审查环节的灵活定义。</w:t>
            </w:r>
          </w:p>
        </w:tc>
      </w:tr>
      <w:tr w14:paraId="426001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2FC585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F73F0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792" w:type="dxa"/>
            <w:tcBorders>
              <w:top w:val="single" w:color="auto" w:sz="4" w:space="0"/>
              <w:left w:val="nil"/>
              <w:bottom w:val="single" w:color="auto" w:sz="4" w:space="0"/>
              <w:right w:val="single" w:color="auto" w:sz="4" w:space="0"/>
            </w:tcBorders>
            <w:vAlign w:val="center"/>
          </w:tcPr>
          <w:p w14:paraId="2A9BA17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u w:val="none"/>
                <w:lang w:val="en-US" w:eastAsia="zh-CN"/>
              </w:rPr>
              <w:t>根据医院需求为院领导提供各种统计分析报表；支持柱状图、饼图、折线图等，支持数据穿透功能。系统能够根据工资的某些项自动计算社保缴费基数，并个人缴费部分参与工资计算。</w:t>
            </w:r>
          </w:p>
        </w:tc>
      </w:tr>
      <w:tr w14:paraId="0DF013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55BD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9D4E3E0">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6792" w:type="dxa"/>
            <w:tcBorders>
              <w:top w:val="single" w:color="auto" w:sz="4" w:space="0"/>
              <w:left w:val="nil"/>
              <w:bottom w:val="single" w:color="auto" w:sz="4" w:space="0"/>
              <w:right w:val="single" w:color="auto" w:sz="4" w:space="0"/>
            </w:tcBorders>
            <w:vAlign w:val="center"/>
          </w:tcPr>
          <w:p w14:paraId="7838FD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2.易用性要求（编号10至14）</w:t>
            </w:r>
          </w:p>
        </w:tc>
      </w:tr>
      <w:tr w14:paraId="41E10E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3E81A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58FEB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6792" w:type="dxa"/>
            <w:tcBorders>
              <w:top w:val="single" w:color="auto" w:sz="4" w:space="0"/>
              <w:left w:val="nil"/>
              <w:bottom w:val="single" w:color="auto" w:sz="4" w:space="0"/>
              <w:right w:val="single" w:color="auto" w:sz="4" w:space="0"/>
            </w:tcBorders>
            <w:vAlign w:val="center"/>
          </w:tcPr>
          <w:p w14:paraId="724148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2.1可根据用户惯灵活调整界面配色方案，界面展现形式要具有较好的一致性。</w:t>
            </w:r>
          </w:p>
        </w:tc>
      </w:tr>
      <w:tr w14:paraId="776CA0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347C7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12E9C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6792" w:type="dxa"/>
            <w:tcBorders>
              <w:top w:val="single" w:color="auto" w:sz="4" w:space="0"/>
              <w:left w:val="nil"/>
              <w:bottom w:val="single" w:color="auto" w:sz="4" w:space="0"/>
              <w:right w:val="single" w:color="auto" w:sz="4" w:space="0"/>
            </w:tcBorders>
            <w:vAlign w:val="center"/>
          </w:tcPr>
          <w:p w14:paraId="1090EF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2.2界面设计人性化，具备导航辅助及个性化设计，每个界面功能结构清晰、操作直观简单。</w:t>
            </w:r>
          </w:p>
        </w:tc>
      </w:tr>
      <w:tr w14:paraId="43203C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15363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06AEAA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6792" w:type="dxa"/>
            <w:tcBorders>
              <w:top w:val="single" w:color="auto" w:sz="4" w:space="0"/>
              <w:left w:val="nil"/>
              <w:bottom w:val="single" w:color="auto" w:sz="4" w:space="0"/>
              <w:right w:val="single" w:color="auto" w:sz="4" w:space="0"/>
            </w:tcBorders>
            <w:vAlign w:val="center"/>
          </w:tcPr>
          <w:p w14:paraId="780418B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2.3相关的待办业务、提醒、公告等内容可在主页桌面内直观展现，点击即可办理。</w:t>
            </w:r>
          </w:p>
        </w:tc>
      </w:tr>
      <w:tr w14:paraId="0D4B58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59E24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0FE6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6792" w:type="dxa"/>
            <w:tcBorders>
              <w:top w:val="single" w:color="auto" w:sz="4" w:space="0"/>
              <w:left w:val="nil"/>
              <w:bottom w:val="single" w:color="auto" w:sz="4" w:space="0"/>
              <w:right w:val="single" w:color="auto" w:sz="4" w:space="0"/>
            </w:tcBorders>
            <w:vAlign w:val="center"/>
          </w:tcPr>
          <w:p w14:paraId="613109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2.4信息呈现形式多样，有图表、有分析，并能层层钻透到底层数据。</w:t>
            </w:r>
          </w:p>
        </w:tc>
      </w:tr>
      <w:tr w14:paraId="61C498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91620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0CA44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6792" w:type="dxa"/>
            <w:tcBorders>
              <w:top w:val="single" w:color="auto" w:sz="4" w:space="0"/>
              <w:left w:val="nil"/>
              <w:bottom w:val="single" w:color="auto" w:sz="4" w:space="0"/>
              <w:right w:val="single" w:color="auto" w:sz="4" w:space="0"/>
            </w:tcBorders>
            <w:vAlign w:val="center"/>
          </w:tcPr>
          <w:p w14:paraId="3334475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2.5用户进行系统操作出现例外情况，系统应进行业务提示。</w:t>
            </w:r>
          </w:p>
        </w:tc>
      </w:tr>
      <w:tr w14:paraId="1288AE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2108BE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4A83EA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6792" w:type="dxa"/>
            <w:tcBorders>
              <w:top w:val="single" w:color="auto" w:sz="4" w:space="0"/>
              <w:left w:val="nil"/>
              <w:bottom w:val="single" w:color="auto" w:sz="4" w:space="0"/>
              <w:right w:val="single" w:color="auto" w:sz="4" w:space="0"/>
            </w:tcBorders>
            <w:vAlign w:val="center"/>
          </w:tcPr>
          <w:p w14:paraId="548B1DD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3.适应性要求（编号16至19）</w:t>
            </w:r>
          </w:p>
        </w:tc>
      </w:tr>
      <w:tr w14:paraId="4FD011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59C67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0BED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6792" w:type="dxa"/>
            <w:tcBorders>
              <w:top w:val="single" w:color="auto" w:sz="4" w:space="0"/>
              <w:left w:val="nil"/>
              <w:bottom w:val="single" w:color="auto" w:sz="4" w:space="0"/>
              <w:right w:val="single" w:color="auto" w:sz="4" w:space="0"/>
            </w:tcBorders>
            <w:vAlign w:val="center"/>
          </w:tcPr>
          <w:p w14:paraId="1DD22CC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3.1系统需预置国标、行业标准等指标代码体系，医院个性化要求需能够由业务用户自定义</w:t>
            </w:r>
          </w:p>
        </w:tc>
      </w:tr>
      <w:tr w14:paraId="12CAD9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3CCA7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92DF3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6792" w:type="dxa"/>
            <w:tcBorders>
              <w:top w:val="single" w:color="auto" w:sz="4" w:space="0"/>
              <w:left w:val="nil"/>
              <w:bottom w:val="single" w:color="auto" w:sz="4" w:space="0"/>
              <w:right w:val="single" w:color="auto" w:sz="4" w:space="0"/>
            </w:tcBorders>
            <w:vAlign w:val="center"/>
          </w:tcPr>
          <w:p w14:paraId="0DC9E6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3.2支持事业单位历史各期工改的文件，数据标准、调资规则等业务的预置，并能够根据当地的社保、工资标准、调资规则等人事管理要求进行灵活调整。</w:t>
            </w:r>
          </w:p>
        </w:tc>
      </w:tr>
      <w:tr w14:paraId="27ED5BE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AC5E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5F9E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6792" w:type="dxa"/>
            <w:tcBorders>
              <w:top w:val="single" w:color="auto" w:sz="4" w:space="0"/>
              <w:left w:val="nil"/>
              <w:bottom w:val="single" w:color="auto" w:sz="4" w:space="0"/>
              <w:right w:val="single" w:color="auto" w:sz="4" w:space="0"/>
            </w:tcBorders>
            <w:vAlign w:val="center"/>
          </w:tcPr>
          <w:p w14:paraId="55AAE3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3.3系统需预置人社部等医院行业通用统计报表模板，业务用户能够按照上级单位的要求灵活制作、修改。</w:t>
            </w:r>
          </w:p>
        </w:tc>
      </w:tr>
      <w:tr w14:paraId="4169B4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00073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A41B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6792" w:type="dxa"/>
            <w:tcBorders>
              <w:top w:val="single" w:color="auto" w:sz="4" w:space="0"/>
              <w:left w:val="nil"/>
              <w:bottom w:val="single" w:color="auto" w:sz="4" w:space="0"/>
              <w:right w:val="single" w:color="auto" w:sz="4" w:space="0"/>
            </w:tcBorders>
            <w:vAlign w:val="center"/>
          </w:tcPr>
          <w:p w14:paraId="0B6CDA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3.4系统提供干部任免审批表模板，能够与中组部干部任免审批表编辑器对接。</w:t>
            </w:r>
          </w:p>
        </w:tc>
      </w:tr>
      <w:tr w14:paraId="562C629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4835D4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26C356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6792" w:type="dxa"/>
            <w:tcBorders>
              <w:top w:val="single" w:color="auto" w:sz="4" w:space="0"/>
              <w:left w:val="nil"/>
              <w:bottom w:val="single" w:color="auto" w:sz="4" w:space="0"/>
              <w:right w:val="single" w:color="auto" w:sz="4" w:space="0"/>
            </w:tcBorders>
            <w:vAlign w:val="center"/>
          </w:tcPr>
          <w:p w14:paraId="460F01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4.先进性要求（编号21至23）</w:t>
            </w:r>
          </w:p>
        </w:tc>
      </w:tr>
      <w:tr w14:paraId="7BFC63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3360F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BEC29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6792" w:type="dxa"/>
            <w:tcBorders>
              <w:top w:val="single" w:color="auto" w:sz="4" w:space="0"/>
              <w:left w:val="nil"/>
              <w:bottom w:val="single" w:color="auto" w:sz="4" w:space="0"/>
              <w:right w:val="single" w:color="auto" w:sz="4" w:space="0"/>
            </w:tcBorders>
            <w:vAlign w:val="center"/>
          </w:tcPr>
          <w:p w14:paraId="104F51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4.1B/S 架构，以J2EE为系统的核心技术标准。</w:t>
            </w:r>
          </w:p>
        </w:tc>
      </w:tr>
      <w:tr w14:paraId="532F55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56DE94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77B8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6792" w:type="dxa"/>
            <w:tcBorders>
              <w:top w:val="single" w:color="auto" w:sz="4" w:space="0"/>
              <w:left w:val="nil"/>
              <w:bottom w:val="single" w:color="auto" w:sz="4" w:space="0"/>
              <w:right w:val="single" w:color="auto" w:sz="4" w:space="0"/>
            </w:tcBorders>
            <w:vAlign w:val="center"/>
          </w:tcPr>
          <w:p w14:paraId="4BDBC87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4.2系统设计采用先进的面向对象，UML方法进行建模，支持负载平衡、容错处理、支持集群部署。</w:t>
            </w:r>
          </w:p>
        </w:tc>
      </w:tr>
      <w:tr w14:paraId="604CA75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73966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6A41F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6792" w:type="dxa"/>
            <w:tcBorders>
              <w:top w:val="single" w:color="auto" w:sz="4" w:space="0"/>
              <w:left w:val="nil"/>
              <w:bottom w:val="single" w:color="auto" w:sz="4" w:space="0"/>
              <w:right w:val="single" w:color="auto" w:sz="4" w:space="0"/>
            </w:tcBorders>
            <w:vAlign w:val="center"/>
          </w:tcPr>
          <w:p w14:paraId="4D41C13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4.3提供与云服务、移动应用等先进技术的整合应用，提高业务管理水平的同时，兼顾使用人员的应用感受。</w:t>
            </w:r>
          </w:p>
        </w:tc>
      </w:tr>
      <w:tr w14:paraId="493E65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2D9C4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F6E1E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6792" w:type="dxa"/>
            <w:tcBorders>
              <w:top w:val="single" w:color="auto" w:sz="4" w:space="0"/>
              <w:left w:val="nil"/>
              <w:bottom w:val="single" w:color="auto" w:sz="4" w:space="0"/>
              <w:right w:val="single" w:color="auto" w:sz="4" w:space="0"/>
            </w:tcBorders>
            <w:vAlign w:val="center"/>
          </w:tcPr>
          <w:p w14:paraId="261450D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5.可靠性要求（编号25至29）</w:t>
            </w:r>
          </w:p>
        </w:tc>
      </w:tr>
      <w:tr w14:paraId="101F329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5B2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061DD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6792" w:type="dxa"/>
            <w:tcBorders>
              <w:top w:val="single" w:color="auto" w:sz="4" w:space="0"/>
              <w:left w:val="nil"/>
              <w:bottom w:val="single" w:color="auto" w:sz="4" w:space="0"/>
              <w:right w:val="single" w:color="auto" w:sz="4" w:space="0"/>
            </w:tcBorders>
            <w:vAlign w:val="center"/>
          </w:tcPr>
          <w:p w14:paraId="287A5EA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5.1以较为成熟的eHR产品为基础进行客户化配置，尽量减少程序开发的比重，避免因整体性能不稳定而导致的项目风险。</w:t>
            </w:r>
          </w:p>
        </w:tc>
      </w:tr>
      <w:tr w14:paraId="4CE976D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01E1D8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EEC1A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6792" w:type="dxa"/>
            <w:tcBorders>
              <w:top w:val="single" w:color="auto" w:sz="4" w:space="0"/>
              <w:left w:val="nil"/>
              <w:bottom w:val="single" w:color="auto" w:sz="4" w:space="0"/>
              <w:right w:val="single" w:color="auto" w:sz="4" w:space="0"/>
            </w:tcBorders>
            <w:vAlign w:val="center"/>
          </w:tcPr>
          <w:p w14:paraId="2B6A89A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5.2具有为各类角色定义权限的能力，支持批量为账户授予角色，具有三员分离设计，确保系统权限安全。</w:t>
            </w:r>
          </w:p>
        </w:tc>
      </w:tr>
      <w:tr w14:paraId="7C81DCD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26DBF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DE876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6792" w:type="dxa"/>
            <w:tcBorders>
              <w:top w:val="single" w:color="auto" w:sz="4" w:space="0"/>
              <w:left w:val="nil"/>
              <w:bottom w:val="single" w:color="auto" w:sz="4" w:space="0"/>
              <w:right w:val="single" w:color="auto" w:sz="4" w:space="0"/>
            </w:tcBorders>
            <w:vAlign w:val="center"/>
          </w:tcPr>
          <w:p w14:paraId="0FDAE08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5.3支持短信、验证码、UKEY等多种方式的密码验证机制，确保登录安全。</w:t>
            </w:r>
          </w:p>
        </w:tc>
      </w:tr>
      <w:tr w14:paraId="433331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12CBF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F30AA9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6792" w:type="dxa"/>
            <w:tcBorders>
              <w:top w:val="single" w:color="auto" w:sz="4" w:space="0"/>
              <w:left w:val="nil"/>
              <w:bottom w:val="single" w:color="auto" w:sz="4" w:space="0"/>
              <w:right w:val="single" w:color="auto" w:sz="4" w:space="0"/>
            </w:tcBorders>
            <w:vAlign w:val="center"/>
          </w:tcPr>
          <w:p w14:paraId="3FD8F4D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5.4具有业务操作安全约束机制，每类角色、每个用户都有操作权限和操作日志记录。</w:t>
            </w:r>
          </w:p>
        </w:tc>
      </w:tr>
      <w:tr w14:paraId="7EB4EA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1A1615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02A1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6792" w:type="dxa"/>
            <w:tcBorders>
              <w:top w:val="single" w:color="auto" w:sz="4" w:space="0"/>
              <w:left w:val="nil"/>
              <w:bottom w:val="single" w:color="auto" w:sz="4" w:space="0"/>
              <w:right w:val="single" w:color="auto" w:sz="4" w:space="0"/>
            </w:tcBorders>
            <w:vAlign w:val="center"/>
          </w:tcPr>
          <w:p w14:paraId="19756345">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5.5支持对关键应用数据和系统数据的定期自动备份和不定期人工备份。</w:t>
            </w:r>
          </w:p>
        </w:tc>
      </w:tr>
      <w:tr w14:paraId="1963AF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43A517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6A1F6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6792" w:type="dxa"/>
            <w:tcBorders>
              <w:top w:val="single" w:color="auto" w:sz="4" w:space="0"/>
              <w:left w:val="nil"/>
              <w:bottom w:val="single" w:color="auto" w:sz="4" w:space="0"/>
              <w:right w:val="single" w:color="auto" w:sz="4" w:space="0"/>
            </w:tcBorders>
            <w:vAlign w:val="center"/>
          </w:tcPr>
          <w:p w14:paraId="06285B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扩展性要求（编号31至34）</w:t>
            </w:r>
          </w:p>
        </w:tc>
      </w:tr>
      <w:tr w14:paraId="41F5F31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A090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9BFAA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6792" w:type="dxa"/>
            <w:tcBorders>
              <w:top w:val="single" w:color="auto" w:sz="4" w:space="0"/>
              <w:left w:val="nil"/>
              <w:bottom w:val="single" w:color="auto" w:sz="4" w:space="0"/>
              <w:right w:val="single" w:color="auto" w:sz="4" w:space="0"/>
            </w:tcBorders>
            <w:vAlign w:val="center"/>
          </w:tcPr>
          <w:p w14:paraId="7A86E93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6.1软件版本升级或改进可在不影响业务的情况下进行，保证系统可以稳定、平滑过渡。</w:t>
            </w:r>
          </w:p>
        </w:tc>
      </w:tr>
      <w:tr w14:paraId="3519369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71D286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30738F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6792" w:type="dxa"/>
            <w:tcBorders>
              <w:top w:val="single" w:color="auto" w:sz="4" w:space="0"/>
              <w:left w:val="nil"/>
              <w:bottom w:val="single" w:color="auto" w:sz="4" w:space="0"/>
              <w:right w:val="single" w:color="auto" w:sz="4" w:space="0"/>
            </w:tcBorders>
            <w:vAlign w:val="center"/>
          </w:tcPr>
          <w:p w14:paraId="302E566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6.2支持统一 LDAP 服务，获取组织机构、人员信息集等基础信息，支持 EXCEL 接口、XML 接口、Web service等信息交换模式。</w:t>
            </w:r>
          </w:p>
        </w:tc>
      </w:tr>
      <w:tr w14:paraId="2C7EBA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0DEE7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B17E0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6792" w:type="dxa"/>
            <w:tcBorders>
              <w:top w:val="single" w:color="auto" w:sz="4" w:space="0"/>
              <w:left w:val="nil"/>
              <w:bottom w:val="single" w:color="auto" w:sz="4" w:space="0"/>
              <w:right w:val="single" w:color="auto" w:sz="4" w:space="0"/>
            </w:tcBorders>
            <w:vAlign w:val="center"/>
          </w:tcPr>
          <w:p w14:paraId="6F756DD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6.3具备与财务、OA、HIS、绩效系统、主数据平台等医院内部其他业务系统对接的能力，满足医院整体信息化要求。</w:t>
            </w:r>
          </w:p>
        </w:tc>
      </w:tr>
      <w:tr w14:paraId="374B33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71A3B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390B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6792" w:type="dxa"/>
            <w:tcBorders>
              <w:top w:val="single" w:color="auto" w:sz="4" w:space="0"/>
              <w:left w:val="nil"/>
              <w:bottom w:val="single" w:color="auto" w:sz="4" w:space="0"/>
              <w:right w:val="single" w:color="auto" w:sz="4" w:space="0"/>
            </w:tcBorders>
            <w:vAlign w:val="center"/>
          </w:tcPr>
          <w:p w14:paraId="03A9FDD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6.4能和微信、钉钉等移动应用对接，用于人员信息浏览，流程审批、消息提示等，实现通过手机等移动设备进行异地审批或浏览。</w:t>
            </w:r>
          </w:p>
        </w:tc>
      </w:tr>
      <w:tr w14:paraId="251D0C4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026CB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CEA5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6792" w:type="dxa"/>
            <w:tcBorders>
              <w:top w:val="single" w:color="auto" w:sz="4" w:space="0"/>
              <w:left w:val="nil"/>
              <w:bottom w:val="single" w:color="auto" w:sz="4" w:space="0"/>
              <w:right w:val="single" w:color="auto" w:sz="4" w:space="0"/>
            </w:tcBorders>
            <w:vAlign w:val="center"/>
          </w:tcPr>
          <w:p w14:paraId="568BB3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性要求：系统需遵守国家关于计算机安全管理方面的相关法律法规，采用包括数据库层面、应用层面的多种安全技术和安全策略，提供安全权限控制、日志审计、关键数据加密、防攻击等功能，能够被目前的主流防病毒软件和工具所兼容，确保系统的安全性能够满足医院三级等保的要求。</w:t>
            </w:r>
          </w:p>
        </w:tc>
      </w:tr>
      <w:tr w14:paraId="34D56D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F2059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DD5831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6792" w:type="dxa"/>
            <w:tcBorders>
              <w:top w:val="single" w:color="auto" w:sz="4" w:space="0"/>
              <w:left w:val="nil"/>
              <w:bottom w:val="single" w:color="auto" w:sz="4" w:space="0"/>
              <w:right w:val="single" w:color="auto" w:sz="4" w:space="0"/>
            </w:tcBorders>
            <w:vAlign w:val="center"/>
          </w:tcPr>
          <w:p w14:paraId="37928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8.技术性需求（编号37至42）</w:t>
            </w:r>
          </w:p>
        </w:tc>
      </w:tr>
      <w:tr w14:paraId="025552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6B6DF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93013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6792" w:type="dxa"/>
            <w:tcBorders>
              <w:top w:val="single" w:color="auto" w:sz="4" w:space="0"/>
              <w:left w:val="nil"/>
              <w:bottom w:val="single" w:color="auto" w:sz="4" w:space="0"/>
              <w:right w:val="single" w:color="auto" w:sz="4" w:space="0"/>
            </w:tcBorders>
            <w:vAlign w:val="center"/>
          </w:tcPr>
          <w:p w14:paraId="096D0C6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8.1产品需支持多种服务器操作系统。</w:t>
            </w:r>
          </w:p>
        </w:tc>
      </w:tr>
      <w:tr w14:paraId="0F170B3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47E1B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A612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6792" w:type="dxa"/>
            <w:tcBorders>
              <w:top w:val="single" w:color="auto" w:sz="4" w:space="0"/>
              <w:left w:val="nil"/>
              <w:bottom w:val="single" w:color="auto" w:sz="4" w:space="0"/>
              <w:right w:val="single" w:color="auto" w:sz="4" w:space="0"/>
            </w:tcBorders>
            <w:vAlign w:val="center"/>
          </w:tcPr>
          <w:p w14:paraId="46A7FF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8.2产品需支持多种数据库。</w:t>
            </w:r>
          </w:p>
        </w:tc>
      </w:tr>
      <w:tr w14:paraId="3BD976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9CE83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0C4E2A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6792" w:type="dxa"/>
            <w:tcBorders>
              <w:top w:val="single" w:color="auto" w:sz="4" w:space="0"/>
              <w:left w:val="nil"/>
              <w:bottom w:val="single" w:color="auto" w:sz="4" w:space="0"/>
              <w:right w:val="single" w:color="auto" w:sz="4" w:space="0"/>
            </w:tcBorders>
            <w:vAlign w:val="center"/>
          </w:tcPr>
          <w:p w14:paraId="572A08D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8.3产品需支持多种浏览器</w:t>
            </w:r>
          </w:p>
        </w:tc>
      </w:tr>
      <w:tr w14:paraId="087B42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DD8CC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58FF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6792" w:type="dxa"/>
            <w:tcBorders>
              <w:top w:val="single" w:color="auto" w:sz="4" w:space="0"/>
              <w:left w:val="nil"/>
              <w:bottom w:val="single" w:color="auto" w:sz="4" w:space="0"/>
              <w:right w:val="single" w:color="auto" w:sz="4" w:space="0"/>
            </w:tcBorders>
            <w:vAlign w:val="center"/>
          </w:tcPr>
          <w:p w14:paraId="6A12943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8.4终端机：需支持日常办公PC终端电脑。</w:t>
            </w:r>
          </w:p>
        </w:tc>
      </w:tr>
      <w:tr w14:paraId="029C616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B396E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559C7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w:t>
            </w:r>
          </w:p>
        </w:tc>
        <w:tc>
          <w:tcPr>
            <w:tcW w:w="6792" w:type="dxa"/>
            <w:tcBorders>
              <w:top w:val="single" w:color="auto" w:sz="4" w:space="0"/>
              <w:left w:val="nil"/>
              <w:bottom w:val="single" w:color="auto" w:sz="4" w:space="0"/>
              <w:right w:val="single" w:color="auto" w:sz="4" w:space="0"/>
            </w:tcBorders>
            <w:vAlign w:val="center"/>
          </w:tcPr>
          <w:p w14:paraId="5C3141D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8.5服务器：需支持虚拟服务器运行环境，同时也支持独立部署物理环境。</w:t>
            </w:r>
          </w:p>
        </w:tc>
      </w:tr>
      <w:tr w14:paraId="0E4FDB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768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CE2A4F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w:t>
            </w:r>
          </w:p>
        </w:tc>
        <w:tc>
          <w:tcPr>
            <w:tcW w:w="6792" w:type="dxa"/>
            <w:tcBorders>
              <w:top w:val="single" w:color="auto" w:sz="4" w:space="0"/>
              <w:left w:val="nil"/>
              <w:bottom w:val="single" w:color="auto" w:sz="4" w:space="0"/>
              <w:right w:val="single" w:color="auto" w:sz="4" w:space="0"/>
            </w:tcBorders>
            <w:vAlign w:val="center"/>
          </w:tcPr>
          <w:p w14:paraId="270EB3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8.6服务大厅业务支持自助终端机，职工通过身份证、工牌等自助登录，输出打印各类材料。</w:t>
            </w:r>
          </w:p>
        </w:tc>
      </w:tr>
      <w:tr w14:paraId="31E5AE7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B337EB">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4E24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6792" w:type="dxa"/>
            <w:tcBorders>
              <w:top w:val="single" w:color="auto" w:sz="4" w:space="0"/>
              <w:left w:val="nil"/>
              <w:bottom w:val="single" w:color="auto" w:sz="4" w:space="0"/>
              <w:right w:val="single" w:color="auto" w:sz="4" w:space="0"/>
            </w:tcBorders>
            <w:vAlign w:val="center"/>
          </w:tcPr>
          <w:p w14:paraId="4D0A9C0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9.信创需求：产品需支持国产化操作系统、数据库和中间件，提供产品兼容性互认证明。</w:t>
            </w:r>
          </w:p>
        </w:tc>
      </w:tr>
      <w:tr w14:paraId="26C8F8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FC12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687D53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c>
          <w:tcPr>
            <w:tcW w:w="6792" w:type="dxa"/>
            <w:tcBorders>
              <w:top w:val="single" w:color="auto" w:sz="4" w:space="0"/>
              <w:left w:val="nil"/>
              <w:bottom w:val="single" w:color="auto" w:sz="4" w:space="0"/>
              <w:right w:val="single" w:color="auto" w:sz="4" w:space="0"/>
            </w:tcBorders>
            <w:vAlign w:val="center"/>
          </w:tcPr>
          <w:p w14:paraId="1208AB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二、系统功能要求（编号45至181）</w:t>
            </w:r>
          </w:p>
        </w:tc>
      </w:tr>
      <w:tr w14:paraId="2D4A0B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79E2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6569D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6792" w:type="dxa"/>
            <w:tcBorders>
              <w:top w:val="single" w:color="auto" w:sz="4" w:space="0"/>
              <w:left w:val="nil"/>
              <w:bottom w:val="single" w:color="auto" w:sz="4" w:space="0"/>
              <w:right w:val="single" w:color="auto" w:sz="4" w:space="0"/>
            </w:tcBorders>
            <w:vAlign w:val="center"/>
          </w:tcPr>
          <w:p w14:paraId="4A610F2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1.组织机构（编号46至57）</w:t>
            </w:r>
          </w:p>
        </w:tc>
      </w:tr>
      <w:tr w14:paraId="03E4981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5F83F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A5767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w:t>
            </w:r>
          </w:p>
        </w:tc>
        <w:tc>
          <w:tcPr>
            <w:tcW w:w="6792" w:type="dxa"/>
            <w:tcBorders>
              <w:top w:val="single" w:color="auto" w:sz="4" w:space="0"/>
              <w:left w:val="nil"/>
              <w:bottom w:val="single" w:color="auto" w:sz="4" w:space="0"/>
              <w:right w:val="single" w:color="auto" w:sz="4" w:space="0"/>
            </w:tcBorders>
            <w:vAlign w:val="center"/>
          </w:tcPr>
          <w:p w14:paraId="72C655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1.1支持多种组织架构设计模式，比如医疗集团、医联体、医共体、多院区、单体医院等多元管理模式。</w:t>
            </w:r>
          </w:p>
        </w:tc>
      </w:tr>
      <w:tr w14:paraId="461AC1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B7B4C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B4275F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w:t>
            </w:r>
          </w:p>
        </w:tc>
        <w:tc>
          <w:tcPr>
            <w:tcW w:w="6792" w:type="dxa"/>
            <w:tcBorders>
              <w:top w:val="single" w:color="auto" w:sz="4" w:space="0"/>
              <w:left w:val="nil"/>
              <w:bottom w:val="single" w:color="auto" w:sz="4" w:space="0"/>
              <w:right w:val="single" w:color="auto" w:sz="4" w:space="0"/>
            </w:tcBorders>
            <w:vAlign w:val="center"/>
          </w:tcPr>
          <w:p w14:paraId="0A376F8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可按行政组织、财务组织、人力组织、法人组织等多维度进行机构图自由切换呈现。系统内嵌组织结构图，可根据机构关系、职务、岗位、人员编制等基本信息自动生成不同维度、不同历史阶段的组织结构图。在组织机构图中支持显示兼职人员。</w:t>
            </w:r>
          </w:p>
        </w:tc>
      </w:tr>
      <w:tr w14:paraId="3ACD47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DBB76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9E411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w:t>
            </w:r>
          </w:p>
        </w:tc>
        <w:tc>
          <w:tcPr>
            <w:tcW w:w="6792" w:type="dxa"/>
            <w:tcBorders>
              <w:top w:val="single" w:color="auto" w:sz="4" w:space="0"/>
              <w:left w:val="nil"/>
              <w:bottom w:val="single" w:color="auto" w:sz="4" w:space="0"/>
              <w:right w:val="single" w:color="auto" w:sz="4" w:space="0"/>
            </w:tcBorders>
            <w:vAlign w:val="center"/>
          </w:tcPr>
          <w:p w14:paraId="7628729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1.3能够对单位、行政科室、业务科室等组织体系进行自定义管理，支持生成组织机构图，能够层层展开与信息穿透，清晰直观体现机构的层级与机构信息。</w:t>
            </w:r>
          </w:p>
        </w:tc>
      </w:tr>
      <w:tr w14:paraId="58FB92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01158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4EC1370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w:t>
            </w:r>
          </w:p>
        </w:tc>
        <w:tc>
          <w:tcPr>
            <w:tcW w:w="6792" w:type="dxa"/>
            <w:tcBorders>
              <w:top w:val="single" w:color="auto" w:sz="4" w:space="0"/>
              <w:left w:val="nil"/>
              <w:bottom w:val="single" w:color="auto" w:sz="4" w:space="0"/>
              <w:right w:val="single" w:color="auto" w:sz="4" w:space="0"/>
            </w:tcBorders>
            <w:vAlign w:val="center"/>
          </w:tcPr>
          <w:p w14:paraId="44E5F2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1.4通过直观的界面操作，进行机构新增、撤销、合并、划转、查询、修改、调整组织单元的顺序以及删除等；组织机构调整时，支持对机构下的人员批量进行划转，人员信息不受影响，历史记录不会丢失。</w:t>
            </w:r>
          </w:p>
        </w:tc>
      </w:tr>
      <w:tr w14:paraId="5446A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FA6353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E36B97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c>
          <w:tcPr>
            <w:tcW w:w="6792" w:type="dxa"/>
            <w:tcBorders>
              <w:top w:val="single" w:color="auto" w:sz="4" w:space="0"/>
              <w:left w:val="nil"/>
              <w:bottom w:val="single" w:color="auto" w:sz="4" w:space="0"/>
              <w:right w:val="single" w:color="auto" w:sz="4" w:space="0"/>
            </w:tcBorders>
            <w:vAlign w:val="center"/>
          </w:tcPr>
          <w:p w14:paraId="4055400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1.5提供机构导入以及复制功能来快速创建组织单元。</w:t>
            </w:r>
          </w:p>
        </w:tc>
      </w:tr>
      <w:tr w14:paraId="07B103D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8783CD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BA58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w:t>
            </w:r>
          </w:p>
        </w:tc>
        <w:tc>
          <w:tcPr>
            <w:tcW w:w="6792" w:type="dxa"/>
            <w:tcBorders>
              <w:top w:val="single" w:color="auto" w:sz="4" w:space="0"/>
              <w:left w:val="nil"/>
              <w:bottom w:val="single" w:color="auto" w:sz="4" w:space="0"/>
              <w:right w:val="single" w:color="auto" w:sz="4" w:space="0"/>
            </w:tcBorders>
            <w:vAlign w:val="center"/>
          </w:tcPr>
          <w:p w14:paraId="234EA7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1.6根据组织机构关系可自动生成、打印输出不同级别、不同范围的组织机构图，组织机构图支持信息钻取。</w:t>
            </w:r>
          </w:p>
        </w:tc>
      </w:tr>
      <w:tr w14:paraId="560A5E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B1CE65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BE9598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w:t>
            </w:r>
          </w:p>
        </w:tc>
        <w:tc>
          <w:tcPr>
            <w:tcW w:w="6792" w:type="dxa"/>
            <w:tcBorders>
              <w:top w:val="single" w:color="auto" w:sz="4" w:space="0"/>
              <w:left w:val="nil"/>
              <w:bottom w:val="single" w:color="auto" w:sz="4" w:space="0"/>
              <w:right w:val="single" w:color="auto" w:sz="4" w:space="0"/>
            </w:tcBorders>
            <w:vAlign w:val="center"/>
          </w:tcPr>
          <w:p w14:paraId="7319C9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1.7基于组织关系，结合医院人事管理的特点，能建立党内职务汇报关系、行政职务汇报关系等。汇报关系图可以在系统中直观展现，支持在实际业务流程中的流转应用。</w:t>
            </w:r>
          </w:p>
        </w:tc>
      </w:tr>
      <w:tr w14:paraId="1274C9B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FB5D5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88C8A2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w:t>
            </w:r>
          </w:p>
        </w:tc>
        <w:tc>
          <w:tcPr>
            <w:tcW w:w="6792" w:type="dxa"/>
            <w:tcBorders>
              <w:top w:val="single" w:color="auto" w:sz="4" w:space="0"/>
              <w:left w:val="nil"/>
              <w:bottom w:val="single" w:color="auto" w:sz="4" w:space="0"/>
              <w:right w:val="single" w:color="auto" w:sz="4" w:space="0"/>
            </w:tcBorders>
            <w:vAlign w:val="center"/>
          </w:tcPr>
          <w:p w14:paraId="364667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1.8能建立适合医院运行的岗位体系，包括岗位分类（如医、护、药、技、管理、工勤等）、行政级别（如：院长、科主任等）、职称级别（主任医师、主治医师、住院医师）等，维护简易便捷。</w:t>
            </w:r>
          </w:p>
        </w:tc>
      </w:tr>
      <w:tr w14:paraId="250A2B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C4DC9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23F17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w:t>
            </w:r>
          </w:p>
        </w:tc>
        <w:tc>
          <w:tcPr>
            <w:tcW w:w="6792" w:type="dxa"/>
            <w:tcBorders>
              <w:top w:val="single" w:color="auto" w:sz="4" w:space="0"/>
              <w:left w:val="nil"/>
              <w:bottom w:val="single" w:color="auto" w:sz="4" w:space="0"/>
              <w:right w:val="single" w:color="auto" w:sz="4" w:space="0"/>
            </w:tcBorders>
            <w:vAlign w:val="center"/>
          </w:tcPr>
          <w:p w14:paraId="45D6DC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1.9支持对岗位基本信息管理，如岗位职责、任职资格、岗位编制、岗位关系等信息的维护与管理。</w:t>
            </w:r>
          </w:p>
        </w:tc>
      </w:tr>
      <w:tr w14:paraId="03CD2C7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2D01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D94A9F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p>
        </w:tc>
        <w:tc>
          <w:tcPr>
            <w:tcW w:w="6792" w:type="dxa"/>
            <w:tcBorders>
              <w:top w:val="single" w:color="auto" w:sz="4" w:space="0"/>
              <w:left w:val="nil"/>
              <w:bottom w:val="single" w:color="auto" w:sz="4" w:space="0"/>
              <w:right w:val="single" w:color="auto" w:sz="4" w:space="0"/>
            </w:tcBorders>
            <w:vAlign w:val="center"/>
          </w:tcPr>
          <w:p w14:paraId="21566D0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1.10依据维护的岗位信息自动生成岗位说明书，用户可以灵活绘制岗位说明书模板。</w:t>
            </w:r>
          </w:p>
        </w:tc>
      </w:tr>
      <w:tr w14:paraId="63BD225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FED76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D4CD0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w:t>
            </w:r>
          </w:p>
        </w:tc>
        <w:tc>
          <w:tcPr>
            <w:tcW w:w="6792" w:type="dxa"/>
            <w:tcBorders>
              <w:top w:val="single" w:color="auto" w:sz="4" w:space="0"/>
              <w:left w:val="nil"/>
              <w:bottom w:val="single" w:color="auto" w:sz="4" w:space="0"/>
              <w:right w:val="single" w:color="auto" w:sz="4" w:space="0"/>
            </w:tcBorders>
            <w:vAlign w:val="center"/>
          </w:tcPr>
          <w:p w14:paraId="2F208D8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1.11能动态显示和监控各层级岗位的配置信息，支持岗位编制与现有人数的比较，可随时对职数、超编、空编、在编等信息进行统计和预警提示。</w:t>
            </w:r>
          </w:p>
        </w:tc>
      </w:tr>
      <w:tr w14:paraId="4FCBADC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6F00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7AA7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w:t>
            </w:r>
          </w:p>
        </w:tc>
        <w:tc>
          <w:tcPr>
            <w:tcW w:w="6792" w:type="dxa"/>
            <w:tcBorders>
              <w:top w:val="single" w:color="auto" w:sz="4" w:space="0"/>
              <w:left w:val="nil"/>
              <w:bottom w:val="single" w:color="auto" w:sz="4" w:space="0"/>
              <w:right w:val="single" w:color="auto" w:sz="4" w:space="0"/>
            </w:tcBorders>
            <w:vAlign w:val="center"/>
          </w:tcPr>
          <w:p w14:paraId="6EA0613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1.12能够自动生成岗位人员配置表，岗位设置情况表等各类表格，并能够对机构信息进行多维度的统计分析。</w:t>
            </w:r>
          </w:p>
        </w:tc>
      </w:tr>
      <w:tr w14:paraId="5C62704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A49ED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BF88CC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w:t>
            </w:r>
          </w:p>
        </w:tc>
        <w:tc>
          <w:tcPr>
            <w:tcW w:w="6792" w:type="dxa"/>
            <w:tcBorders>
              <w:top w:val="single" w:color="auto" w:sz="4" w:space="0"/>
              <w:left w:val="nil"/>
              <w:bottom w:val="single" w:color="auto" w:sz="4" w:space="0"/>
              <w:right w:val="single" w:color="auto" w:sz="4" w:space="0"/>
            </w:tcBorders>
            <w:vAlign w:val="center"/>
          </w:tcPr>
          <w:p w14:paraId="0C4494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2、职工管理（编号59至83）</w:t>
            </w:r>
          </w:p>
        </w:tc>
      </w:tr>
      <w:tr w14:paraId="0209E2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8E22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A01B9E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w:t>
            </w:r>
          </w:p>
        </w:tc>
        <w:tc>
          <w:tcPr>
            <w:tcW w:w="6792" w:type="dxa"/>
            <w:tcBorders>
              <w:top w:val="single" w:color="auto" w:sz="4" w:space="0"/>
              <w:left w:val="nil"/>
              <w:bottom w:val="single" w:color="auto" w:sz="4" w:space="0"/>
              <w:right w:val="single" w:color="auto" w:sz="4" w:space="0"/>
            </w:tcBorders>
            <w:vAlign w:val="center"/>
          </w:tcPr>
          <w:p w14:paraId="793B056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2.1支持灵活定义人员信息指标项，可以记录职工从入职到离职的全部信息，如基本信息、学习培训经历、历次职务职称变动、历次薪资变动、岗位变动信息、每月考勤信息、奖惩情况、考核情况等等。</w:t>
            </w:r>
          </w:p>
        </w:tc>
      </w:tr>
      <w:tr w14:paraId="335385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5BF13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FF5A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c>
          <w:tcPr>
            <w:tcW w:w="6792" w:type="dxa"/>
            <w:tcBorders>
              <w:top w:val="single" w:color="auto" w:sz="4" w:space="0"/>
              <w:left w:val="nil"/>
              <w:bottom w:val="single" w:color="auto" w:sz="4" w:space="0"/>
              <w:right w:val="single" w:color="auto" w:sz="4" w:space="0"/>
            </w:tcBorders>
            <w:vAlign w:val="center"/>
          </w:tcPr>
          <w:p w14:paraId="0DC36F0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2.2管理员或有权限的业务人员可根据需要对人员信息项目进行灵活的增加、修改、删除。</w:t>
            </w:r>
          </w:p>
        </w:tc>
      </w:tr>
      <w:tr w14:paraId="3998BC0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4536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9FC0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w:t>
            </w:r>
          </w:p>
        </w:tc>
        <w:tc>
          <w:tcPr>
            <w:tcW w:w="6792" w:type="dxa"/>
            <w:tcBorders>
              <w:top w:val="single" w:color="auto" w:sz="4" w:space="0"/>
              <w:left w:val="nil"/>
              <w:bottom w:val="single" w:color="auto" w:sz="4" w:space="0"/>
              <w:right w:val="single" w:color="auto" w:sz="4" w:space="0"/>
            </w:tcBorders>
            <w:vAlign w:val="center"/>
          </w:tcPr>
          <w:p w14:paraId="0A7B344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可从不同维度进行职工分类管理，如：按照用工形式分为在编人员、合同人员、劳务派遣人员、返聘人员等；按照人员状态可分为在岗人员、离退休人员、进修培训人员，待岗人员、内退人员、待聘人员、调出人员、应聘人员等。</w:t>
            </w:r>
          </w:p>
        </w:tc>
      </w:tr>
      <w:tr w14:paraId="7F6620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21AD51">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EA72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w:t>
            </w:r>
          </w:p>
        </w:tc>
        <w:tc>
          <w:tcPr>
            <w:tcW w:w="6792" w:type="dxa"/>
            <w:tcBorders>
              <w:top w:val="single" w:color="auto" w:sz="4" w:space="0"/>
              <w:left w:val="nil"/>
              <w:bottom w:val="single" w:color="auto" w:sz="4" w:space="0"/>
              <w:right w:val="single" w:color="auto" w:sz="4" w:space="0"/>
            </w:tcBorders>
            <w:vAlign w:val="center"/>
          </w:tcPr>
          <w:p w14:paraId="4E2CED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2.4支持对“双肩挑”人员的管理应用，并能够根据需要不出现重复统计。</w:t>
            </w:r>
          </w:p>
        </w:tc>
      </w:tr>
      <w:tr w14:paraId="2F8243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91A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106F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w:t>
            </w:r>
          </w:p>
        </w:tc>
        <w:tc>
          <w:tcPr>
            <w:tcW w:w="6792" w:type="dxa"/>
            <w:tcBorders>
              <w:top w:val="single" w:color="auto" w:sz="4" w:space="0"/>
              <w:left w:val="nil"/>
              <w:bottom w:val="single" w:color="auto" w:sz="4" w:space="0"/>
              <w:right w:val="single" w:color="auto" w:sz="4" w:space="0"/>
            </w:tcBorders>
            <w:vAlign w:val="center"/>
          </w:tcPr>
          <w:p w14:paraId="06D6C6F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2.5支持批量导入、批量删除、批量计算以及批量修改等功能，实现对职工信息的快速维护，提高工作效率。</w:t>
            </w:r>
          </w:p>
        </w:tc>
      </w:tr>
      <w:tr w14:paraId="324A7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63BC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C6AF0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w:t>
            </w:r>
          </w:p>
        </w:tc>
        <w:tc>
          <w:tcPr>
            <w:tcW w:w="6792" w:type="dxa"/>
            <w:tcBorders>
              <w:top w:val="single" w:color="auto" w:sz="4" w:space="0"/>
              <w:left w:val="nil"/>
              <w:bottom w:val="single" w:color="auto" w:sz="4" w:space="0"/>
              <w:right w:val="single" w:color="auto" w:sz="4" w:space="0"/>
            </w:tcBorders>
            <w:vAlign w:val="center"/>
          </w:tcPr>
          <w:p w14:paraId="543B11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2.6具有智能计算功能，如通过身份证自动计算出生日期、年龄、性别信息等。</w:t>
            </w:r>
          </w:p>
        </w:tc>
      </w:tr>
      <w:tr w14:paraId="78AAA0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AD54E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7AC8A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6792" w:type="dxa"/>
            <w:tcBorders>
              <w:top w:val="single" w:color="auto" w:sz="4" w:space="0"/>
              <w:left w:val="nil"/>
              <w:bottom w:val="single" w:color="auto" w:sz="4" w:space="0"/>
              <w:right w:val="single" w:color="auto" w:sz="4" w:space="0"/>
            </w:tcBorders>
            <w:vAlign w:val="center"/>
          </w:tcPr>
          <w:p w14:paraId="600BD2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可为不同类别的员工设计构建人员画像方案，以时间轴、数字标签、九宫格、统计图形等形式生动展现人员情况，全面地认识每个员工的个人特点、技能水平、工作表现和经验背景。人员画像作为人员信息的生动展现形式，能在用户定制名册、表单时便捷调用，无需开发。</w:t>
            </w:r>
          </w:p>
        </w:tc>
      </w:tr>
      <w:tr w14:paraId="6771140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F1416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2CCBE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w:t>
            </w:r>
          </w:p>
        </w:tc>
        <w:tc>
          <w:tcPr>
            <w:tcW w:w="6792" w:type="dxa"/>
            <w:tcBorders>
              <w:top w:val="single" w:color="auto" w:sz="4" w:space="0"/>
              <w:left w:val="nil"/>
              <w:bottom w:val="single" w:color="auto" w:sz="4" w:space="0"/>
              <w:right w:val="single" w:color="auto" w:sz="4" w:space="0"/>
            </w:tcBorders>
            <w:vAlign w:val="center"/>
          </w:tcPr>
          <w:p w14:paraId="20CD1C3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2.8能自由调整单位或者部门的人员排列顺序。</w:t>
            </w:r>
          </w:p>
        </w:tc>
      </w:tr>
      <w:tr w14:paraId="4C23A2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F19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38EC7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w:t>
            </w:r>
          </w:p>
        </w:tc>
        <w:tc>
          <w:tcPr>
            <w:tcW w:w="6792" w:type="dxa"/>
            <w:tcBorders>
              <w:top w:val="single" w:color="auto" w:sz="4" w:space="0"/>
              <w:left w:val="nil"/>
              <w:bottom w:val="single" w:color="auto" w:sz="4" w:space="0"/>
              <w:right w:val="single" w:color="auto" w:sz="4" w:space="0"/>
            </w:tcBorders>
            <w:vAlign w:val="center"/>
          </w:tcPr>
          <w:p w14:paraId="67BDF60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2.9支持与二代身份证读卡器对接，可以快速采集身份证中的信息，同时可查询定位到身份证对应的人员；支持对身份证号唯一性和合法性校验。</w:t>
            </w:r>
          </w:p>
        </w:tc>
      </w:tr>
      <w:tr w14:paraId="0D8C28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C3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E98B2E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w:t>
            </w:r>
          </w:p>
        </w:tc>
        <w:tc>
          <w:tcPr>
            <w:tcW w:w="6792" w:type="dxa"/>
            <w:tcBorders>
              <w:top w:val="single" w:color="auto" w:sz="4" w:space="0"/>
              <w:left w:val="nil"/>
              <w:bottom w:val="single" w:color="auto" w:sz="4" w:space="0"/>
              <w:right w:val="single" w:color="auto" w:sz="4" w:space="0"/>
            </w:tcBorders>
            <w:vAlign w:val="center"/>
          </w:tcPr>
          <w:p w14:paraId="2E4BC5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2.10支持多媒体信息以及其他文本格式文件的导入或关联，支持照片、录像、声音、考核材料、证书复印件等以附件上传到系统中，实现人员信息的立体化管理。</w:t>
            </w:r>
          </w:p>
        </w:tc>
      </w:tr>
      <w:tr w14:paraId="043D616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1D3E0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7CF17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w:t>
            </w:r>
          </w:p>
        </w:tc>
        <w:tc>
          <w:tcPr>
            <w:tcW w:w="6792" w:type="dxa"/>
            <w:tcBorders>
              <w:top w:val="single" w:color="auto" w:sz="4" w:space="0"/>
              <w:left w:val="nil"/>
              <w:bottom w:val="single" w:color="auto" w:sz="4" w:space="0"/>
              <w:right w:val="single" w:color="auto" w:sz="4" w:space="0"/>
            </w:tcBorders>
            <w:vAlign w:val="center"/>
          </w:tcPr>
          <w:p w14:paraId="51819B1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2.11支持职工自助在权限范围内对错误信息进行申请修改，审核后生效。</w:t>
            </w:r>
          </w:p>
        </w:tc>
      </w:tr>
      <w:tr w14:paraId="68DF15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05F75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93C84A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w:t>
            </w:r>
          </w:p>
        </w:tc>
        <w:tc>
          <w:tcPr>
            <w:tcW w:w="6792" w:type="dxa"/>
            <w:tcBorders>
              <w:top w:val="single" w:color="auto" w:sz="4" w:space="0"/>
              <w:left w:val="nil"/>
              <w:bottom w:val="single" w:color="auto" w:sz="4" w:space="0"/>
              <w:right w:val="single" w:color="auto" w:sz="4" w:space="0"/>
            </w:tcBorders>
            <w:vAlign w:val="center"/>
          </w:tcPr>
          <w:p w14:paraId="688ACCE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2.12支持新职工（未分配账号）通过扫描二维码方式，维护个人信息，审核后生效。</w:t>
            </w:r>
          </w:p>
        </w:tc>
      </w:tr>
      <w:tr w14:paraId="4E65C9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4803B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762B5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w:t>
            </w:r>
          </w:p>
        </w:tc>
        <w:tc>
          <w:tcPr>
            <w:tcW w:w="6792" w:type="dxa"/>
            <w:tcBorders>
              <w:top w:val="single" w:color="auto" w:sz="4" w:space="0"/>
              <w:left w:val="nil"/>
              <w:bottom w:val="single" w:color="auto" w:sz="4" w:space="0"/>
              <w:right w:val="single" w:color="auto" w:sz="4" w:space="0"/>
            </w:tcBorders>
            <w:vAlign w:val="center"/>
          </w:tcPr>
          <w:p w14:paraId="0E09AE6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2.13职工编码可由系统自动分配，也可手工决定；可以自定义必填的信息项；提供了数据审核功能，保证数据一致性和准确性。</w:t>
            </w:r>
          </w:p>
        </w:tc>
      </w:tr>
      <w:tr w14:paraId="6B093FB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9040C10">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8CBD4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w:t>
            </w:r>
          </w:p>
        </w:tc>
        <w:tc>
          <w:tcPr>
            <w:tcW w:w="6792" w:type="dxa"/>
            <w:tcBorders>
              <w:top w:val="single" w:color="auto" w:sz="4" w:space="0"/>
              <w:left w:val="nil"/>
              <w:bottom w:val="single" w:color="auto" w:sz="4" w:space="0"/>
              <w:right w:val="single" w:color="auto" w:sz="4" w:space="0"/>
            </w:tcBorders>
            <w:vAlign w:val="center"/>
          </w:tcPr>
          <w:p w14:paraId="6ADE84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2.14提供智能查询、快速查询、通用查询以及复杂查询等多种查询方式；并可实现模糊查询、子集历史记录查询功能；查询条件可以保存为常用查询，方便下次直接使用；查询结果支持按照片卡片、小资料卡、列表方式显示，方便直观。</w:t>
            </w:r>
          </w:p>
        </w:tc>
      </w:tr>
      <w:tr w14:paraId="2EA3F27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4C9C1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7A67C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w:t>
            </w:r>
          </w:p>
        </w:tc>
        <w:tc>
          <w:tcPr>
            <w:tcW w:w="6792" w:type="dxa"/>
            <w:tcBorders>
              <w:top w:val="single" w:color="auto" w:sz="4" w:space="0"/>
              <w:left w:val="nil"/>
              <w:bottom w:val="single" w:color="auto" w:sz="4" w:space="0"/>
              <w:right w:val="single" w:color="auto" w:sz="4" w:space="0"/>
            </w:tcBorders>
            <w:vAlign w:val="center"/>
          </w:tcPr>
          <w:p w14:paraId="3DB5B76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2.15系统应灵活进行标签维度及标签内容定义，直接选择标签进行信息查询，根据标签查询结果，以人才画像和登记表方式全方位展现人才信息，实现人才画像全景化、可视化、数字化。</w:t>
            </w:r>
          </w:p>
        </w:tc>
      </w:tr>
      <w:tr w14:paraId="6E86AA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DEA3C11">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0789B18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w:t>
            </w:r>
          </w:p>
        </w:tc>
        <w:tc>
          <w:tcPr>
            <w:tcW w:w="6792" w:type="dxa"/>
            <w:tcBorders>
              <w:top w:val="single" w:color="auto" w:sz="4" w:space="0"/>
              <w:left w:val="nil"/>
              <w:bottom w:val="single" w:color="auto" w:sz="4" w:space="0"/>
              <w:right w:val="single" w:color="auto" w:sz="4" w:space="0"/>
            </w:tcBorders>
            <w:vAlign w:val="center"/>
          </w:tcPr>
          <w:p w14:paraId="2EB098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2.16支持按姓名、工号批量查询人员，例如从Excel模板复制多个姓名、粘贴到查询框中进行批量查询。</w:t>
            </w:r>
          </w:p>
        </w:tc>
      </w:tr>
      <w:tr w14:paraId="181494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E9CDC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F72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w:t>
            </w:r>
          </w:p>
        </w:tc>
        <w:tc>
          <w:tcPr>
            <w:tcW w:w="6792" w:type="dxa"/>
            <w:tcBorders>
              <w:top w:val="single" w:color="auto" w:sz="4" w:space="0"/>
              <w:left w:val="nil"/>
              <w:bottom w:val="single" w:color="auto" w:sz="4" w:space="0"/>
              <w:right w:val="single" w:color="auto" w:sz="4" w:space="0"/>
            </w:tcBorders>
            <w:vAlign w:val="center"/>
          </w:tcPr>
          <w:p w14:paraId="396BDB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2.17支持按照关键词快速定位相关的人才，即可依据员工档案信息自动给员工打上的客观标签，如中共党员、95后、博士等等，也可依据员工日常行为表现人为认定的主观标签，如活雷锋、热心人、多面手等，查询出来的人员支持按员工登记表方式查看其整体的情况。标签支持合并查询，如直接输入“80后 男 海归 张”，无需选择查询项。</w:t>
            </w:r>
          </w:p>
        </w:tc>
      </w:tr>
      <w:tr w14:paraId="5B07271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DA7C0B6">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E18B4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w:t>
            </w:r>
          </w:p>
        </w:tc>
        <w:tc>
          <w:tcPr>
            <w:tcW w:w="6792" w:type="dxa"/>
            <w:tcBorders>
              <w:top w:val="single" w:color="auto" w:sz="4" w:space="0"/>
              <w:left w:val="nil"/>
              <w:bottom w:val="single" w:color="auto" w:sz="4" w:space="0"/>
              <w:right w:val="single" w:color="auto" w:sz="4" w:space="0"/>
            </w:tcBorders>
            <w:vAlign w:val="center"/>
          </w:tcPr>
          <w:p w14:paraId="18C8EC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2.18能够根据不同的口径、范围、查询条件高效地生成各类分析报告，如，全院（或某科室）人员的学历分布，年龄分布、职称分布情况等，应对业务数据的动态变化，系统支持定义动态统计项，实时生成新的统计维度。统计结果以直观的图形化方式呈现，支持多种图表类型，包括：直方图、圆饼图、折线图、雷达图、堆叠图等，图例具备数据挖掘钻取功能，为人力资源优化配置提供决策依据。</w:t>
            </w:r>
          </w:p>
        </w:tc>
      </w:tr>
      <w:tr w14:paraId="15FD96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F42D3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0633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w:t>
            </w:r>
          </w:p>
        </w:tc>
        <w:tc>
          <w:tcPr>
            <w:tcW w:w="6792" w:type="dxa"/>
            <w:tcBorders>
              <w:top w:val="single" w:color="auto" w:sz="4" w:space="0"/>
              <w:left w:val="nil"/>
              <w:bottom w:val="single" w:color="auto" w:sz="4" w:space="0"/>
              <w:right w:val="single" w:color="auto" w:sz="4" w:space="0"/>
            </w:tcBorders>
            <w:vAlign w:val="center"/>
          </w:tcPr>
          <w:p w14:paraId="139CBDF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2.19能配置生成二维统计、多维统计，数值结果能进行横向合计与纵向合计；能直接对某项数值型或日期型指标进行求和、平均值、最大值、最小值等单项统计，如到本院时间最长的人、医院员工的平均年龄、绩效分数最低的人等等。统计结果支持图形与图表结合的方式，图形支持数据穿透反查，并支持导出Excel。</w:t>
            </w:r>
          </w:p>
        </w:tc>
      </w:tr>
      <w:tr w14:paraId="43062B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2A29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6C86B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w:t>
            </w:r>
          </w:p>
        </w:tc>
        <w:tc>
          <w:tcPr>
            <w:tcW w:w="6792" w:type="dxa"/>
            <w:tcBorders>
              <w:top w:val="single" w:color="auto" w:sz="4" w:space="0"/>
              <w:left w:val="nil"/>
              <w:bottom w:val="single" w:color="auto" w:sz="4" w:space="0"/>
              <w:right w:val="single" w:color="auto" w:sz="4" w:space="0"/>
            </w:tcBorders>
            <w:vAlign w:val="center"/>
          </w:tcPr>
          <w:p w14:paraId="06E05E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2.20可根据需要自行设计各种人事卡片，如员工履历表、干部任免表、各种证明等，并可根据需要导出Excel、pdf、word等多种格式。</w:t>
            </w:r>
          </w:p>
        </w:tc>
      </w:tr>
      <w:tr w14:paraId="1475150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CB6EB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529AF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w:t>
            </w:r>
          </w:p>
        </w:tc>
        <w:tc>
          <w:tcPr>
            <w:tcW w:w="6792" w:type="dxa"/>
            <w:tcBorders>
              <w:top w:val="single" w:color="auto" w:sz="4" w:space="0"/>
              <w:left w:val="nil"/>
              <w:bottom w:val="single" w:color="auto" w:sz="4" w:space="0"/>
              <w:right w:val="single" w:color="auto" w:sz="4" w:space="0"/>
            </w:tcBorders>
            <w:vAlign w:val="center"/>
          </w:tcPr>
          <w:p w14:paraId="702D67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能够对职工生日、转正、轮调、职称晋升、出国提醒、退休、返聘等信息进行自动提醒，并且可以通过邮件、短信等方式提醒相关人员进行及时的处理。预警的内容、条件、时间等能由业务人员根据需要自行定义。预警信息能够直接与相关的业务模板进行关联，对预警出来的人员直接进行业务处理。</w:t>
            </w:r>
          </w:p>
        </w:tc>
      </w:tr>
      <w:tr w14:paraId="425D5C1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930E79">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2D91FF5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c>
          <w:tcPr>
            <w:tcW w:w="6792" w:type="dxa"/>
            <w:tcBorders>
              <w:top w:val="single" w:color="auto" w:sz="4" w:space="0"/>
              <w:left w:val="nil"/>
              <w:bottom w:val="single" w:color="auto" w:sz="4" w:space="0"/>
              <w:right w:val="single" w:color="auto" w:sz="4" w:space="0"/>
            </w:tcBorders>
            <w:vAlign w:val="center"/>
          </w:tcPr>
          <w:p w14:paraId="2754B7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2.22系统具有快照功能，可以选择职工信息进行归档，信息归档后可通过选择历史时点的方式进行历史数据的查询。</w:t>
            </w:r>
          </w:p>
        </w:tc>
      </w:tr>
      <w:tr w14:paraId="139F918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4C4F1BE">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92FD7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w:t>
            </w:r>
          </w:p>
        </w:tc>
        <w:tc>
          <w:tcPr>
            <w:tcW w:w="6792" w:type="dxa"/>
            <w:tcBorders>
              <w:top w:val="single" w:color="auto" w:sz="4" w:space="0"/>
              <w:left w:val="nil"/>
              <w:bottom w:val="single" w:color="auto" w:sz="4" w:space="0"/>
              <w:right w:val="single" w:color="auto" w:sz="4" w:space="0"/>
            </w:tcBorders>
            <w:vAlign w:val="center"/>
          </w:tcPr>
          <w:p w14:paraId="420D3D6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2.23支持新进职工（未分配账号）通过手机扫描二维码方式，维护个人信息，审核后生效。</w:t>
            </w:r>
          </w:p>
        </w:tc>
      </w:tr>
      <w:tr w14:paraId="582459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09259E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A8ECE7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w:t>
            </w:r>
          </w:p>
        </w:tc>
        <w:tc>
          <w:tcPr>
            <w:tcW w:w="6792" w:type="dxa"/>
            <w:tcBorders>
              <w:top w:val="single" w:color="auto" w:sz="4" w:space="0"/>
              <w:left w:val="nil"/>
              <w:bottom w:val="single" w:color="auto" w:sz="4" w:space="0"/>
              <w:right w:val="single" w:color="auto" w:sz="4" w:space="0"/>
            </w:tcBorders>
            <w:vAlign w:val="center"/>
          </w:tcPr>
          <w:p w14:paraId="3DB2112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2.24具有黑名单管理功能，通过唯一性指标筛选黑名单人员。</w:t>
            </w:r>
          </w:p>
        </w:tc>
      </w:tr>
      <w:tr w14:paraId="4EDAA0B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E0AFC3">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05C580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w:t>
            </w:r>
          </w:p>
        </w:tc>
        <w:tc>
          <w:tcPr>
            <w:tcW w:w="6792" w:type="dxa"/>
            <w:tcBorders>
              <w:top w:val="single" w:color="auto" w:sz="4" w:space="0"/>
              <w:left w:val="nil"/>
              <w:bottom w:val="single" w:color="auto" w:sz="4" w:space="0"/>
              <w:right w:val="single" w:color="auto" w:sz="4" w:space="0"/>
            </w:tcBorders>
            <w:vAlign w:val="center"/>
          </w:tcPr>
          <w:p w14:paraId="72530B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2.25系统能够对人员进行二维分析，例如：中层及以上干部简卡（以行政职务、专业技术职务级别两类信息组合二维分析矩阵，中层干部职称分布情况一幕了然。</w:t>
            </w:r>
          </w:p>
        </w:tc>
      </w:tr>
      <w:tr w14:paraId="34660F3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E802F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528A6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w:t>
            </w:r>
          </w:p>
        </w:tc>
        <w:tc>
          <w:tcPr>
            <w:tcW w:w="6792" w:type="dxa"/>
            <w:tcBorders>
              <w:top w:val="single" w:color="auto" w:sz="4" w:space="0"/>
              <w:left w:val="nil"/>
              <w:bottom w:val="single" w:color="auto" w:sz="4" w:space="0"/>
              <w:right w:val="single" w:color="auto" w:sz="4" w:space="0"/>
            </w:tcBorders>
            <w:vAlign w:val="center"/>
          </w:tcPr>
          <w:p w14:paraId="1F2F2B5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3.人员调配（编号85至95）</w:t>
            </w:r>
          </w:p>
        </w:tc>
      </w:tr>
      <w:tr w14:paraId="4040763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1A53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B9D10F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w:t>
            </w:r>
          </w:p>
        </w:tc>
        <w:tc>
          <w:tcPr>
            <w:tcW w:w="6792" w:type="dxa"/>
            <w:tcBorders>
              <w:top w:val="single" w:color="auto" w:sz="4" w:space="0"/>
              <w:left w:val="nil"/>
              <w:bottom w:val="single" w:color="auto" w:sz="4" w:space="0"/>
              <w:right w:val="single" w:color="auto" w:sz="4" w:space="0"/>
            </w:tcBorders>
            <w:vAlign w:val="center"/>
          </w:tcPr>
          <w:p w14:paraId="6F57500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3.1支持内部晋升、降职，辞职、调离、退休、交流、挂职、长期病假、脱产学习培训、待岗、停薪留职等人员异动的规范处理与结果自动归档。</w:t>
            </w:r>
          </w:p>
        </w:tc>
      </w:tr>
      <w:tr w14:paraId="1235AB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7FBEB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057DA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w:t>
            </w:r>
          </w:p>
        </w:tc>
        <w:tc>
          <w:tcPr>
            <w:tcW w:w="6792" w:type="dxa"/>
            <w:tcBorders>
              <w:top w:val="single" w:color="auto" w:sz="4" w:space="0"/>
              <w:left w:val="nil"/>
              <w:bottom w:val="single" w:color="auto" w:sz="4" w:space="0"/>
              <w:right w:val="single" w:color="auto" w:sz="4" w:space="0"/>
            </w:tcBorders>
            <w:vAlign w:val="center"/>
          </w:tcPr>
          <w:p w14:paraId="67E5832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3.2能够由医院灵活自行设计各种人员调配业务表单，能够基于表单设计调配前后业务规则，自动计算关联项，数据结果自动归档，满足对人员调配业务的规范办理与数据归档。</w:t>
            </w:r>
          </w:p>
        </w:tc>
      </w:tr>
      <w:tr w14:paraId="500683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335D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B946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w:t>
            </w:r>
          </w:p>
        </w:tc>
        <w:tc>
          <w:tcPr>
            <w:tcW w:w="6792" w:type="dxa"/>
            <w:tcBorders>
              <w:top w:val="single" w:color="auto" w:sz="4" w:space="0"/>
              <w:left w:val="nil"/>
              <w:bottom w:val="single" w:color="auto" w:sz="4" w:space="0"/>
              <w:right w:val="single" w:color="auto" w:sz="4" w:space="0"/>
            </w:tcBorders>
            <w:vAlign w:val="center"/>
          </w:tcPr>
          <w:p w14:paraId="1A9E7F0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3.3支持流程说明指引，各个流程可编辑流程说明，便于相关人员直观了解流程规则。</w:t>
            </w:r>
          </w:p>
        </w:tc>
      </w:tr>
      <w:tr w14:paraId="66A9F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EB7073">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55C5B87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p>
        </w:tc>
        <w:tc>
          <w:tcPr>
            <w:tcW w:w="6792" w:type="dxa"/>
            <w:tcBorders>
              <w:top w:val="single" w:color="auto" w:sz="4" w:space="0"/>
              <w:left w:val="nil"/>
              <w:bottom w:val="single" w:color="auto" w:sz="4" w:space="0"/>
              <w:right w:val="single" w:color="auto" w:sz="4" w:space="0"/>
            </w:tcBorders>
            <w:vAlign w:val="center"/>
          </w:tcPr>
          <w:p w14:paraId="2925D5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3.4各种人事流程的设计能够由业务人员用拖拽的方式完成，不需要后台做特别的开发。</w:t>
            </w:r>
          </w:p>
        </w:tc>
      </w:tr>
      <w:tr w14:paraId="7D0FCF8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B8730">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DDBF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w:t>
            </w:r>
          </w:p>
        </w:tc>
        <w:tc>
          <w:tcPr>
            <w:tcW w:w="6792" w:type="dxa"/>
            <w:tcBorders>
              <w:top w:val="single" w:color="auto" w:sz="4" w:space="0"/>
              <w:left w:val="nil"/>
              <w:bottom w:val="single" w:color="auto" w:sz="4" w:space="0"/>
              <w:right w:val="single" w:color="auto" w:sz="4" w:space="0"/>
            </w:tcBorders>
            <w:vAlign w:val="center"/>
          </w:tcPr>
          <w:p w14:paraId="5260BDE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3.5支持工作流流转，即在某个业务处理结束后可通知后续的业务流程开始，并且相关业务数据会引入下一个流程中，如入职流程结束后通知合同办理、试用期工资起薪、保险起缴等业务处理。</w:t>
            </w:r>
          </w:p>
        </w:tc>
      </w:tr>
      <w:tr w14:paraId="66EBCE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B617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8DB3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6792" w:type="dxa"/>
            <w:tcBorders>
              <w:top w:val="single" w:color="auto" w:sz="4" w:space="0"/>
              <w:left w:val="nil"/>
              <w:bottom w:val="single" w:color="auto" w:sz="4" w:space="0"/>
              <w:right w:val="single" w:color="auto" w:sz="4" w:space="0"/>
            </w:tcBorders>
            <w:vAlign w:val="center"/>
          </w:tcPr>
          <w:p w14:paraId="123B795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3.6审批流程可采用自动流转、手工指派等规则进行处理，满足不同的审批工作需要。</w:t>
            </w:r>
          </w:p>
        </w:tc>
      </w:tr>
      <w:tr w14:paraId="0CD44A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4987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9C80D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6792" w:type="dxa"/>
            <w:tcBorders>
              <w:top w:val="single" w:color="auto" w:sz="4" w:space="0"/>
              <w:left w:val="nil"/>
              <w:bottom w:val="single" w:color="auto" w:sz="4" w:space="0"/>
              <w:right w:val="single" w:color="auto" w:sz="4" w:space="0"/>
            </w:tcBorders>
            <w:vAlign w:val="center"/>
          </w:tcPr>
          <w:p w14:paraId="14C8DF4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3.7系统可以通过站内信、邮件、短信等多种形式发起待办通知，提示工作人员及时处理相应流程，并可以对流程的审批进度实时监控。</w:t>
            </w:r>
          </w:p>
        </w:tc>
      </w:tr>
      <w:tr w14:paraId="447E857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29207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4E31F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p>
        </w:tc>
        <w:tc>
          <w:tcPr>
            <w:tcW w:w="6792" w:type="dxa"/>
            <w:tcBorders>
              <w:top w:val="single" w:color="auto" w:sz="4" w:space="0"/>
              <w:left w:val="nil"/>
              <w:bottom w:val="single" w:color="auto" w:sz="4" w:space="0"/>
              <w:right w:val="single" w:color="auto" w:sz="4" w:space="0"/>
            </w:tcBorders>
            <w:vAlign w:val="center"/>
          </w:tcPr>
          <w:p w14:paraId="1E7219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3.8能够根据要求设计、打印、输出变动人员的明细表及汇总表，并且生成的表格可以导出成MSOffice、WPSOffice、PDF文件格式。</w:t>
            </w:r>
          </w:p>
        </w:tc>
      </w:tr>
      <w:tr w14:paraId="02F10D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CE12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4031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c>
          <w:tcPr>
            <w:tcW w:w="6792" w:type="dxa"/>
            <w:tcBorders>
              <w:top w:val="single" w:color="auto" w:sz="4" w:space="0"/>
              <w:left w:val="nil"/>
              <w:bottom w:val="single" w:color="auto" w:sz="4" w:space="0"/>
              <w:right w:val="single" w:color="auto" w:sz="4" w:space="0"/>
            </w:tcBorders>
            <w:vAlign w:val="center"/>
          </w:tcPr>
          <w:p w14:paraId="1EB67F6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业务办理结束后能够将人员异动信息自动归档到人员信息子集中，无需手工再次录入，避免由手工维护带来的信息维护不及时，信息维护错误等人为失误。能够根据要求设计、打印、输出变动人员的明细表及汇总表。</w:t>
            </w:r>
          </w:p>
        </w:tc>
      </w:tr>
      <w:tr w14:paraId="75A3E79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A7918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5418A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94</w:t>
            </w:r>
          </w:p>
        </w:tc>
        <w:tc>
          <w:tcPr>
            <w:tcW w:w="6792" w:type="dxa"/>
            <w:tcBorders>
              <w:top w:val="single" w:color="auto" w:sz="4" w:space="0"/>
              <w:left w:val="nil"/>
              <w:bottom w:val="single" w:color="auto" w:sz="4" w:space="0"/>
              <w:right w:val="single" w:color="auto" w:sz="4" w:space="0"/>
            </w:tcBorders>
            <w:vAlign w:val="center"/>
          </w:tcPr>
          <w:p w14:paraId="759C99F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3.10提供可视化流程设计界面，通过拖拽、引导式配置快捷完成流程设计；审批业务支持电子签章功能。</w:t>
            </w:r>
          </w:p>
        </w:tc>
      </w:tr>
      <w:tr w14:paraId="57E21CC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A02E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B35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6792" w:type="dxa"/>
            <w:tcBorders>
              <w:top w:val="single" w:color="auto" w:sz="4" w:space="0"/>
              <w:left w:val="nil"/>
              <w:bottom w:val="single" w:color="auto" w:sz="4" w:space="0"/>
              <w:right w:val="single" w:color="auto" w:sz="4" w:space="0"/>
            </w:tcBorders>
            <w:vAlign w:val="center"/>
          </w:tcPr>
          <w:p w14:paraId="5FDDFEE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3.11相关业务表单提交后，表单内信息自动归档，同时能够自动触发下一步相关联业务的处理表单，实现业务处理的横向协同</w:t>
            </w:r>
          </w:p>
        </w:tc>
      </w:tr>
      <w:tr w14:paraId="2D4F11A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C6E8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A4844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96</w:t>
            </w:r>
          </w:p>
        </w:tc>
        <w:tc>
          <w:tcPr>
            <w:tcW w:w="6792" w:type="dxa"/>
            <w:tcBorders>
              <w:top w:val="single" w:color="auto" w:sz="4" w:space="0"/>
              <w:left w:val="nil"/>
              <w:bottom w:val="single" w:color="auto" w:sz="4" w:space="0"/>
              <w:right w:val="single" w:color="auto" w:sz="4" w:space="0"/>
            </w:tcBorders>
            <w:vAlign w:val="center"/>
          </w:tcPr>
          <w:p w14:paraId="4F659E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4.合同管理（编号97至102）</w:t>
            </w:r>
          </w:p>
        </w:tc>
      </w:tr>
      <w:tr w14:paraId="5302828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11426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542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97</w:t>
            </w:r>
          </w:p>
        </w:tc>
        <w:tc>
          <w:tcPr>
            <w:tcW w:w="6792" w:type="dxa"/>
            <w:tcBorders>
              <w:top w:val="single" w:color="auto" w:sz="4" w:space="0"/>
              <w:left w:val="nil"/>
              <w:bottom w:val="single" w:color="auto" w:sz="4" w:space="0"/>
              <w:right w:val="single" w:color="auto" w:sz="4" w:space="0"/>
            </w:tcBorders>
            <w:vAlign w:val="center"/>
          </w:tcPr>
          <w:p w14:paraId="64ED989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4.1能够保存全体职工的合同信息，包括合同性质、类型、起止时间、签订次数、变更原因等，形成合同台账，合同台账内容可以进行自定义。</w:t>
            </w:r>
          </w:p>
        </w:tc>
      </w:tr>
      <w:tr w14:paraId="148A1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91CC6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956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w:t>
            </w:r>
          </w:p>
        </w:tc>
        <w:tc>
          <w:tcPr>
            <w:tcW w:w="6792" w:type="dxa"/>
            <w:tcBorders>
              <w:top w:val="single" w:color="auto" w:sz="4" w:space="0"/>
              <w:left w:val="nil"/>
              <w:bottom w:val="single" w:color="auto" w:sz="4" w:space="0"/>
              <w:right w:val="single" w:color="auto" w:sz="4" w:space="0"/>
            </w:tcBorders>
            <w:vAlign w:val="center"/>
          </w:tcPr>
          <w:p w14:paraId="3C1C0D3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4.2对合同的签订、续签、变更、终止等业务要能够进行流程审批管理，流程的配置需简单便捷，流程处理结果能够自动归档。</w:t>
            </w:r>
          </w:p>
        </w:tc>
      </w:tr>
      <w:tr w14:paraId="215087B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62EB6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83FC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99</w:t>
            </w:r>
          </w:p>
        </w:tc>
        <w:tc>
          <w:tcPr>
            <w:tcW w:w="6792" w:type="dxa"/>
            <w:tcBorders>
              <w:top w:val="single" w:color="auto" w:sz="4" w:space="0"/>
              <w:left w:val="nil"/>
              <w:bottom w:val="single" w:color="auto" w:sz="4" w:space="0"/>
              <w:right w:val="single" w:color="auto" w:sz="4" w:space="0"/>
            </w:tcBorders>
            <w:vAlign w:val="center"/>
          </w:tcPr>
          <w:p w14:paraId="6F106B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4.3系统需预置聘用合同、劳动合同、保密协议、培训协议等常用模板，并可根据需要灵活调整，可以进行批量打印。</w:t>
            </w:r>
          </w:p>
        </w:tc>
      </w:tr>
      <w:tr w14:paraId="5B07F9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34BD7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CE66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6792" w:type="dxa"/>
            <w:tcBorders>
              <w:top w:val="single" w:color="auto" w:sz="4" w:space="0"/>
              <w:left w:val="nil"/>
              <w:bottom w:val="single" w:color="auto" w:sz="4" w:space="0"/>
              <w:right w:val="single" w:color="auto" w:sz="4" w:space="0"/>
            </w:tcBorders>
            <w:vAlign w:val="center"/>
          </w:tcPr>
          <w:p w14:paraId="2D919AA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4.4可查询已到期合同、预到期合同、当前执行合同等信息。</w:t>
            </w:r>
          </w:p>
        </w:tc>
      </w:tr>
      <w:tr w14:paraId="445F9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FFB76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971DA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w:t>
            </w:r>
          </w:p>
        </w:tc>
        <w:tc>
          <w:tcPr>
            <w:tcW w:w="6792" w:type="dxa"/>
            <w:tcBorders>
              <w:top w:val="single" w:color="auto" w:sz="4" w:space="0"/>
              <w:left w:val="nil"/>
              <w:bottom w:val="single" w:color="auto" w:sz="4" w:space="0"/>
              <w:right w:val="single" w:color="auto" w:sz="4" w:space="0"/>
            </w:tcBorders>
            <w:vAlign w:val="center"/>
          </w:tcPr>
          <w:p w14:paraId="6114F1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4.5对试用期满、合同到期等信息具有自动提醒功能，业务人员可根据提醒直接进行相关合同业务办理。</w:t>
            </w:r>
          </w:p>
        </w:tc>
      </w:tr>
      <w:tr w14:paraId="42B306B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17FF1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7497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w:t>
            </w:r>
          </w:p>
        </w:tc>
        <w:tc>
          <w:tcPr>
            <w:tcW w:w="6792" w:type="dxa"/>
            <w:tcBorders>
              <w:top w:val="single" w:color="auto" w:sz="4" w:space="0"/>
              <w:left w:val="nil"/>
              <w:bottom w:val="single" w:color="auto" w:sz="4" w:space="0"/>
              <w:right w:val="single" w:color="auto" w:sz="4" w:space="0"/>
            </w:tcBorders>
            <w:vAlign w:val="center"/>
          </w:tcPr>
          <w:p w14:paraId="5624F3F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4.6对各类合同信息能够从不同角度进行查询和统计分析。</w:t>
            </w:r>
          </w:p>
        </w:tc>
      </w:tr>
      <w:tr w14:paraId="1734BCC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B3EFD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BFA484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103</w:t>
            </w:r>
          </w:p>
        </w:tc>
        <w:tc>
          <w:tcPr>
            <w:tcW w:w="6792" w:type="dxa"/>
            <w:tcBorders>
              <w:top w:val="single" w:color="auto" w:sz="4" w:space="0"/>
              <w:left w:val="nil"/>
              <w:bottom w:val="single" w:color="auto" w:sz="4" w:space="0"/>
              <w:right w:val="single" w:color="auto" w:sz="4" w:space="0"/>
            </w:tcBorders>
            <w:vAlign w:val="center"/>
          </w:tcPr>
          <w:p w14:paraId="14FDE7E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5.薪资管理（编号104至131）</w:t>
            </w:r>
          </w:p>
        </w:tc>
      </w:tr>
      <w:tr w14:paraId="51CEDF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8732A9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A41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104</w:t>
            </w:r>
          </w:p>
        </w:tc>
        <w:tc>
          <w:tcPr>
            <w:tcW w:w="6792" w:type="dxa"/>
            <w:tcBorders>
              <w:top w:val="single" w:color="auto" w:sz="4" w:space="0"/>
              <w:left w:val="nil"/>
              <w:bottom w:val="single" w:color="auto" w:sz="4" w:space="0"/>
              <w:right w:val="single" w:color="auto" w:sz="4" w:space="0"/>
            </w:tcBorders>
            <w:vAlign w:val="center"/>
          </w:tcPr>
          <w:p w14:paraId="6DEED3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5.1可灵活定义各类工资标准，如岗位工资标准表、薪级工资标准表、津补贴标准表等。</w:t>
            </w:r>
          </w:p>
        </w:tc>
      </w:tr>
      <w:tr w14:paraId="64476F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5727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4DF2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105</w:t>
            </w:r>
          </w:p>
        </w:tc>
        <w:tc>
          <w:tcPr>
            <w:tcW w:w="6792" w:type="dxa"/>
            <w:tcBorders>
              <w:top w:val="single" w:color="auto" w:sz="4" w:space="0"/>
              <w:left w:val="nil"/>
              <w:bottom w:val="single" w:color="auto" w:sz="4" w:space="0"/>
              <w:right w:val="single" w:color="auto" w:sz="4" w:space="0"/>
            </w:tcBorders>
            <w:vAlign w:val="center"/>
          </w:tcPr>
          <w:p w14:paraId="1FAFC27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5.2对不同人员类别（如：事业编制人员、合同制人员、返聘人员等）可定义不同的工资体系，每类人员工资体系涉及到的工资项目、计算公式等可根据需要灵活定义与修改。</w:t>
            </w:r>
          </w:p>
        </w:tc>
      </w:tr>
      <w:tr w14:paraId="2F19B7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2175F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6557B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106</w:t>
            </w:r>
          </w:p>
        </w:tc>
        <w:tc>
          <w:tcPr>
            <w:tcW w:w="6792" w:type="dxa"/>
            <w:tcBorders>
              <w:top w:val="single" w:color="auto" w:sz="4" w:space="0"/>
              <w:left w:val="nil"/>
              <w:bottom w:val="single" w:color="auto" w:sz="4" w:space="0"/>
              <w:right w:val="single" w:color="auto" w:sz="4" w:space="0"/>
            </w:tcBorders>
            <w:vAlign w:val="center"/>
          </w:tcPr>
          <w:p w14:paraId="62B2FEC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5.3自动记录职工的薪资变动情况，提供薪资补发补扣，起薪时间等自动处理机制，历次变动情况可以归档备查。</w:t>
            </w:r>
          </w:p>
        </w:tc>
      </w:tr>
      <w:tr w14:paraId="022CFA5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B62CA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5B084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107</w:t>
            </w:r>
          </w:p>
        </w:tc>
        <w:tc>
          <w:tcPr>
            <w:tcW w:w="6792" w:type="dxa"/>
            <w:tcBorders>
              <w:top w:val="single" w:color="auto" w:sz="4" w:space="0"/>
              <w:left w:val="nil"/>
              <w:bottom w:val="single" w:color="auto" w:sz="4" w:space="0"/>
              <w:right w:val="single" w:color="auto" w:sz="4" w:space="0"/>
            </w:tcBorders>
            <w:vAlign w:val="center"/>
          </w:tcPr>
          <w:p w14:paraId="16B9FE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5.4所有工资项目计算公式支持全汉化公式与函数，方便用户自定义各种复杂的计算公式，如数值类函数、字符串函数、日期函数、转换函数、工资函数、考勤函数、类型不定函数等。</w:t>
            </w:r>
          </w:p>
        </w:tc>
      </w:tr>
      <w:tr w14:paraId="09673B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BADFA5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98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w:t>
            </w:r>
          </w:p>
        </w:tc>
        <w:tc>
          <w:tcPr>
            <w:tcW w:w="6792" w:type="dxa"/>
            <w:tcBorders>
              <w:top w:val="single" w:color="auto" w:sz="4" w:space="0"/>
              <w:left w:val="nil"/>
              <w:bottom w:val="single" w:color="auto" w:sz="4" w:space="0"/>
              <w:right w:val="single" w:color="auto" w:sz="4" w:space="0"/>
            </w:tcBorders>
            <w:vAlign w:val="center"/>
          </w:tcPr>
          <w:p w14:paraId="5DA90D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5.5系统应支持各种调资业务，如工资核定、转正定级、职务变动、年度正常晋级、调整标准等各种调资业务，并能够打印输出相关的审批表、汇总表、明细表等。</w:t>
            </w:r>
          </w:p>
        </w:tc>
      </w:tr>
      <w:tr w14:paraId="20148B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AFE46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3FEBC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109</w:t>
            </w:r>
          </w:p>
        </w:tc>
        <w:tc>
          <w:tcPr>
            <w:tcW w:w="6792" w:type="dxa"/>
            <w:tcBorders>
              <w:top w:val="single" w:color="auto" w:sz="4" w:space="0"/>
              <w:left w:val="nil"/>
              <w:bottom w:val="single" w:color="auto" w:sz="4" w:space="0"/>
              <w:right w:val="single" w:color="auto" w:sz="4" w:space="0"/>
            </w:tcBorders>
            <w:vAlign w:val="center"/>
          </w:tcPr>
          <w:p w14:paraId="74B03B6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5.6资核算时可引用系统中其他业务模块的数据，如考勤、保险福利、绩效、奖惩等各项数据。</w:t>
            </w:r>
          </w:p>
        </w:tc>
      </w:tr>
      <w:tr w14:paraId="22A59D4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B868A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6EA042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w:t>
            </w:r>
          </w:p>
        </w:tc>
        <w:tc>
          <w:tcPr>
            <w:tcW w:w="6792" w:type="dxa"/>
            <w:tcBorders>
              <w:top w:val="single" w:color="auto" w:sz="4" w:space="0"/>
              <w:left w:val="nil"/>
              <w:bottom w:val="single" w:color="auto" w:sz="4" w:space="0"/>
              <w:right w:val="single" w:color="auto" w:sz="4" w:space="0"/>
            </w:tcBorders>
            <w:vAlign w:val="center"/>
          </w:tcPr>
          <w:p w14:paraId="568BE8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5.7提供不同薪资项目、不同人员类别的批处理功能，以及EXCEL批量导入导出功能。</w:t>
            </w:r>
          </w:p>
        </w:tc>
      </w:tr>
      <w:tr w14:paraId="140C1C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E99E9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9606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w:t>
            </w:r>
          </w:p>
        </w:tc>
        <w:tc>
          <w:tcPr>
            <w:tcW w:w="6792" w:type="dxa"/>
            <w:tcBorders>
              <w:top w:val="single" w:color="auto" w:sz="4" w:space="0"/>
              <w:left w:val="nil"/>
              <w:bottom w:val="single" w:color="auto" w:sz="4" w:space="0"/>
              <w:right w:val="single" w:color="auto" w:sz="4" w:space="0"/>
            </w:tcBorders>
            <w:vAlign w:val="center"/>
          </w:tcPr>
          <w:p w14:paraId="3BE292B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5.8工资体系要能够支持自动计税，包括正算税、反算税、合并计税及符合国家法律规定计税方式的自动计算，如工资薪金、全年一次奖金、劳务报酬、残疾人税率等</w:t>
            </w:r>
          </w:p>
        </w:tc>
      </w:tr>
      <w:tr w14:paraId="66E9A9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009C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8CCE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w:t>
            </w:r>
          </w:p>
        </w:tc>
        <w:tc>
          <w:tcPr>
            <w:tcW w:w="6792" w:type="dxa"/>
            <w:tcBorders>
              <w:top w:val="single" w:color="auto" w:sz="4" w:space="0"/>
              <w:left w:val="nil"/>
              <w:bottom w:val="single" w:color="auto" w:sz="4" w:space="0"/>
              <w:right w:val="single" w:color="auto" w:sz="4" w:space="0"/>
            </w:tcBorders>
            <w:vAlign w:val="center"/>
          </w:tcPr>
          <w:p w14:paraId="61B3409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5.9具有银行报盘功能，能够自定义不同银行的报盘格式。</w:t>
            </w:r>
          </w:p>
        </w:tc>
      </w:tr>
      <w:tr w14:paraId="734FE6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4A1327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E99A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w:t>
            </w:r>
          </w:p>
        </w:tc>
        <w:tc>
          <w:tcPr>
            <w:tcW w:w="6792" w:type="dxa"/>
            <w:tcBorders>
              <w:top w:val="single" w:color="auto" w:sz="4" w:space="0"/>
              <w:left w:val="nil"/>
              <w:bottom w:val="single" w:color="auto" w:sz="4" w:space="0"/>
              <w:right w:val="single" w:color="auto" w:sz="4" w:space="0"/>
            </w:tcBorders>
            <w:vAlign w:val="center"/>
          </w:tcPr>
          <w:p w14:paraId="1C3ADC3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5.10能够对工资数据进行报表输出，报表格式能够灵活定义。</w:t>
            </w:r>
          </w:p>
        </w:tc>
      </w:tr>
      <w:tr w14:paraId="00DDBB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1569D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F8DDD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w:t>
            </w:r>
          </w:p>
        </w:tc>
        <w:tc>
          <w:tcPr>
            <w:tcW w:w="6792" w:type="dxa"/>
            <w:tcBorders>
              <w:top w:val="single" w:color="auto" w:sz="4" w:space="0"/>
              <w:left w:val="nil"/>
              <w:bottom w:val="single" w:color="auto" w:sz="4" w:space="0"/>
              <w:right w:val="single" w:color="auto" w:sz="4" w:space="0"/>
            </w:tcBorders>
            <w:vAlign w:val="center"/>
          </w:tcPr>
          <w:p w14:paraId="5CAB11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5.11工资变动或发放信息能够自动归档，可通过邮件、短信等方式通知员工，员工也可通过自助平台查看。 </w:t>
            </w:r>
          </w:p>
        </w:tc>
      </w:tr>
      <w:tr w14:paraId="10AC15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6A5D5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054F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115</w:t>
            </w:r>
          </w:p>
        </w:tc>
        <w:tc>
          <w:tcPr>
            <w:tcW w:w="6792" w:type="dxa"/>
            <w:tcBorders>
              <w:top w:val="single" w:color="auto" w:sz="4" w:space="0"/>
              <w:left w:val="nil"/>
              <w:bottom w:val="single" w:color="auto" w:sz="4" w:space="0"/>
              <w:right w:val="single" w:color="auto" w:sz="4" w:space="0"/>
            </w:tcBorders>
            <w:vAlign w:val="center"/>
          </w:tcPr>
          <w:p w14:paraId="2C68EC1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5.12系统具有强大的薪资查询，和汇总分析统计功能提供标准的薪资报表，并支持自由设定薪资报表。</w:t>
            </w:r>
          </w:p>
        </w:tc>
      </w:tr>
      <w:tr w14:paraId="7123C0E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80EEF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1F548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116</w:t>
            </w:r>
          </w:p>
        </w:tc>
        <w:tc>
          <w:tcPr>
            <w:tcW w:w="6792" w:type="dxa"/>
            <w:tcBorders>
              <w:top w:val="single" w:color="auto" w:sz="4" w:space="0"/>
              <w:left w:val="nil"/>
              <w:bottom w:val="single" w:color="auto" w:sz="4" w:space="0"/>
              <w:right w:val="single" w:color="auto" w:sz="4" w:space="0"/>
            </w:tcBorders>
            <w:vAlign w:val="center"/>
          </w:tcPr>
          <w:p w14:paraId="23406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5.13系统能支持薪资发放可通过EXCEL 直接将数据导入系统，参与工资计算。</w:t>
            </w:r>
          </w:p>
        </w:tc>
      </w:tr>
      <w:tr w14:paraId="7F468E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A0AD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DE35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117</w:t>
            </w:r>
          </w:p>
        </w:tc>
        <w:tc>
          <w:tcPr>
            <w:tcW w:w="6792" w:type="dxa"/>
            <w:tcBorders>
              <w:top w:val="single" w:color="auto" w:sz="4" w:space="0"/>
              <w:left w:val="nil"/>
              <w:bottom w:val="single" w:color="auto" w:sz="4" w:space="0"/>
              <w:right w:val="single" w:color="auto" w:sz="4" w:space="0"/>
            </w:tcBorders>
            <w:vAlign w:val="center"/>
          </w:tcPr>
          <w:p w14:paraId="471E8F4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5.14提供工资调资等相关人员花名册，且花名册可根据不同需要自定义（变动汇总表和个人变动表。</w:t>
            </w:r>
          </w:p>
        </w:tc>
      </w:tr>
      <w:tr w14:paraId="2D0BBCA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ED5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CD08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118</w:t>
            </w:r>
          </w:p>
        </w:tc>
        <w:tc>
          <w:tcPr>
            <w:tcW w:w="6792" w:type="dxa"/>
            <w:tcBorders>
              <w:top w:val="single" w:color="auto" w:sz="4" w:space="0"/>
              <w:left w:val="nil"/>
              <w:bottom w:val="single" w:color="auto" w:sz="4" w:space="0"/>
              <w:right w:val="single" w:color="auto" w:sz="4" w:space="0"/>
            </w:tcBorders>
            <w:vAlign w:val="center"/>
          </w:tcPr>
          <w:p w14:paraId="2B1CA77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5.15应能够自动输出收入证明等与工资数据相关的各种证明，且证明的格式能根据医院要求自行修改。</w:t>
            </w:r>
          </w:p>
        </w:tc>
      </w:tr>
      <w:tr w14:paraId="098D6BF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FCF9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143F7C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119</w:t>
            </w:r>
          </w:p>
        </w:tc>
        <w:tc>
          <w:tcPr>
            <w:tcW w:w="6792" w:type="dxa"/>
            <w:tcBorders>
              <w:top w:val="single" w:color="auto" w:sz="4" w:space="0"/>
              <w:left w:val="nil"/>
              <w:bottom w:val="single" w:color="auto" w:sz="4" w:space="0"/>
              <w:right w:val="single" w:color="auto" w:sz="4" w:space="0"/>
            </w:tcBorders>
            <w:vAlign w:val="center"/>
          </w:tcPr>
          <w:p w14:paraId="32DA81D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5.16系统能够根据工资的某些项自动计算社保缴费基数，并个人缴费部分参与工资计算。</w:t>
            </w:r>
          </w:p>
        </w:tc>
      </w:tr>
      <w:tr w14:paraId="2BD450F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E1F46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4C6A0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w:t>
            </w:r>
          </w:p>
        </w:tc>
        <w:tc>
          <w:tcPr>
            <w:tcW w:w="6792" w:type="dxa"/>
            <w:tcBorders>
              <w:top w:val="single" w:color="auto" w:sz="4" w:space="0"/>
              <w:left w:val="nil"/>
              <w:bottom w:val="single" w:color="auto" w:sz="4" w:space="0"/>
              <w:right w:val="single" w:color="auto" w:sz="4" w:space="0"/>
            </w:tcBorders>
            <w:vAlign w:val="center"/>
          </w:tcPr>
          <w:p w14:paraId="365C2D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5.17提供薪资项目批处理功能（批量修改、计算）等，以及批量导入导出功能；薪资公式定义采用汉化公式，薪资界面支持锁行锁列功能，易学易用，业务人员经过简短培训就可以掌握。</w:t>
            </w:r>
          </w:p>
        </w:tc>
      </w:tr>
      <w:tr w14:paraId="495BF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D131B1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43662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p>
        </w:tc>
        <w:tc>
          <w:tcPr>
            <w:tcW w:w="6792" w:type="dxa"/>
            <w:tcBorders>
              <w:top w:val="single" w:color="auto" w:sz="4" w:space="0"/>
              <w:left w:val="nil"/>
              <w:bottom w:val="single" w:color="auto" w:sz="4" w:space="0"/>
              <w:right w:val="single" w:color="auto" w:sz="4" w:space="0"/>
            </w:tcBorders>
            <w:vAlign w:val="center"/>
          </w:tcPr>
          <w:p w14:paraId="1376769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5.18薪资核算支持异动人员比对，及时了解当月发生变化的人员信息。</w:t>
            </w:r>
          </w:p>
        </w:tc>
      </w:tr>
      <w:tr w14:paraId="48FBE3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5A9A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D34B0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p>
        </w:tc>
        <w:tc>
          <w:tcPr>
            <w:tcW w:w="6792" w:type="dxa"/>
            <w:tcBorders>
              <w:top w:val="single" w:color="auto" w:sz="4" w:space="0"/>
              <w:left w:val="nil"/>
              <w:bottom w:val="single" w:color="auto" w:sz="4" w:space="0"/>
              <w:right w:val="single" w:color="auto" w:sz="4" w:space="0"/>
            </w:tcBorders>
            <w:vAlign w:val="center"/>
          </w:tcPr>
          <w:p w14:paraId="3329E5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5.19支持职工当月所有薪资分为多次发放，支持合并计税分次扣缴规则；计税方法满足地域差异，内置薪资薪金、劳务报酬以及全年一次性奖金计税方法。</w:t>
            </w:r>
          </w:p>
        </w:tc>
      </w:tr>
      <w:tr w14:paraId="4D9956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C7B297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E188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123</w:t>
            </w:r>
          </w:p>
        </w:tc>
        <w:tc>
          <w:tcPr>
            <w:tcW w:w="6792" w:type="dxa"/>
            <w:tcBorders>
              <w:top w:val="single" w:color="auto" w:sz="4" w:space="0"/>
              <w:left w:val="nil"/>
              <w:bottom w:val="single" w:color="auto" w:sz="4" w:space="0"/>
              <w:right w:val="single" w:color="auto" w:sz="4" w:space="0"/>
            </w:tcBorders>
            <w:vAlign w:val="center"/>
          </w:tcPr>
          <w:p w14:paraId="713D61B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5.20支持职工薪资项目的归属单位设置，便于薪资成本控制与分摊分析。</w:t>
            </w:r>
          </w:p>
        </w:tc>
      </w:tr>
      <w:tr w14:paraId="017D94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90E62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2BBC8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w:t>
            </w:r>
          </w:p>
        </w:tc>
        <w:tc>
          <w:tcPr>
            <w:tcW w:w="6792" w:type="dxa"/>
            <w:tcBorders>
              <w:top w:val="single" w:color="auto" w:sz="4" w:space="0"/>
              <w:left w:val="nil"/>
              <w:bottom w:val="single" w:color="auto" w:sz="4" w:space="0"/>
              <w:right w:val="single" w:color="auto" w:sz="4" w:space="0"/>
            </w:tcBorders>
            <w:vAlign w:val="center"/>
          </w:tcPr>
          <w:p w14:paraId="216394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5.21支持数据导入、输入及导出功能。针对薪资计算的原始数据，系统提供多种数据获取的方式：将 EXCEL 文件导入或通过数据采集或取自薪资标准表的方式获取等</w:t>
            </w:r>
          </w:p>
        </w:tc>
      </w:tr>
      <w:tr w14:paraId="0A4214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04CC4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D12CF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6792" w:type="dxa"/>
            <w:tcBorders>
              <w:top w:val="single" w:color="auto" w:sz="4" w:space="0"/>
              <w:left w:val="nil"/>
              <w:bottom w:val="single" w:color="auto" w:sz="4" w:space="0"/>
              <w:right w:val="single" w:color="auto" w:sz="4" w:space="0"/>
            </w:tcBorders>
            <w:vAlign w:val="center"/>
          </w:tcPr>
          <w:p w14:paraId="17A3018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5.22支持建立多种薪资报表，以及政府部门规定格式的报表，并提供多套薪资类别薪资表。可以按照实际需要，自由设定多个薪资报表的模板；可以自由设定工资单的项目，实现打印工资单、email 发送、职工网上查询、微信企业号查询工资单等多种方式。</w:t>
            </w:r>
          </w:p>
        </w:tc>
      </w:tr>
      <w:tr w14:paraId="71884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A8977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50FFA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126</w:t>
            </w:r>
          </w:p>
        </w:tc>
        <w:tc>
          <w:tcPr>
            <w:tcW w:w="6792" w:type="dxa"/>
            <w:tcBorders>
              <w:top w:val="single" w:color="auto" w:sz="4" w:space="0"/>
              <w:left w:val="nil"/>
              <w:bottom w:val="single" w:color="auto" w:sz="4" w:space="0"/>
              <w:right w:val="single" w:color="auto" w:sz="4" w:space="0"/>
            </w:tcBorders>
            <w:vAlign w:val="center"/>
          </w:tcPr>
          <w:p w14:paraId="74CFF8F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5.23支持各种工资条、银行报盘和工资报表的自动生成与输出。</w:t>
            </w:r>
          </w:p>
        </w:tc>
      </w:tr>
      <w:tr w14:paraId="0DDE19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8DCFE1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B079D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127</w:t>
            </w:r>
          </w:p>
        </w:tc>
        <w:tc>
          <w:tcPr>
            <w:tcW w:w="6792" w:type="dxa"/>
            <w:tcBorders>
              <w:top w:val="single" w:color="auto" w:sz="4" w:space="0"/>
              <w:left w:val="nil"/>
              <w:bottom w:val="single" w:color="auto" w:sz="4" w:space="0"/>
              <w:right w:val="single" w:color="auto" w:sz="4" w:space="0"/>
            </w:tcBorders>
            <w:vAlign w:val="center"/>
          </w:tcPr>
          <w:p w14:paraId="5AA590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5.24支持按照不同城市的个人所得税计算，以及外籍职工的所得税计算，并且支持异地缴纳个人所得税。</w:t>
            </w:r>
          </w:p>
        </w:tc>
      </w:tr>
      <w:tr w14:paraId="35F01A5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68963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7024A1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128</w:t>
            </w:r>
          </w:p>
        </w:tc>
        <w:tc>
          <w:tcPr>
            <w:tcW w:w="6792" w:type="dxa"/>
            <w:tcBorders>
              <w:top w:val="single" w:color="auto" w:sz="4" w:space="0"/>
              <w:left w:val="nil"/>
              <w:bottom w:val="single" w:color="auto" w:sz="4" w:space="0"/>
              <w:right w:val="single" w:color="auto" w:sz="4" w:space="0"/>
            </w:tcBorders>
            <w:vAlign w:val="center"/>
          </w:tcPr>
          <w:p w14:paraId="782799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5.25根据医院的需求实现工资中的各种报表、统计等。</w:t>
            </w:r>
          </w:p>
        </w:tc>
      </w:tr>
      <w:tr w14:paraId="79BB9B0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3ED5B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93631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129</w:t>
            </w:r>
          </w:p>
        </w:tc>
        <w:tc>
          <w:tcPr>
            <w:tcW w:w="6792" w:type="dxa"/>
            <w:tcBorders>
              <w:top w:val="single" w:color="auto" w:sz="4" w:space="0"/>
              <w:left w:val="nil"/>
              <w:bottom w:val="single" w:color="auto" w:sz="4" w:space="0"/>
              <w:right w:val="single" w:color="auto" w:sz="4" w:space="0"/>
            </w:tcBorders>
            <w:vAlign w:val="center"/>
          </w:tcPr>
          <w:p w14:paraId="71BA63B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5.26根据医院的需求实现带薪休假的自动生成、扣除、报表、统计等。</w:t>
            </w:r>
          </w:p>
        </w:tc>
      </w:tr>
      <w:tr w14:paraId="1DE8A3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3BF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540E9E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130</w:t>
            </w:r>
          </w:p>
        </w:tc>
        <w:tc>
          <w:tcPr>
            <w:tcW w:w="6792" w:type="dxa"/>
            <w:tcBorders>
              <w:top w:val="single" w:color="auto" w:sz="4" w:space="0"/>
              <w:left w:val="nil"/>
              <w:bottom w:val="single" w:color="auto" w:sz="4" w:space="0"/>
              <w:right w:val="single" w:color="auto" w:sz="4" w:space="0"/>
            </w:tcBorders>
            <w:vAlign w:val="center"/>
          </w:tcPr>
          <w:p w14:paraId="269210B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5.27根据医院的需求实现财政预算、单位预算。</w:t>
            </w:r>
          </w:p>
        </w:tc>
      </w:tr>
      <w:tr w14:paraId="3A0AD40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54D3D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2C310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w:t>
            </w:r>
          </w:p>
        </w:tc>
        <w:tc>
          <w:tcPr>
            <w:tcW w:w="6792" w:type="dxa"/>
            <w:tcBorders>
              <w:top w:val="single" w:color="auto" w:sz="4" w:space="0"/>
              <w:left w:val="nil"/>
              <w:bottom w:val="single" w:color="auto" w:sz="4" w:space="0"/>
              <w:right w:val="single" w:color="auto" w:sz="4" w:space="0"/>
            </w:tcBorders>
            <w:vAlign w:val="center"/>
          </w:tcPr>
          <w:p w14:paraId="664AE6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5.28根据医院的需求实现各种津贴的自动生成、扣除、报表、统计等。</w:t>
            </w:r>
          </w:p>
        </w:tc>
      </w:tr>
      <w:tr w14:paraId="1315FD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7901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18E00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w:t>
            </w:r>
          </w:p>
        </w:tc>
        <w:tc>
          <w:tcPr>
            <w:tcW w:w="6792" w:type="dxa"/>
            <w:tcBorders>
              <w:top w:val="single" w:color="auto" w:sz="4" w:space="0"/>
              <w:left w:val="nil"/>
              <w:bottom w:val="single" w:color="auto" w:sz="4" w:space="0"/>
              <w:right w:val="single" w:color="auto" w:sz="4" w:space="0"/>
            </w:tcBorders>
            <w:vAlign w:val="center"/>
          </w:tcPr>
          <w:p w14:paraId="459C5B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6.报表管理（编号133至140）</w:t>
            </w:r>
          </w:p>
        </w:tc>
      </w:tr>
      <w:tr w14:paraId="6871AC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A38EAD">
            <w:pPr>
              <w:jc w:val="center"/>
              <w:rPr>
                <w:rFonts w:hint="eastAsia" w:eastAsia="仿宋_GB2312"/>
                <w:b/>
                <w:bCs/>
                <w:color w:val="auto"/>
                <w:sz w:val="21"/>
                <w:szCs w:val="21"/>
                <w:lang w:eastAsia="zh-CN"/>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655A0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133</w:t>
            </w:r>
          </w:p>
        </w:tc>
        <w:tc>
          <w:tcPr>
            <w:tcW w:w="6792" w:type="dxa"/>
            <w:tcBorders>
              <w:top w:val="single" w:color="auto" w:sz="4" w:space="0"/>
              <w:left w:val="nil"/>
              <w:bottom w:val="single" w:color="auto" w:sz="4" w:space="0"/>
              <w:right w:val="single" w:color="auto" w:sz="4" w:space="0"/>
            </w:tcBorders>
            <w:vAlign w:val="center"/>
          </w:tcPr>
          <w:p w14:paraId="205E9C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6.1系统需提供易学易用的报表绘制工具，用户可灵活绘制各类登记表、花名册、业务模板、统计报表，并能够根据需要由业务用户自行调整，无需厂商二次开发。</w:t>
            </w:r>
          </w:p>
        </w:tc>
      </w:tr>
      <w:tr w14:paraId="07605E2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4F01EB">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ABA18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134</w:t>
            </w:r>
          </w:p>
        </w:tc>
        <w:tc>
          <w:tcPr>
            <w:tcW w:w="6792" w:type="dxa"/>
            <w:tcBorders>
              <w:top w:val="single" w:color="auto" w:sz="4" w:space="0"/>
              <w:left w:val="nil"/>
              <w:bottom w:val="single" w:color="auto" w:sz="4" w:space="0"/>
              <w:right w:val="single" w:color="auto" w:sz="4" w:space="0"/>
            </w:tcBorders>
            <w:vAlign w:val="center"/>
          </w:tcPr>
          <w:p w14:paraId="69E8D2D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6.2系统需预置卫健委、人社、中组部门的统计报表模板（包括事业单位人员统计报表、工资福利统计报表、事业单位领导人员情况统计表等）</w:t>
            </w:r>
          </w:p>
        </w:tc>
      </w:tr>
      <w:tr w14:paraId="04C5698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59E35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5439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w:t>
            </w:r>
          </w:p>
        </w:tc>
        <w:tc>
          <w:tcPr>
            <w:tcW w:w="6792" w:type="dxa"/>
            <w:tcBorders>
              <w:top w:val="single" w:color="auto" w:sz="4" w:space="0"/>
              <w:left w:val="nil"/>
              <w:bottom w:val="single" w:color="auto" w:sz="4" w:space="0"/>
              <w:right w:val="single" w:color="auto" w:sz="4" w:space="0"/>
            </w:tcBorders>
            <w:vAlign w:val="center"/>
          </w:tcPr>
          <w:p w14:paraId="39AE6E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6.3基于人员信息库，各种院内、外报表的数据能够自动生成，并且有准确性校验功能，能够导出excel格式。</w:t>
            </w:r>
          </w:p>
        </w:tc>
      </w:tr>
      <w:tr w14:paraId="52E78D4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8A4BEC">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A52D79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136</w:t>
            </w:r>
          </w:p>
        </w:tc>
        <w:tc>
          <w:tcPr>
            <w:tcW w:w="6792" w:type="dxa"/>
            <w:tcBorders>
              <w:top w:val="single" w:color="auto" w:sz="4" w:space="0"/>
              <w:left w:val="nil"/>
              <w:bottom w:val="single" w:color="auto" w:sz="4" w:space="0"/>
              <w:right w:val="single" w:color="auto" w:sz="4" w:space="0"/>
            </w:tcBorders>
            <w:vAlign w:val="center"/>
          </w:tcPr>
          <w:p w14:paraId="2F805B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6.4统计报表可以在不同部门间共享，不同部门可以在权限范围内生成自己的报表数据；</w:t>
            </w:r>
          </w:p>
        </w:tc>
      </w:tr>
      <w:tr w14:paraId="2A64B95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9C37F9">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55EE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137</w:t>
            </w:r>
          </w:p>
        </w:tc>
        <w:tc>
          <w:tcPr>
            <w:tcW w:w="6792" w:type="dxa"/>
            <w:tcBorders>
              <w:top w:val="single" w:color="auto" w:sz="4" w:space="0"/>
              <w:left w:val="nil"/>
              <w:bottom w:val="single" w:color="auto" w:sz="4" w:space="0"/>
              <w:right w:val="single" w:color="auto" w:sz="4" w:space="0"/>
            </w:tcBorders>
            <w:vAlign w:val="center"/>
          </w:tcPr>
          <w:p w14:paraId="19B21D5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6.5对已完成的报表，可以按月、季、年等时间段内进行归档，基于归档报表既可进行时间维度的纵向分析，也可进行部门间的横向比较分析</w:t>
            </w:r>
          </w:p>
        </w:tc>
      </w:tr>
      <w:tr w14:paraId="776C52D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81D096">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38F5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w:t>
            </w:r>
          </w:p>
          <w:p w14:paraId="0FD9FE20">
            <w:pPr>
              <w:widowControl/>
              <w:jc w:val="center"/>
              <w:rPr>
                <w:rFonts w:hint="default" w:ascii="仿宋_GB2312" w:hAnsi="仿宋_GB2312" w:eastAsia="仿宋_GB2312" w:cs="仿宋_GB2312"/>
                <w:sz w:val="32"/>
                <w:szCs w:val="32"/>
                <w:lang w:val="en-US" w:eastAsia="zh-CN"/>
              </w:rPr>
            </w:pPr>
          </w:p>
        </w:tc>
        <w:tc>
          <w:tcPr>
            <w:tcW w:w="6792" w:type="dxa"/>
            <w:tcBorders>
              <w:top w:val="single" w:color="auto" w:sz="4" w:space="0"/>
              <w:left w:val="nil"/>
              <w:bottom w:val="single" w:color="auto" w:sz="4" w:space="0"/>
              <w:right w:val="single" w:color="auto" w:sz="4" w:space="0"/>
            </w:tcBorders>
            <w:vAlign w:val="center"/>
          </w:tcPr>
          <w:p w14:paraId="3B877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6.6能够对报表数据进行“反查”，展现数据来源，如：点击某个统计人数，可查看具体职工姓名</w:t>
            </w:r>
          </w:p>
        </w:tc>
      </w:tr>
      <w:tr w14:paraId="17C41F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31FA1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7BA0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w:t>
            </w:r>
          </w:p>
        </w:tc>
        <w:tc>
          <w:tcPr>
            <w:tcW w:w="6792" w:type="dxa"/>
            <w:tcBorders>
              <w:top w:val="single" w:color="auto" w:sz="4" w:space="0"/>
              <w:left w:val="nil"/>
              <w:bottom w:val="single" w:color="auto" w:sz="4" w:space="0"/>
              <w:right w:val="single" w:color="auto" w:sz="4" w:space="0"/>
            </w:tcBorders>
            <w:vAlign w:val="center"/>
          </w:tcPr>
          <w:p w14:paraId="5ECFA6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6.7支持综合汇总功能，可由基层报表派生出各类综合分析报表，便于领导分析决策，实现报表的横向分析。</w:t>
            </w:r>
          </w:p>
        </w:tc>
      </w:tr>
      <w:tr w14:paraId="2C2F3C6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928DB1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9C1122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w:t>
            </w:r>
          </w:p>
        </w:tc>
        <w:tc>
          <w:tcPr>
            <w:tcW w:w="6792" w:type="dxa"/>
            <w:tcBorders>
              <w:top w:val="single" w:color="auto" w:sz="4" w:space="0"/>
              <w:left w:val="nil"/>
              <w:bottom w:val="single" w:color="auto" w:sz="4" w:space="0"/>
              <w:right w:val="single" w:color="auto" w:sz="4" w:space="0"/>
            </w:tcBorders>
            <w:vAlign w:val="center"/>
          </w:tcPr>
          <w:p w14:paraId="4B3A705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6.8根据医院需求为院领导提供各种统计分析报表；支持柱状图、饼图、折折线图等，支持数据穿透功能。</w:t>
            </w:r>
          </w:p>
        </w:tc>
      </w:tr>
      <w:tr w14:paraId="4163942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1AE80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1E447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w:t>
            </w:r>
          </w:p>
        </w:tc>
        <w:tc>
          <w:tcPr>
            <w:tcW w:w="6792" w:type="dxa"/>
            <w:tcBorders>
              <w:top w:val="single" w:color="auto" w:sz="4" w:space="0"/>
              <w:left w:val="nil"/>
              <w:bottom w:val="single" w:color="auto" w:sz="4" w:space="0"/>
              <w:right w:val="single" w:color="auto" w:sz="4" w:space="0"/>
            </w:tcBorders>
            <w:vAlign w:val="center"/>
          </w:tcPr>
          <w:p w14:paraId="028C3D9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7.考勤管理（编号142至148）</w:t>
            </w:r>
          </w:p>
        </w:tc>
      </w:tr>
      <w:tr w14:paraId="4361731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7339A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1C9B8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w:t>
            </w:r>
          </w:p>
        </w:tc>
        <w:tc>
          <w:tcPr>
            <w:tcW w:w="6792" w:type="dxa"/>
            <w:tcBorders>
              <w:top w:val="single" w:color="auto" w:sz="4" w:space="0"/>
              <w:left w:val="nil"/>
              <w:bottom w:val="single" w:color="auto" w:sz="4" w:space="0"/>
              <w:right w:val="single" w:color="auto" w:sz="4" w:space="0"/>
            </w:tcBorders>
            <w:vAlign w:val="center"/>
          </w:tcPr>
          <w:p w14:paraId="753D4A9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7.1支持员工在线请休假流程，能上传请假证明，审批通过后，请假结果自动记录到人员信息下，请休假规则及审批流程可根据需要灵活定义。</w:t>
            </w:r>
          </w:p>
        </w:tc>
      </w:tr>
      <w:tr w14:paraId="7DA4F8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A22C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B41F3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w:t>
            </w:r>
          </w:p>
        </w:tc>
        <w:tc>
          <w:tcPr>
            <w:tcW w:w="6792" w:type="dxa"/>
            <w:tcBorders>
              <w:top w:val="single" w:color="auto" w:sz="4" w:space="0"/>
              <w:left w:val="nil"/>
              <w:bottom w:val="single" w:color="auto" w:sz="4" w:space="0"/>
              <w:right w:val="single" w:color="auto" w:sz="4" w:space="0"/>
            </w:tcBorders>
            <w:vAlign w:val="center"/>
          </w:tcPr>
          <w:p w14:paraId="23123F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7.2根据医院要求灵活定义考勤项目，设置考勤规则，满足不同岗位的考勤项目统计。</w:t>
            </w:r>
          </w:p>
        </w:tc>
      </w:tr>
      <w:tr w14:paraId="03D857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FE61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01B2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144</w:t>
            </w:r>
          </w:p>
        </w:tc>
        <w:tc>
          <w:tcPr>
            <w:tcW w:w="6792" w:type="dxa"/>
            <w:tcBorders>
              <w:top w:val="single" w:color="auto" w:sz="4" w:space="0"/>
              <w:left w:val="nil"/>
              <w:bottom w:val="single" w:color="auto" w:sz="4" w:space="0"/>
              <w:right w:val="single" w:color="auto" w:sz="4" w:space="0"/>
            </w:tcBorders>
            <w:vAlign w:val="center"/>
          </w:tcPr>
          <w:p w14:paraId="67EE1EF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7.3灵活定义考勤班次，方便各科室及人事管理人员进行考勤数据维护和统计。</w:t>
            </w:r>
          </w:p>
        </w:tc>
      </w:tr>
      <w:tr w14:paraId="4AF319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DF341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96DFD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145</w:t>
            </w:r>
          </w:p>
        </w:tc>
        <w:tc>
          <w:tcPr>
            <w:tcW w:w="6792" w:type="dxa"/>
            <w:tcBorders>
              <w:top w:val="single" w:color="auto" w:sz="4" w:space="0"/>
              <w:left w:val="nil"/>
              <w:bottom w:val="single" w:color="auto" w:sz="4" w:space="0"/>
              <w:right w:val="single" w:color="auto" w:sz="4" w:space="0"/>
            </w:tcBorders>
            <w:vAlign w:val="center"/>
          </w:tcPr>
          <w:p w14:paraId="50D827C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7.4支持科室考勤上报功能，可自动汇总员工请假信息，支持本人确认功能；上报流程支持多级审批，支持医生轮岗考勤上报特殊情况的管控。</w:t>
            </w:r>
          </w:p>
        </w:tc>
      </w:tr>
      <w:tr w14:paraId="5E7ADF0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4A22E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5C02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146</w:t>
            </w:r>
          </w:p>
        </w:tc>
        <w:tc>
          <w:tcPr>
            <w:tcW w:w="6792" w:type="dxa"/>
            <w:tcBorders>
              <w:top w:val="single" w:color="auto" w:sz="4" w:space="0"/>
              <w:left w:val="nil"/>
              <w:bottom w:val="single" w:color="auto" w:sz="4" w:space="0"/>
              <w:right w:val="single" w:color="auto" w:sz="4" w:space="0"/>
            </w:tcBorders>
            <w:vAlign w:val="center"/>
          </w:tcPr>
          <w:p w14:paraId="61536C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7.5对科室上报的考勤信息进行汇总审批，提供数据校验审核机制。</w:t>
            </w:r>
          </w:p>
        </w:tc>
      </w:tr>
      <w:tr w14:paraId="32570A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39CF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612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147</w:t>
            </w:r>
          </w:p>
        </w:tc>
        <w:tc>
          <w:tcPr>
            <w:tcW w:w="6792" w:type="dxa"/>
            <w:tcBorders>
              <w:top w:val="single" w:color="auto" w:sz="4" w:space="0"/>
              <w:left w:val="nil"/>
              <w:bottom w:val="single" w:color="auto" w:sz="4" w:space="0"/>
              <w:right w:val="single" w:color="auto" w:sz="4" w:space="0"/>
            </w:tcBorders>
            <w:vAlign w:val="center"/>
          </w:tcPr>
          <w:p w14:paraId="70ACB5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7.6结合医院的考勤制度对考勤数据进行自动核算，核算结果能够与工资核算关联。</w:t>
            </w:r>
          </w:p>
        </w:tc>
      </w:tr>
      <w:tr w14:paraId="16E894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1269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1A9B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w:t>
            </w:r>
          </w:p>
        </w:tc>
        <w:tc>
          <w:tcPr>
            <w:tcW w:w="6792" w:type="dxa"/>
            <w:tcBorders>
              <w:top w:val="single" w:color="auto" w:sz="4" w:space="0"/>
              <w:left w:val="nil"/>
              <w:bottom w:val="single" w:color="auto" w:sz="4" w:space="0"/>
              <w:right w:val="single" w:color="auto" w:sz="4" w:space="0"/>
            </w:tcBorders>
            <w:vAlign w:val="center"/>
          </w:tcPr>
          <w:p w14:paraId="58817C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7.7对迟到、旷工、产假、病假、自费出国达到一定天数的员工进行报警提醒。</w:t>
            </w:r>
          </w:p>
        </w:tc>
      </w:tr>
      <w:tr w14:paraId="71E511F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6EA7E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4C7928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149</w:t>
            </w:r>
          </w:p>
        </w:tc>
        <w:tc>
          <w:tcPr>
            <w:tcW w:w="6792" w:type="dxa"/>
            <w:tcBorders>
              <w:top w:val="single" w:color="auto" w:sz="4" w:space="0"/>
              <w:left w:val="nil"/>
              <w:bottom w:val="single" w:color="auto" w:sz="4" w:space="0"/>
              <w:right w:val="single" w:color="auto" w:sz="4" w:space="0"/>
            </w:tcBorders>
            <w:vAlign w:val="center"/>
          </w:tcPr>
          <w:p w14:paraId="5C5F3E6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8.自助平台（编号150至163）</w:t>
            </w:r>
          </w:p>
        </w:tc>
      </w:tr>
      <w:tr w14:paraId="18D2A9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EAB1F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DBDD0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w:t>
            </w:r>
          </w:p>
        </w:tc>
        <w:tc>
          <w:tcPr>
            <w:tcW w:w="6792" w:type="dxa"/>
            <w:tcBorders>
              <w:top w:val="single" w:color="auto" w:sz="4" w:space="0"/>
              <w:left w:val="nil"/>
              <w:bottom w:val="single" w:color="auto" w:sz="4" w:space="0"/>
              <w:right w:val="single" w:color="auto" w:sz="4" w:space="0"/>
            </w:tcBorders>
            <w:vAlign w:val="center"/>
          </w:tcPr>
          <w:p w14:paraId="319EF5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通过自助服务中心，员工可查询及维护个人信息档案，通过权限可分别控制员工查阅范围和可修改范围，如薪资、个税、保险、考勤、考核、休假等只能查看，家庭成员、婚姻状况等个人情况可以发起修改流程。</w:t>
            </w:r>
          </w:p>
        </w:tc>
      </w:tr>
      <w:tr w14:paraId="26FAE8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5DC1A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86B8C2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p>
        </w:tc>
        <w:tc>
          <w:tcPr>
            <w:tcW w:w="6792" w:type="dxa"/>
            <w:tcBorders>
              <w:top w:val="single" w:color="auto" w:sz="4" w:space="0"/>
              <w:left w:val="nil"/>
              <w:bottom w:val="single" w:color="auto" w:sz="4" w:space="0"/>
              <w:right w:val="single" w:color="auto" w:sz="4" w:space="0"/>
            </w:tcBorders>
            <w:vAlign w:val="center"/>
          </w:tcPr>
          <w:p w14:paraId="18A3DAB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支持个人信息的维护更新，可控制员工修改范围，分样式显示可编辑项、必填项、只读项等；若发生修改，可设置审核流程，需要审核通过才作为修改成功，审核过程中可显示原信息/修改后信息对比，并以颜色标识出修改内容，便于审核。</w:t>
            </w:r>
          </w:p>
        </w:tc>
      </w:tr>
      <w:tr w14:paraId="5946C7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DC4A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6405D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p>
        </w:tc>
        <w:tc>
          <w:tcPr>
            <w:tcW w:w="6792" w:type="dxa"/>
            <w:tcBorders>
              <w:top w:val="single" w:color="auto" w:sz="4" w:space="0"/>
              <w:left w:val="nil"/>
              <w:bottom w:val="single" w:color="auto" w:sz="4" w:space="0"/>
              <w:right w:val="single" w:color="auto" w:sz="4" w:space="0"/>
            </w:tcBorders>
            <w:vAlign w:val="center"/>
          </w:tcPr>
          <w:p w14:paraId="739F99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8.3员工可查阅本人员工画像、详细信息，以卡片、数字标签、时间轴、统计图等形式生动展现。</w:t>
            </w:r>
          </w:p>
        </w:tc>
      </w:tr>
      <w:tr w14:paraId="566FF3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F216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B600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w:t>
            </w:r>
          </w:p>
        </w:tc>
        <w:tc>
          <w:tcPr>
            <w:tcW w:w="6792" w:type="dxa"/>
            <w:tcBorders>
              <w:top w:val="single" w:color="auto" w:sz="4" w:space="0"/>
              <w:left w:val="nil"/>
              <w:bottom w:val="single" w:color="auto" w:sz="4" w:space="0"/>
              <w:right w:val="single" w:color="auto" w:sz="4" w:space="0"/>
            </w:tcBorders>
            <w:vAlign w:val="center"/>
          </w:tcPr>
          <w:p w14:paraId="438A35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8.4员工可查阅本人工资条，支持显示内容、分类等可按单位需求个性化设置，员工可按时间段统计本人收入；查阅薪酬、个税等隐私信息时，可设置二次验证，避免信息泄漏。</w:t>
            </w:r>
          </w:p>
        </w:tc>
      </w:tr>
      <w:tr w14:paraId="37F05A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E3DE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C72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w:t>
            </w:r>
          </w:p>
        </w:tc>
        <w:tc>
          <w:tcPr>
            <w:tcW w:w="6792" w:type="dxa"/>
            <w:tcBorders>
              <w:top w:val="single" w:color="auto" w:sz="4" w:space="0"/>
              <w:left w:val="nil"/>
              <w:bottom w:val="single" w:color="auto" w:sz="4" w:space="0"/>
              <w:right w:val="single" w:color="auto" w:sz="4" w:space="0"/>
            </w:tcBorders>
            <w:vAlign w:val="center"/>
          </w:tcPr>
          <w:p w14:paraId="56A54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8.5实现个人各种业务线上申请，包括请假、出入境申请、考研申请、调科申请、年度考核、合同、转正、离职申请、考核申诉等各类在线申请，比如申请加班、请假、调休等，后台能统计申请结果。</w:t>
            </w:r>
          </w:p>
        </w:tc>
      </w:tr>
      <w:tr w14:paraId="299FF0E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62294F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9DC3DB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155</w:t>
            </w:r>
          </w:p>
        </w:tc>
        <w:tc>
          <w:tcPr>
            <w:tcW w:w="6792" w:type="dxa"/>
            <w:tcBorders>
              <w:top w:val="single" w:color="auto" w:sz="4" w:space="0"/>
              <w:left w:val="nil"/>
              <w:bottom w:val="single" w:color="auto" w:sz="4" w:space="0"/>
              <w:right w:val="single" w:color="auto" w:sz="4" w:space="0"/>
            </w:tcBorders>
            <w:vAlign w:val="center"/>
          </w:tcPr>
          <w:p w14:paraId="7BBA365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8.6在线浏览各类规章制度、公告栏，并可浏览、下载办事流程及常用表格。</w:t>
            </w:r>
          </w:p>
        </w:tc>
      </w:tr>
      <w:tr w14:paraId="5A64EF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28DAA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5B48C9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156</w:t>
            </w:r>
          </w:p>
        </w:tc>
        <w:tc>
          <w:tcPr>
            <w:tcW w:w="6792" w:type="dxa"/>
            <w:tcBorders>
              <w:top w:val="single" w:color="auto" w:sz="4" w:space="0"/>
              <w:left w:val="nil"/>
              <w:bottom w:val="single" w:color="auto" w:sz="4" w:space="0"/>
              <w:right w:val="single" w:color="auto" w:sz="4" w:space="0"/>
            </w:tcBorders>
            <w:vAlign w:val="center"/>
          </w:tcPr>
          <w:p w14:paraId="4609E2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8.7可以通过职工意见箱向上级反映自己的建议和意见。</w:t>
            </w:r>
          </w:p>
        </w:tc>
      </w:tr>
      <w:tr w14:paraId="197334D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2F1DD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952D9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w:t>
            </w:r>
          </w:p>
        </w:tc>
        <w:tc>
          <w:tcPr>
            <w:tcW w:w="6792" w:type="dxa"/>
            <w:tcBorders>
              <w:top w:val="single" w:color="auto" w:sz="4" w:space="0"/>
              <w:left w:val="nil"/>
              <w:bottom w:val="single" w:color="auto" w:sz="4" w:space="0"/>
              <w:right w:val="single" w:color="auto" w:sz="4" w:space="0"/>
            </w:tcBorders>
            <w:vAlign w:val="center"/>
          </w:tcPr>
          <w:p w14:paraId="4EFDAB1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8.8职工通过自助可以查看培训班的信息，并且可以在线报名。</w:t>
            </w:r>
          </w:p>
        </w:tc>
      </w:tr>
      <w:tr w14:paraId="4AFB2B8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363B5C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840B2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158</w:t>
            </w:r>
          </w:p>
        </w:tc>
        <w:tc>
          <w:tcPr>
            <w:tcW w:w="6792" w:type="dxa"/>
            <w:tcBorders>
              <w:top w:val="single" w:color="auto" w:sz="4" w:space="0"/>
              <w:left w:val="nil"/>
              <w:bottom w:val="single" w:color="auto" w:sz="4" w:space="0"/>
              <w:right w:val="single" w:color="auto" w:sz="4" w:space="0"/>
            </w:tcBorders>
            <w:vAlign w:val="center"/>
          </w:tcPr>
          <w:p w14:paraId="5C8A62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8.9职工通过考核自助，在线填写个人工作总结、提交年度考核、聘期考核表，同时也可以参与考评打分，同时可以查看自己的考评结果。</w:t>
            </w:r>
          </w:p>
        </w:tc>
      </w:tr>
      <w:tr w14:paraId="144784E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CE76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C338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159</w:t>
            </w:r>
          </w:p>
        </w:tc>
        <w:tc>
          <w:tcPr>
            <w:tcW w:w="6792" w:type="dxa"/>
            <w:tcBorders>
              <w:top w:val="single" w:color="auto" w:sz="4" w:space="0"/>
              <w:left w:val="nil"/>
              <w:bottom w:val="single" w:color="auto" w:sz="4" w:space="0"/>
              <w:right w:val="single" w:color="auto" w:sz="4" w:space="0"/>
            </w:tcBorders>
            <w:vAlign w:val="center"/>
          </w:tcPr>
          <w:p w14:paraId="4292EB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8.10职工通过自助，可以查看自己的考勤明细信息、休假信息，并且可以进行各类假单的申请。</w:t>
            </w:r>
          </w:p>
        </w:tc>
      </w:tr>
      <w:tr w14:paraId="0B4D03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9AD3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429A5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160</w:t>
            </w:r>
          </w:p>
        </w:tc>
        <w:tc>
          <w:tcPr>
            <w:tcW w:w="6792" w:type="dxa"/>
            <w:tcBorders>
              <w:top w:val="single" w:color="auto" w:sz="4" w:space="0"/>
              <w:left w:val="nil"/>
              <w:bottom w:val="single" w:color="auto" w:sz="4" w:space="0"/>
              <w:right w:val="single" w:color="auto" w:sz="4" w:space="0"/>
            </w:tcBorders>
            <w:vAlign w:val="center"/>
          </w:tcPr>
          <w:p w14:paraId="4E4FCA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8.11部门领导可查阅查看权限范围内的员工的员工画像、档案信息、部门职责和岗位说明书。</w:t>
            </w:r>
          </w:p>
        </w:tc>
      </w:tr>
      <w:tr w14:paraId="66208AC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D94CE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932ED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161</w:t>
            </w:r>
          </w:p>
        </w:tc>
        <w:tc>
          <w:tcPr>
            <w:tcW w:w="6792" w:type="dxa"/>
            <w:tcBorders>
              <w:top w:val="single" w:color="auto" w:sz="4" w:space="0"/>
              <w:left w:val="nil"/>
              <w:bottom w:val="single" w:color="auto" w:sz="4" w:space="0"/>
              <w:right w:val="single" w:color="auto" w:sz="4" w:space="0"/>
            </w:tcBorders>
            <w:vAlign w:val="center"/>
          </w:tcPr>
          <w:p w14:paraId="0D1137E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8.12部门领导可实时了解通过人力分析了解所属员工状态，如当前人员结构分布、人才资源现状和单位、岗位编制等，人力分析情况可根据用户需求灵活配置。</w:t>
            </w:r>
          </w:p>
        </w:tc>
      </w:tr>
      <w:tr w14:paraId="75D16B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5294E5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CA4179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162</w:t>
            </w:r>
          </w:p>
        </w:tc>
        <w:tc>
          <w:tcPr>
            <w:tcW w:w="6792" w:type="dxa"/>
            <w:tcBorders>
              <w:top w:val="single" w:color="auto" w:sz="4" w:space="0"/>
              <w:left w:val="nil"/>
              <w:bottom w:val="single" w:color="auto" w:sz="4" w:space="0"/>
              <w:right w:val="single" w:color="auto" w:sz="4" w:space="0"/>
            </w:tcBorders>
            <w:vAlign w:val="center"/>
          </w:tcPr>
          <w:p w14:paraId="77B9C9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8.13可查询浏览权限范围内各单位和部门所属的人员信息及权限范围内员工的薪酬福利、考勤等情况。</w:t>
            </w:r>
          </w:p>
        </w:tc>
      </w:tr>
      <w:tr w14:paraId="3B1A37E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71D89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2CEC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163</w:t>
            </w:r>
          </w:p>
        </w:tc>
        <w:tc>
          <w:tcPr>
            <w:tcW w:w="6792" w:type="dxa"/>
            <w:tcBorders>
              <w:top w:val="single" w:color="auto" w:sz="4" w:space="0"/>
              <w:left w:val="nil"/>
              <w:bottom w:val="single" w:color="auto" w:sz="4" w:space="0"/>
              <w:right w:val="single" w:color="auto" w:sz="4" w:space="0"/>
            </w:tcBorders>
            <w:vAlign w:val="center"/>
          </w:tcPr>
          <w:p w14:paraId="1FD28A2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8.14部门领导可以在线进行考勤数据的上报和内部审核。</w:t>
            </w:r>
          </w:p>
        </w:tc>
      </w:tr>
      <w:tr w14:paraId="3D2D4F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4C2F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E0880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164</w:t>
            </w:r>
          </w:p>
        </w:tc>
        <w:tc>
          <w:tcPr>
            <w:tcW w:w="6792" w:type="dxa"/>
            <w:tcBorders>
              <w:top w:val="single" w:color="auto" w:sz="4" w:space="0"/>
              <w:left w:val="nil"/>
              <w:bottom w:val="single" w:color="auto" w:sz="4" w:space="0"/>
              <w:right w:val="single" w:color="auto" w:sz="4" w:space="0"/>
            </w:tcBorders>
            <w:vAlign w:val="center"/>
          </w:tcPr>
          <w:p w14:paraId="0DDCE09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年度考核：通过系统可完成对职工年度考核，包括卫技岗位年度考核、非卫技岗位年度考核等考核方案的管理，系统需支持考核优秀率的控制；考核结果自动记录到职工考核信息子集下，为后续业务提供考核数据。系统支持考核优秀率的控制；对未参加考核人员进行相关信息的登记，详细记录未考核原因等信息。</w:t>
            </w:r>
          </w:p>
        </w:tc>
      </w:tr>
      <w:tr w14:paraId="6FB1C9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05E45D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3D14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165</w:t>
            </w:r>
          </w:p>
        </w:tc>
        <w:tc>
          <w:tcPr>
            <w:tcW w:w="6792" w:type="dxa"/>
            <w:tcBorders>
              <w:top w:val="single" w:color="auto" w:sz="4" w:space="0"/>
              <w:left w:val="nil"/>
              <w:bottom w:val="single" w:color="auto" w:sz="4" w:space="0"/>
              <w:right w:val="single" w:color="auto" w:sz="4" w:space="0"/>
            </w:tcBorders>
            <w:vAlign w:val="center"/>
          </w:tcPr>
          <w:p w14:paraId="75A71E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岗位聘用：支持医院全员大聘岗及动态聘岗业务，提供独立的岗位聘用入口门户，支持职工在线申报岗位，各部门在线审核申报材料，支持材料公示、聘岗结果公示，支持专家评审委员会在线投票和打分，聘用合同在线签订，自动生成岗位聘用备案表及备案花名册、根据备案结果自动计算薪资变动。</w:t>
            </w:r>
          </w:p>
        </w:tc>
      </w:tr>
      <w:tr w14:paraId="78CF15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DEBE6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F9B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w:t>
            </w:r>
          </w:p>
        </w:tc>
        <w:tc>
          <w:tcPr>
            <w:tcW w:w="6792" w:type="dxa"/>
            <w:tcBorders>
              <w:top w:val="single" w:color="auto" w:sz="4" w:space="0"/>
              <w:left w:val="nil"/>
              <w:bottom w:val="single" w:color="auto" w:sz="4" w:space="0"/>
              <w:right w:val="single" w:color="auto" w:sz="4" w:space="0"/>
            </w:tcBorders>
            <w:vAlign w:val="center"/>
          </w:tcPr>
          <w:p w14:paraId="4A648D3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11.职称申报：</w:t>
            </w:r>
            <w:r>
              <w:rPr>
                <w:rFonts w:hint="default" w:ascii="仿宋_GB2312" w:hAnsi="仿宋_GB2312" w:eastAsia="仿宋_GB2312" w:cs="仿宋_GB2312"/>
                <w:sz w:val="32"/>
                <w:szCs w:val="32"/>
                <w:lang w:val="en-US" w:eastAsia="zh-CN"/>
              </w:rPr>
              <w:t>员工可在线填写职称申报表、简明表等各类材料，申报材料内容可以自动获取个人基本信息，包括职称取得时间（或岗位聘用时间），无需重复填写，申报人仅需填写或调整个人申报相关信息，并支持上传各类材料附件，能够对符合申报条件的职工做职称申报提醒。</w:t>
            </w:r>
          </w:p>
        </w:tc>
      </w:tr>
      <w:tr w14:paraId="1BB138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90AF0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B5408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167</w:t>
            </w:r>
          </w:p>
        </w:tc>
        <w:tc>
          <w:tcPr>
            <w:tcW w:w="6792" w:type="dxa"/>
            <w:tcBorders>
              <w:top w:val="single" w:color="auto" w:sz="4" w:space="0"/>
              <w:left w:val="nil"/>
              <w:bottom w:val="single" w:color="auto" w:sz="4" w:space="0"/>
              <w:right w:val="single" w:color="auto" w:sz="4" w:space="0"/>
            </w:tcBorders>
            <w:vAlign w:val="center"/>
          </w:tcPr>
          <w:p w14:paraId="6637045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12.出国出境管理（编号168至169）</w:t>
            </w:r>
          </w:p>
        </w:tc>
      </w:tr>
      <w:tr w14:paraId="58140E3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7D7F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A324C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168</w:t>
            </w:r>
          </w:p>
        </w:tc>
        <w:tc>
          <w:tcPr>
            <w:tcW w:w="6792" w:type="dxa"/>
            <w:tcBorders>
              <w:top w:val="single" w:color="auto" w:sz="4" w:space="0"/>
              <w:left w:val="nil"/>
              <w:bottom w:val="single" w:color="auto" w:sz="4" w:space="0"/>
              <w:right w:val="single" w:color="auto" w:sz="4" w:space="0"/>
            </w:tcBorders>
            <w:vAlign w:val="center"/>
          </w:tcPr>
          <w:p w14:paraId="4A75CAE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r>
              <w:rPr>
                <w:rFonts w:hint="default" w:ascii="仿宋_GB2312" w:hAnsi="仿宋_GB2312" w:eastAsia="仿宋_GB2312" w:cs="仿宋_GB2312"/>
                <w:sz w:val="32"/>
                <w:szCs w:val="32"/>
                <w:lang w:val="en-US" w:eastAsia="zh-CN"/>
              </w:rPr>
              <w:t>实现支持个人（因私）出国（境）申请、组织审批、出国过程监督等日常事务管理流程，支持各类数据导入导出</w:t>
            </w:r>
            <w:r>
              <w:rPr>
                <w:rFonts w:hint="eastAsia" w:ascii="仿宋_GB2312" w:hAnsi="仿宋_GB2312" w:eastAsia="仿宋_GB2312" w:cs="仿宋_GB2312"/>
                <w:sz w:val="32"/>
                <w:szCs w:val="32"/>
                <w:lang w:val="en-US" w:eastAsia="zh-CN"/>
              </w:rPr>
              <w:t>。</w:t>
            </w:r>
          </w:p>
        </w:tc>
      </w:tr>
      <w:tr w14:paraId="661DD49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7200C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FC292B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169</w:t>
            </w:r>
          </w:p>
        </w:tc>
        <w:tc>
          <w:tcPr>
            <w:tcW w:w="6792" w:type="dxa"/>
            <w:tcBorders>
              <w:top w:val="single" w:color="auto" w:sz="4" w:space="0"/>
              <w:left w:val="nil"/>
              <w:bottom w:val="single" w:color="auto" w:sz="4" w:space="0"/>
              <w:right w:val="single" w:color="auto" w:sz="4" w:space="0"/>
            </w:tcBorders>
            <w:vAlign w:val="center"/>
          </w:tcPr>
          <w:p w14:paraId="1EA9CC3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r>
              <w:rPr>
                <w:rFonts w:hint="default" w:ascii="仿宋_GB2312" w:hAnsi="仿宋_GB2312" w:eastAsia="仿宋_GB2312" w:cs="仿宋_GB2312"/>
                <w:sz w:val="32"/>
                <w:szCs w:val="32"/>
                <w:lang w:val="en-US" w:eastAsia="zh-CN"/>
              </w:rPr>
              <w:t>出国申请业务表单可以由用户自定，包括样式、内容、指标权限等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出国手续办理完毕后，相关信息自动记录更新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同时支持自动与考勤、薪酬等相关业务产生联动，及时调整相关业务数据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出国人员即将到期回国前、以及回国后，均可以灵活设置预警消息，及时管控潜在风险，及时恢复工资发放等业务</w:t>
            </w:r>
            <w:r>
              <w:rPr>
                <w:rFonts w:hint="eastAsia" w:ascii="仿宋_GB2312" w:hAnsi="仿宋_GB2312" w:eastAsia="仿宋_GB2312" w:cs="仿宋_GB2312"/>
                <w:sz w:val="32"/>
                <w:szCs w:val="32"/>
                <w:lang w:val="en-US" w:eastAsia="zh-CN"/>
              </w:rPr>
              <w:t>。</w:t>
            </w:r>
          </w:p>
        </w:tc>
      </w:tr>
      <w:tr w14:paraId="2330D8C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94E21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6C9F8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w:t>
            </w:r>
          </w:p>
        </w:tc>
        <w:tc>
          <w:tcPr>
            <w:tcW w:w="6792" w:type="dxa"/>
            <w:tcBorders>
              <w:top w:val="single" w:color="auto" w:sz="4" w:space="0"/>
              <w:left w:val="nil"/>
              <w:bottom w:val="single" w:color="auto" w:sz="4" w:space="0"/>
              <w:right w:val="single" w:color="auto" w:sz="4" w:space="0"/>
            </w:tcBorders>
            <w:vAlign w:val="center"/>
          </w:tcPr>
          <w:p w14:paraId="1F2B362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13.培训管理（编号171至172）</w:t>
            </w:r>
          </w:p>
        </w:tc>
      </w:tr>
      <w:tr w14:paraId="43F63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E53DE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EE3F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171</w:t>
            </w:r>
          </w:p>
        </w:tc>
        <w:tc>
          <w:tcPr>
            <w:tcW w:w="6792" w:type="dxa"/>
            <w:tcBorders>
              <w:top w:val="single" w:color="auto" w:sz="4" w:space="0"/>
              <w:left w:val="nil"/>
              <w:bottom w:val="single" w:color="auto" w:sz="4" w:space="0"/>
              <w:right w:val="single" w:color="auto" w:sz="4" w:space="0"/>
            </w:tcBorders>
            <w:vAlign w:val="center"/>
          </w:tcPr>
          <w:p w14:paraId="7FF6AE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13.1培训进修：提供计划申报、进修申请、进修结果登记、国内访学申请、国内访学结果登记、其他培训信息登记等功能，完整记录职工培训进修信息。</w:t>
            </w:r>
          </w:p>
        </w:tc>
      </w:tr>
      <w:tr w14:paraId="0E4BAFC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0C5C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9AFBF1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172</w:t>
            </w:r>
          </w:p>
        </w:tc>
        <w:tc>
          <w:tcPr>
            <w:tcW w:w="6792" w:type="dxa"/>
            <w:tcBorders>
              <w:top w:val="single" w:color="auto" w:sz="4" w:space="0"/>
              <w:left w:val="nil"/>
              <w:bottom w:val="single" w:color="auto" w:sz="4" w:space="0"/>
              <w:right w:val="single" w:color="auto" w:sz="4" w:space="0"/>
            </w:tcBorders>
            <w:vAlign w:val="center"/>
          </w:tcPr>
          <w:p w14:paraId="56A370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13.2职业资格：提供对职业资格信息的登记管理，对职业资格的信息进行全面管理。</w:t>
            </w:r>
          </w:p>
        </w:tc>
      </w:tr>
      <w:tr w14:paraId="1CF9C0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2F06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D38A1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173</w:t>
            </w:r>
          </w:p>
        </w:tc>
        <w:tc>
          <w:tcPr>
            <w:tcW w:w="6792" w:type="dxa"/>
            <w:tcBorders>
              <w:top w:val="single" w:color="auto" w:sz="4" w:space="0"/>
              <w:left w:val="nil"/>
              <w:bottom w:val="single" w:color="auto" w:sz="4" w:space="0"/>
              <w:right w:val="single" w:color="auto" w:sz="4" w:space="0"/>
            </w:tcBorders>
            <w:vAlign w:val="center"/>
          </w:tcPr>
          <w:p w14:paraId="6B1DEF8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14.移动应用（编号174至176）</w:t>
            </w:r>
          </w:p>
        </w:tc>
      </w:tr>
      <w:tr w14:paraId="0BE0B80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4102C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A12B1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174</w:t>
            </w:r>
          </w:p>
        </w:tc>
        <w:tc>
          <w:tcPr>
            <w:tcW w:w="6792" w:type="dxa"/>
            <w:tcBorders>
              <w:top w:val="single" w:color="auto" w:sz="4" w:space="0"/>
              <w:left w:val="nil"/>
              <w:bottom w:val="single" w:color="auto" w:sz="4" w:space="0"/>
              <w:right w:val="single" w:color="auto" w:sz="4" w:space="0"/>
            </w:tcBorders>
            <w:vAlign w:val="center"/>
          </w:tcPr>
          <w:p w14:paraId="13D813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14.1支持与企业移动客户端的无缝集成应用；在授权范围内，可在线查看所管辖职工的人力资源信息。</w:t>
            </w:r>
          </w:p>
        </w:tc>
      </w:tr>
      <w:tr w14:paraId="3244366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CD96C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AE76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175</w:t>
            </w:r>
          </w:p>
        </w:tc>
        <w:tc>
          <w:tcPr>
            <w:tcW w:w="6792" w:type="dxa"/>
            <w:tcBorders>
              <w:top w:val="single" w:color="auto" w:sz="4" w:space="0"/>
              <w:left w:val="nil"/>
              <w:bottom w:val="single" w:color="auto" w:sz="4" w:space="0"/>
              <w:right w:val="single" w:color="auto" w:sz="4" w:space="0"/>
            </w:tcBorders>
            <w:vAlign w:val="center"/>
          </w:tcPr>
          <w:p w14:paraId="41C6BD4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14.2可对所管辖职工进行统计分析和查询浏览，了解人力资源配置状况。</w:t>
            </w:r>
          </w:p>
        </w:tc>
      </w:tr>
      <w:tr w14:paraId="78FAC1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B0A4948">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75194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176</w:t>
            </w:r>
          </w:p>
        </w:tc>
        <w:tc>
          <w:tcPr>
            <w:tcW w:w="6792" w:type="dxa"/>
            <w:tcBorders>
              <w:top w:val="single" w:color="auto" w:sz="4" w:space="0"/>
              <w:left w:val="nil"/>
              <w:bottom w:val="single" w:color="auto" w:sz="4" w:space="0"/>
              <w:right w:val="single" w:color="auto" w:sz="4" w:space="0"/>
            </w:tcBorders>
            <w:vAlign w:val="center"/>
          </w:tcPr>
          <w:p w14:paraId="656ACEB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14.3支持请假、公出等各种人事业务的在线申请和审批并支持手写签名。</w:t>
            </w:r>
          </w:p>
        </w:tc>
      </w:tr>
      <w:tr w14:paraId="066EF9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BBEE11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792D2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177</w:t>
            </w:r>
          </w:p>
        </w:tc>
        <w:tc>
          <w:tcPr>
            <w:tcW w:w="6792" w:type="dxa"/>
            <w:tcBorders>
              <w:top w:val="single" w:color="auto" w:sz="4" w:space="0"/>
              <w:left w:val="nil"/>
              <w:bottom w:val="single" w:color="auto" w:sz="4" w:space="0"/>
              <w:right w:val="single" w:color="auto" w:sz="4" w:space="0"/>
            </w:tcBorders>
            <w:vAlign w:val="center"/>
          </w:tcPr>
          <w:p w14:paraId="24A6A13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信息预警</w:t>
            </w:r>
            <w:r>
              <w:rPr>
                <w:rFonts w:hint="eastAsia" w:ascii="仿宋_GB2312" w:hAnsi="仿宋_GB2312" w:eastAsia="仿宋_GB2312" w:cs="仿宋_GB2312"/>
                <w:sz w:val="32"/>
                <w:szCs w:val="32"/>
                <w:lang w:val="en-US" w:eastAsia="zh-CN"/>
              </w:rPr>
              <w:t>（编号178至180）</w:t>
            </w:r>
          </w:p>
        </w:tc>
      </w:tr>
      <w:tr w14:paraId="1F2F238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75ED4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4E1FC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178</w:t>
            </w:r>
          </w:p>
        </w:tc>
        <w:tc>
          <w:tcPr>
            <w:tcW w:w="6792" w:type="dxa"/>
            <w:tcBorders>
              <w:top w:val="single" w:color="auto" w:sz="4" w:space="0"/>
              <w:left w:val="nil"/>
              <w:bottom w:val="single" w:color="auto" w:sz="4" w:space="0"/>
              <w:right w:val="single" w:color="auto" w:sz="4" w:space="0"/>
            </w:tcBorders>
            <w:vAlign w:val="center"/>
          </w:tcPr>
          <w:p w14:paraId="307CACF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lang w:val="zh-CN" w:eastAsia="zh-CN"/>
              </w:rPr>
              <w:t>系统应预置医院常用的预警条件，如合同到期、即将退休、职称晋升，本月过生日人员。</w:t>
            </w:r>
          </w:p>
        </w:tc>
      </w:tr>
      <w:tr w14:paraId="7E01E2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9A8B8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FDE61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179</w:t>
            </w:r>
          </w:p>
        </w:tc>
        <w:tc>
          <w:tcPr>
            <w:tcW w:w="6792" w:type="dxa"/>
            <w:tcBorders>
              <w:top w:val="single" w:color="auto" w:sz="4" w:space="0"/>
              <w:left w:val="nil"/>
              <w:bottom w:val="single" w:color="auto" w:sz="4" w:space="0"/>
              <w:right w:val="single" w:color="auto" w:sz="4" w:space="0"/>
            </w:tcBorders>
            <w:vAlign w:val="center"/>
          </w:tcPr>
          <w:p w14:paraId="2E3CDD4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val="zh-CN" w:eastAsia="zh-CN"/>
              </w:rPr>
              <w:t>系统能支持预警的内容、条件、时间、预警信息的接收者、接收方式（系统内通知，邮件、短信）等均能自定义。</w:t>
            </w:r>
          </w:p>
        </w:tc>
      </w:tr>
      <w:tr w14:paraId="554454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D53A6A">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B91B2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w:t>
            </w:r>
          </w:p>
        </w:tc>
        <w:tc>
          <w:tcPr>
            <w:tcW w:w="6792" w:type="dxa"/>
            <w:tcBorders>
              <w:top w:val="single" w:color="auto" w:sz="4" w:space="0"/>
              <w:left w:val="nil"/>
              <w:bottom w:val="single" w:color="auto" w:sz="4" w:space="0"/>
              <w:right w:val="single" w:color="auto" w:sz="4" w:space="0"/>
            </w:tcBorders>
            <w:vAlign w:val="center"/>
          </w:tcPr>
          <w:p w14:paraId="1CE39A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15.3预警信息能够与相关的业务模板进行关联，直接进行业务处理，如试用期到期提醒与转正定级流程关联。</w:t>
            </w:r>
          </w:p>
        </w:tc>
      </w:tr>
      <w:tr w14:paraId="041E8F3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C7BF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AAC87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181</w:t>
            </w:r>
          </w:p>
        </w:tc>
        <w:tc>
          <w:tcPr>
            <w:tcW w:w="6792" w:type="dxa"/>
            <w:tcBorders>
              <w:top w:val="single" w:color="auto" w:sz="4" w:space="0"/>
              <w:left w:val="nil"/>
              <w:bottom w:val="single" w:color="auto" w:sz="4" w:space="0"/>
              <w:right w:val="single" w:color="auto" w:sz="4" w:space="0"/>
            </w:tcBorders>
            <w:vAlign w:val="center"/>
          </w:tcPr>
          <w:p w14:paraId="75F972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16.接口集成要求：系统需提供对外部系统标准接口平台，满足与医院集成平台、HIS系统、财务系统、OA系统、科研系统等实现数据对接，实现数据的共享，以满足医院需要。</w:t>
            </w:r>
          </w:p>
        </w:tc>
      </w:tr>
      <w:tr w14:paraId="2848E6B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9BFAC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5F1F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w:t>
            </w:r>
          </w:p>
        </w:tc>
        <w:tc>
          <w:tcPr>
            <w:tcW w:w="6792" w:type="dxa"/>
            <w:tcBorders>
              <w:top w:val="single" w:color="auto" w:sz="4" w:space="0"/>
              <w:left w:val="nil"/>
              <w:bottom w:val="single" w:color="auto" w:sz="4" w:space="0"/>
              <w:right w:val="single" w:color="auto" w:sz="4" w:space="0"/>
            </w:tcBorders>
            <w:vAlign w:val="center"/>
          </w:tcPr>
          <w:p w14:paraId="1ADD99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三、售后服务要求（编号183至185）</w:t>
            </w:r>
          </w:p>
        </w:tc>
      </w:tr>
      <w:tr w14:paraId="7C76D6C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1A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A39AA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183</w:t>
            </w:r>
          </w:p>
        </w:tc>
        <w:tc>
          <w:tcPr>
            <w:tcW w:w="6792" w:type="dxa"/>
            <w:tcBorders>
              <w:top w:val="single" w:color="auto" w:sz="4" w:space="0"/>
              <w:left w:val="nil"/>
              <w:bottom w:val="single" w:color="auto" w:sz="4" w:space="0"/>
              <w:right w:val="single" w:color="auto" w:sz="4" w:space="0"/>
            </w:tcBorders>
            <w:vAlign w:val="center"/>
          </w:tcPr>
          <w:p w14:paraId="6C4B39D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1.投标人必须提供详细的售后服务计划，服务内容、服务方式及响应时间。投标人必须保证在用户出现整个系统不能正常运行或瘫痪的情况时，保证能够在30分钟内响应，2小时内到达现场。</w:t>
            </w:r>
          </w:p>
        </w:tc>
      </w:tr>
      <w:tr w14:paraId="0268A3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3B575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61D5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184</w:t>
            </w:r>
          </w:p>
        </w:tc>
        <w:tc>
          <w:tcPr>
            <w:tcW w:w="6792" w:type="dxa"/>
            <w:tcBorders>
              <w:top w:val="single" w:color="auto" w:sz="4" w:space="0"/>
              <w:left w:val="nil"/>
              <w:bottom w:val="single" w:color="auto" w:sz="4" w:space="0"/>
              <w:right w:val="single" w:color="auto" w:sz="4" w:space="0"/>
            </w:tcBorders>
            <w:vAlign w:val="center"/>
          </w:tcPr>
          <w:p w14:paraId="639CB0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2.需要支持电话咨询、网络远程、定期主动巡检，并为用户提供PC端、移动端（微信服务号）的服务平台，供用户提问，对问题进行跟踪。用户可在服务平台上对售后服务进行评价。</w:t>
            </w:r>
          </w:p>
        </w:tc>
      </w:tr>
      <w:tr w14:paraId="505F19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F7BBA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FDE8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185</w:t>
            </w:r>
          </w:p>
        </w:tc>
        <w:tc>
          <w:tcPr>
            <w:tcW w:w="6792" w:type="dxa"/>
            <w:tcBorders>
              <w:top w:val="single" w:color="auto" w:sz="4" w:space="0"/>
              <w:left w:val="nil"/>
              <w:bottom w:val="single" w:color="auto" w:sz="4" w:space="0"/>
              <w:right w:val="single" w:color="auto" w:sz="4" w:space="0"/>
            </w:tcBorders>
            <w:vAlign w:val="center"/>
          </w:tcPr>
          <w:p w14:paraId="17AB11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3.所提供软件系统需提供从验收合格后起不少1年的免费维护。包括按客户化需求进行功能增强性维护等应用软件系统扩充升级（其中包括系统维护、跟踪检测），保证投标方所开发的软件正常运行。</w:t>
            </w:r>
          </w:p>
        </w:tc>
      </w:tr>
      <w:tr w14:paraId="4C4A1A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89354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D74D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186</w:t>
            </w:r>
          </w:p>
        </w:tc>
        <w:tc>
          <w:tcPr>
            <w:tcW w:w="6792" w:type="dxa"/>
            <w:tcBorders>
              <w:top w:val="single" w:color="auto" w:sz="4" w:space="0"/>
              <w:left w:val="nil"/>
              <w:bottom w:val="single" w:color="auto" w:sz="4" w:space="0"/>
              <w:right w:val="single" w:color="auto" w:sz="4" w:space="0"/>
            </w:tcBorders>
            <w:vAlign w:val="center"/>
          </w:tcPr>
          <w:p w14:paraId="3AAE22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四、培训要求（编号187至189）</w:t>
            </w:r>
          </w:p>
        </w:tc>
      </w:tr>
      <w:tr w14:paraId="5089B2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1661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2D2661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187</w:t>
            </w:r>
          </w:p>
        </w:tc>
        <w:tc>
          <w:tcPr>
            <w:tcW w:w="6792" w:type="dxa"/>
            <w:tcBorders>
              <w:top w:val="single" w:color="auto" w:sz="4" w:space="0"/>
              <w:left w:val="nil"/>
              <w:bottom w:val="single" w:color="auto" w:sz="4" w:space="0"/>
              <w:right w:val="single" w:color="auto" w:sz="4" w:space="0"/>
            </w:tcBorders>
            <w:vAlign w:val="center"/>
          </w:tcPr>
          <w:p w14:paraId="3826618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1.培训计划：提供完备的培训计划。中标单位必须提供软件实施必需的所有教材和资料，并为本院相关人员提供培训。</w:t>
            </w:r>
          </w:p>
        </w:tc>
      </w:tr>
      <w:tr w14:paraId="6D32576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2BCB7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06539C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188</w:t>
            </w:r>
          </w:p>
        </w:tc>
        <w:tc>
          <w:tcPr>
            <w:tcW w:w="6792" w:type="dxa"/>
            <w:tcBorders>
              <w:top w:val="single" w:color="auto" w:sz="4" w:space="0"/>
              <w:left w:val="nil"/>
              <w:bottom w:val="single" w:color="auto" w:sz="4" w:space="0"/>
              <w:right w:val="single" w:color="auto" w:sz="4" w:space="0"/>
            </w:tcBorders>
            <w:vAlign w:val="center"/>
          </w:tcPr>
          <w:p w14:paraId="06E40D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内容：数据库培训、系统维护及系统应用培训。为用户所提供的其它培训以及投标单位应说明的其它服务。针对不同对象进行不同的培训：IT系统管理员及系统管理员、关键用户、最终用户等。系统软件安装、系统日常维护及使用方法等。</w:t>
            </w:r>
          </w:p>
        </w:tc>
      </w:tr>
      <w:tr w14:paraId="507D00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5AC0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D77C0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189</w:t>
            </w:r>
          </w:p>
        </w:tc>
        <w:tc>
          <w:tcPr>
            <w:tcW w:w="6792" w:type="dxa"/>
            <w:tcBorders>
              <w:top w:val="single" w:color="auto" w:sz="4" w:space="0"/>
              <w:left w:val="nil"/>
              <w:bottom w:val="single" w:color="auto" w:sz="4" w:space="0"/>
              <w:right w:val="single" w:color="auto" w:sz="4" w:space="0"/>
            </w:tcBorders>
            <w:vAlign w:val="center"/>
          </w:tcPr>
          <w:p w14:paraId="5C5637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3.其它培训： 每年可定期向用户方提供系统操作培训、同行业客户管理交流等服务。</w:t>
            </w:r>
          </w:p>
        </w:tc>
      </w:tr>
      <w:tr w14:paraId="5A82FD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965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376F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190</w:t>
            </w:r>
          </w:p>
        </w:tc>
        <w:tc>
          <w:tcPr>
            <w:tcW w:w="6792" w:type="dxa"/>
            <w:tcBorders>
              <w:top w:val="single" w:color="auto" w:sz="4" w:space="0"/>
              <w:left w:val="nil"/>
              <w:bottom w:val="single" w:color="auto" w:sz="4" w:space="0"/>
              <w:right w:val="single" w:color="auto" w:sz="4" w:space="0"/>
            </w:tcBorders>
            <w:vAlign w:val="center"/>
          </w:tcPr>
          <w:p w14:paraId="701685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五、项目实施要求（编号191至194）</w:t>
            </w:r>
          </w:p>
        </w:tc>
      </w:tr>
      <w:tr w14:paraId="1EA0D3F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7E708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EA1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191</w:t>
            </w:r>
          </w:p>
        </w:tc>
        <w:tc>
          <w:tcPr>
            <w:tcW w:w="6792" w:type="dxa"/>
            <w:tcBorders>
              <w:top w:val="single" w:color="auto" w:sz="4" w:space="0"/>
              <w:left w:val="nil"/>
              <w:bottom w:val="single" w:color="auto" w:sz="4" w:space="0"/>
              <w:right w:val="single" w:color="auto" w:sz="4" w:space="0"/>
            </w:tcBorders>
            <w:vAlign w:val="center"/>
          </w:tcPr>
          <w:p w14:paraId="1382F4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完整、可行的实施方案和实施计划。在方案中，除了要有详细的实施计划，还要提供实施团队的组成、实施步骤、风险控制、上线方案、质量保证方案等。实施团队成员应具有在同类项目的实施经历（在后面的实施顾问简历中加以注明）。</w:t>
            </w:r>
          </w:p>
        </w:tc>
      </w:tr>
      <w:tr w14:paraId="5B35488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F82B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D322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192</w:t>
            </w:r>
          </w:p>
        </w:tc>
        <w:tc>
          <w:tcPr>
            <w:tcW w:w="6792" w:type="dxa"/>
            <w:tcBorders>
              <w:top w:val="single" w:color="auto" w:sz="4" w:space="0"/>
              <w:left w:val="nil"/>
              <w:bottom w:val="single" w:color="auto" w:sz="4" w:space="0"/>
              <w:right w:val="single" w:color="auto" w:sz="4" w:space="0"/>
            </w:tcBorders>
            <w:vAlign w:val="center"/>
          </w:tcPr>
          <w:p w14:paraId="49E2CC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2.项目实施团队的要求：（编号193至194）</w:t>
            </w:r>
          </w:p>
        </w:tc>
      </w:tr>
      <w:tr w14:paraId="67AE0A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E268D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E3553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193</w:t>
            </w:r>
          </w:p>
        </w:tc>
        <w:tc>
          <w:tcPr>
            <w:tcW w:w="6792" w:type="dxa"/>
            <w:tcBorders>
              <w:top w:val="single" w:color="auto" w:sz="4" w:space="0"/>
              <w:left w:val="nil"/>
              <w:bottom w:val="single" w:color="auto" w:sz="4" w:space="0"/>
              <w:right w:val="single" w:color="auto" w:sz="4" w:space="0"/>
            </w:tcBorders>
            <w:vAlign w:val="center"/>
          </w:tcPr>
          <w:p w14:paraId="534122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2.1项目经理：具有丰富的产品技术和实施经验，组织团队实施3个医院行业案例及经验， 具备优秀的沟通、分析和解决问题的能力。</w:t>
            </w:r>
          </w:p>
        </w:tc>
      </w:tr>
      <w:tr w14:paraId="0AE55D6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377BA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1422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194</w:t>
            </w:r>
          </w:p>
        </w:tc>
        <w:tc>
          <w:tcPr>
            <w:tcW w:w="6792" w:type="dxa"/>
            <w:tcBorders>
              <w:top w:val="single" w:color="auto" w:sz="4" w:space="0"/>
              <w:left w:val="nil"/>
              <w:bottom w:val="single" w:color="auto" w:sz="4" w:space="0"/>
              <w:right w:val="single" w:color="auto" w:sz="4" w:space="0"/>
            </w:tcBorders>
            <w:vAlign w:val="center"/>
          </w:tcPr>
          <w:p w14:paraId="1B0FAA2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2.2实施顾问：应具有人力资源管理系统建设经验，并参与过2个医院人力资源管理系统项目的实施经验。</w:t>
            </w:r>
          </w:p>
        </w:tc>
      </w:tr>
    </w:tbl>
    <w:p w14:paraId="2542CAFA">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01277573">
      <w:pPr>
        <w:pStyle w:val="13"/>
        <w:ind w:left="0" w:leftChars="0" w:firstLine="0" w:firstLineChars="0"/>
        <w:rPr>
          <w:rFonts w:hint="eastAsia" w:hAnsi="宋体"/>
          <w:sz w:val="24"/>
          <w:szCs w:val="24"/>
        </w:rPr>
      </w:pPr>
    </w:p>
    <w:p w14:paraId="107C8C47">
      <w:pPr>
        <w:pStyle w:val="13"/>
        <w:ind w:left="0" w:leftChars="0" w:firstLine="0" w:firstLineChars="0"/>
        <w:rPr>
          <w:rFonts w:hint="eastAsia" w:hAnsi="宋体"/>
          <w:sz w:val="24"/>
          <w:szCs w:val="24"/>
        </w:rPr>
      </w:pPr>
    </w:p>
    <w:p w14:paraId="6603FE04">
      <w:pPr>
        <w:pStyle w:val="13"/>
        <w:ind w:left="0" w:leftChars="0" w:firstLine="0" w:firstLineChars="0"/>
        <w:rPr>
          <w:rFonts w:hint="eastAsia" w:hAnsi="宋体"/>
          <w:sz w:val="24"/>
          <w:szCs w:val="24"/>
        </w:rPr>
      </w:pPr>
    </w:p>
    <w:p w14:paraId="799A4CF9">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81"/>
        <w:gridCol w:w="1313"/>
        <w:gridCol w:w="915"/>
        <w:gridCol w:w="5874"/>
      </w:tblGrid>
      <w:tr w14:paraId="40A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805" w:type="dxa"/>
            <w:vAlign w:val="center"/>
          </w:tcPr>
          <w:p w14:paraId="6B9137B8">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序号</w:t>
            </w:r>
          </w:p>
        </w:tc>
        <w:tc>
          <w:tcPr>
            <w:tcW w:w="1281" w:type="dxa"/>
            <w:vAlign w:val="center"/>
          </w:tcPr>
          <w:p w14:paraId="480DF469">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评分类别</w:t>
            </w:r>
          </w:p>
        </w:tc>
        <w:tc>
          <w:tcPr>
            <w:tcW w:w="1313" w:type="dxa"/>
            <w:vAlign w:val="center"/>
          </w:tcPr>
          <w:p w14:paraId="3D53B513">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评分因素</w:t>
            </w:r>
          </w:p>
        </w:tc>
        <w:tc>
          <w:tcPr>
            <w:tcW w:w="915" w:type="dxa"/>
            <w:vAlign w:val="center"/>
          </w:tcPr>
          <w:p w14:paraId="2DAD84F9">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分值</w:t>
            </w:r>
          </w:p>
        </w:tc>
        <w:tc>
          <w:tcPr>
            <w:tcW w:w="5874" w:type="dxa"/>
            <w:vAlign w:val="center"/>
          </w:tcPr>
          <w:p w14:paraId="56E5B36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评分标准</w:t>
            </w:r>
          </w:p>
        </w:tc>
      </w:tr>
      <w:tr w14:paraId="2AB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14:paraId="264FE6A0">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1</w:t>
            </w:r>
          </w:p>
        </w:tc>
        <w:tc>
          <w:tcPr>
            <w:tcW w:w="1281" w:type="dxa"/>
            <w:vAlign w:val="center"/>
          </w:tcPr>
          <w:p w14:paraId="6ED30D94">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报价</w:t>
            </w:r>
          </w:p>
          <w:p w14:paraId="7BB20755">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w:t>
            </w:r>
          </w:p>
          <w:p w14:paraId="4D99AC5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w:t>
            </w:r>
            <w:r>
              <w:rPr>
                <w:rFonts w:hint="eastAsia" w:ascii="仿宋_GB2312" w:eastAsia="仿宋_GB2312"/>
                <w:b/>
                <w:bCs/>
                <w:color w:val="0D0D0D"/>
                <w:sz w:val="22"/>
                <w:szCs w:val="21"/>
                <w:lang w:val="en-US" w:eastAsia="zh-CN"/>
              </w:rPr>
              <w:t>10</w:t>
            </w:r>
            <w:r>
              <w:rPr>
                <w:rFonts w:hint="eastAsia" w:ascii="仿宋_GB2312" w:eastAsia="仿宋_GB2312"/>
                <w:b/>
                <w:bCs/>
                <w:color w:val="0D0D0D"/>
                <w:sz w:val="22"/>
                <w:szCs w:val="21"/>
              </w:rPr>
              <w:t>分）</w:t>
            </w:r>
          </w:p>
        </w:tc>
        <w:tc>
          <w:tcPr>
            <w:tcW w:w="1313" w:type="dxa"/>
            <w:vAlign w:val="center"/>
          </w:tcPr>
          <w:p w14:paraId="002F330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投标</w:t>
            </w:r>
          </w:p>
          <w:p w14:paraId="5F134588">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报价</w:t>
            </w:r>
          </w:p>
        </w:tc>
        <w:tc>
          <w:tcPr>
            <w:tcW w:w="915" w:type="dxa"/>
            <w:vAlign w:val="center"/>
          </w:tcPr>
          <w:p w14:paraId="153C8EC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1B442F88">
            <w:pPr>
              <w:spacing w:line="240" w:lineRule="auto"/>
              <w:jc w:val="left"/>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磋商报价得分＝（磋商基准价/最后磋商报价）×1</w:t>
            </w:r>
            <w:r>
              <w:rPr>
                <w:rFonts w:hint="eastAsia" w:ascii="Times New Roman" w:hAnsi="Times New Roman" w:eastAsia="仿宋_GB2312" w:cs="Times New Roman"/>
                <w:color w:val="000000" w:themeColor="text1"/>
                <w:szCs w:val="21"/>
                <w:lang w:val="en-US" w:eastAsia="zh-CN"/>
                <w14:textFill>
                  <w14:solidFill>
                    <w14:schemeClr w14:val="tx1"/>
                  </w14:solidFill>
                </w14:textFill>
              </w:rPr>
              <w:t>0</w:t>
            </w:r>
          </w:p>
          <w:p w14:paraId="73767A83">
            <w:pPr>
              <w:adjustRightInd w:val="0"/>
              <w:snapToGrid w:val="0"/>
              <w:spacing w:line="400" w:lineRule="exact"/>
              <w:textAlignment w:val="baseline"/>
              <w:rPr>
                <w:rFonts w:ascii="仿宋_GB2312" w:eastAsia="仿宋_GB2312"/>
                <w:color w:val="0D0D0D"/>
                <w:sz w:val="22"/>
                <w:szCs w:val="21"/>
              </w:rPr>
            </w:pPr>
            <w:r>
              <w:rPr>
                <w:rFonts w:ascii="Times New Roman" w:hAnsi="Times New Roman" w:eastAsia="仿宋_GB2312" w:cs="Times New Roman"/>
                <w:color w:val="000000" w:themeColor="text1"/>
                <w:szCs w:val="21"/>
                <w14:textFill>
                  <w14:solidFill>
                    <w14:schemeClr w14:val="tx1"/>
                  </w14:solidFill>
                </w14:textFill>
              </w:rPr>
              <w:t>满足磋商文件要求且最后报价最低的供应商的价格为磋商基准价。</w:t>
            </w:r>
          </w:p>
        </w:tc>
      </w:tr>
      <w:tr w14:paraId="7087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EF2FEE4">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2</w:t>
            </w:r>
          </w:p>
        </w:tc>
        <w:tc>
          <w:tcPr>
            <w:tcW w:w="1281" w:type="dxa"/>
            <w:vMerge w:val="restart"/>
            <w:vAlign w:val="center"/>
          </w:tcPr>
          <w:p w14:paraId="792CED2C">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商务</w:t>
            </w:r>
          </w:p>
          <w:p w14:paraId="4D47F266">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评分</w:t>
            </w:r>
          </w:p>
          <w:p w14:paraId="74921A8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b/>
                <w:bCs/>
                <w:sz w:val="22"/>
                <w:szCs w:val="21"/>
              </w:rPr>
              <w:t>（</w:t>
            </w:r>
            <w:r>
              <w:rPr>
                <w:rFonts w:hint="eastAsia" w:ascii="仿宋_GB2312" w:eastAsia="仿宋_GB2312"/>
                <w:b/>
                <w:bCs/>
                <w:sz w:val="22"/>
                <w:szCs w:val="21"/>
                <w:lang w:val="en-US" w:eastAsia="zh-CN"/>
              </w:rPr>
              <w:t>24</w:t>
            </w:r>
            <w:r>
              <w:rPr>
                <w:rFonts w:hint="eastAsia" w:ascii="仿宋_GB2312" w:eastAsia="仿宋_GB2312"/>
                <w:b/>
                <w:bCs/>
                <w:sz w:val="22"/>
                <w:szCs w:val="21"/>
              </w:rPr>
              <w:t>分）</w:t>
            </w:r>
          </w:p>
        </w:tc>
        <w:tc>
          <w:tcPr>
            <w:tcW w:w="1313" w:type="dxa"/>
            <w:vAlign w:val="center"/>
          </w:tcPr>
          <w:p w14:paraId="3D6176F1">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质量保障能力</w:t>
            </w:r>
          </w:p>
        </w:tc>
        <w:tc>
          <w:tcPr>
            <w:tcW w:w="915" w:type="dxa"/>
            <w:vAlign w:val="center"/>
          </w:tcPr>
          <w:p w14:paraId="433D0FDC">
            <w:pPr>
              <w:adjustRightInd w:val="0"/>
              <w:snapToGrid w:val="0"/>
              <w:spacing w:line="400" w:lineRule="exact"/>
              <w:jc w:val="center"/>
              <w:textAlignment w:val="baseline"/>
              <w:rPr>
                <w:rFonts w:ascii="仿宋_GB2312" w:eastAsia="仿宋_GB2312"/>
                <w:sz w:val="22"/>
                <w:szCs w:val="21"/>
              </w:rPr>
            </w:pPr>
            <w:r>
              <w:rPr>
                <w:rFonts w:hint="default" w:ascii="仿宋_GB2312" w:eastAsia="仿宋_GB2312"/>
                <w:sz w:val="22"/>
                <w:szCs w:val="21"/>
                <w:lang w:val="en-US" w:eastAsia="zh-CN"/>
              </w:rPr>
              <w:t>10</w:t>
            </w:r>
            <w:r>
              <w:rPr>
                <w:rFonts w:hint="eastAsia" w:ascii="仿宋_GB2312" w:eastAsia="仿宋_GB2312"/>
                <w:sz w:val="22"/>
                <w:szCs w:val="21"/>
              </w:rPr>
              <w:t>分</w:t>
            </w:r>
          </w:p>
        </w:tc>
        <w:tc>
          <w:tcPr>
            <w:tcW w:w="5874" w:type="dxa"/>
            <w:vAlign w:val="center"/>
          </w:tcPr>
          <w:p w14:paraId="409154DF">
            <w:pPr>
              <w:numPr>
                <w:ilvl w:val="0"/>
                <w:numId w:val="2"/>
              </w:numPr>
              <w:adjustRightInd w:val="0"/>
              <w:snapToGrid w:val="0"/>
              <w:spacing w:line="400" w:lineRule="exact"/>
              <w:rPr>
                <w:rFonts w:hint="eastAsia" w:ascii="仿宋_GB2312" w:eastAsia="仿宋_GB2312" w:hAnsiTheme="minorHAnsi" w:cstheme="minorBidi"/>
                <w:color w:val="auto"/>
                <w:kern w:val="2"/>
                <w:sz w:val="22"/>
                <w:szCs w:val="21"/>
              </w:rPr>
            </w:pPr>
            <w:r>
              <w:rPr>
                <w:rFonts w:hint="eastAsia" w:ascii="仿宋_GB2312" w:eastAsia="仿宋_GB2312" w:hAnsiTheme="minorHAnsi" w:cstheme="minorBidi"/>
                <w:kern w:val="2"/>
                <w:sz w:val="22"/>
                <w:szCs w:val="21"/>
              </w:rPr>
              <w:t>所投产品需支持国产化操作系统、数据库和中间件，提供产品兼容性互认证明，以上三项资质全部具备得</w:t>
            </w:r>
            <w:r>
              <w:rPr>
                <w:rFonts w:hint="eastAsia" w:ascii="仿宋_GB2312" w:eastAsia="仿宋_GB2312" w:hAnsiTheme="minorHAnsi" w:cstheme="minorBidi"/>
                <w:color w:val="auto"/>
                <w:kern w:val="2"/>
                <w:sz w:val="22"/>
                <w:szCs w:val="21"/>
              </w:rPr>
              <w:t>3分，缺少一项不得分。</w:t>
            </w:r>
          </w:p>
          <w:p w14:paraId="75497BF3">
            <w:pPr>
              <w:numPr>
                <w:ilvl w:val="0"/>
                <w:numId w:val="2"/>
              </w:numPr>
              <w:adjustRightInd w:val="0"/>
              <w:snapToGrid w:val="0"/>
              <w:spacing w:line="400" w:lineRule="exact"/>
              <w:rPr>
                <w:rFonts w:hint="eastAsia" w:ascii="仿宋_GB2312" w:eastAsia="仿宋_GB2312" w:hAnsiTheme="minorHAnsi" w:cstheme="minorBidi"/>
                <w:kern w:val="2"/>
                <w:sz w:val="22"/>
                <w:szCs w:val="21"/>
              </w:rPr>
            </w:pPr>
            <w:r>
              <w:rPr>
                <w:rFonts w:hint="eastAsia" w:ascii="仿宋_GB2312" w:eastAsia="仿宋_GB2312" w:hAnsiTheme="minorHAnsi" w:cstheme="minorBidi"/>
                <w:kern w:val="2"/>
                <w:sz w:val="22"/>
                <w:szCs w:val="21"/>
              </w:rPr>
              <w:t>所投产品具有国家级检测中心出具的软件性能测试报告</w:t>
            </w:r>
            <w:r>
              <w:rPr>
                <w:rFonts w:hint="eastAsia" w:ascii="仿宋_GB2312" w:eastAsia="仿宋_GB2312" w:cstheme="minorBidi"/>
                <w:kern w:val="2"/>
                <w:sz w:val="22"/>
                <w:szCs w:val="21"/>
                <w:lang w:val="en-US" w:eastAsia="zh-CN"/>
              </w:rPr>
              <w:t>及</w:t>
            </w:r>
            <w:r>
              <w:rPr>
                <w:rFonts w:hint="eastAsia" w:ascii="仿宋_GB2312" w:eastAsia="仿宋_GB2312" w:hAnsiTheme="minorHAnsi" w:cstheme="minorBidi"/>
                <w:kern w:val="2"/>
                <w:sz w:val="22"/>
                <w:szCs w:val="21"/>
              </w:rPr>
              <w:t>软件安全测评报告，</w:t>
            </w:r>
            <w:r>
              <w:rPr>
                <w:rFonts w:hint="eastAsia" w:ascii="仿宋_GB2312" w:eastAsia="仿宋_GB2312" w:cstheme="minorBidi"/>
                <w:kern w:val="2"/>
                <w:sz w:val="22"/>
                <w:szCs w:val="21"/>
                <w:lang w:val="en-US" w:eastAsia="zh-CN"/>
              </w:rPr>
              <w:t>提供</w:t>
            </w:r>
            <w:r>
              <w:rPr>
                <w:rFonts w:hint="eastAsia" w:ascii="仿宋_GB2312" w:eastAsia="仿宋_GB2312" w:hAnsiTheme="minorHAnsi" w:cstheme="minorBidi"/>
                <w:kern w:val="2"/>
                <w:sz w:val="22"/>
                <w:szCs w:val="21"/>
              </w:rPr>
              <w:t>一项得</w:t>
            </w:r>
            <w:r>
              <w:rPr>
                <w:rFonts w:hint="eastAsia" w:ascii="仿宋_GB2312" w:eastAsia="仿宋_GB2312" w:hAnsiTheme="minorHAnsi" w:cstheme="minorBidi"/>
                <w:kern w:val="2"/>
                <w:sz w:val="22"/>
                <w:szCs w:val="21"/>
                <w:lang w:val="en-US" w:eastAsia="zh-CN"/>
              </w:rPr>
              <w:t>1</w:t>
            </w:r>
            <w:r>
              <w:rPr>
                <w:rFonts w:hint="eastAsia" w:ascii="仿宋_GB2312" w:eastAsia="仿宋_GB2312" w:hAnsiTheme="minorHAnsi" w:cstheme="minorBidi"/>
                <w:kern w:val="2"/>
                <w:sz w:val="22"/>
                <w:szCs w:val="21"/>
              </w:rPr>
              <w:t>分，最高得</w:t>
            </w:r>
            <w:r>
              <w:rPr>
                <w:rFonts w:hint="eastAsia" w:ascii="仿宋_GB2312" w:eastAsia="仿宋_GB2312" w:hAnsiTheme="minorHAnsi" w:cstheme="minorBidi"/>
                <w:kern w:val="2"/>
                <w:sz w:val="22"/>
                <w:szCs w:val="21"/>
                <w:lang w:val="en-US" w:eastAsia="zh-CN"/>
              </w:rPr>
              <w:t>2</w:t>
            </w:r>
            <w:r>
              <w:rPr>
                <w:rFonts w:hint="eastAsia" w:ascii="仿宋_GB2312" w:eastAsia="仿宋_GB2312" w:hAnsiTheme="minorHAnsi" w:cstheme="minorBidi"/>
                <w:kern w:val="2"/>
                <w:sz w:val="22"/>
                <w:szCs w:val="21"/>
              </w:rPr>
              <w:t>分。</w:t>
            </w:r>
            <w:r>
              <w:rPr>
                <w:rFonts w:hint="eastAsia" w:ascii="仿宋_GB2312" w:eastAsia="仿宋_GB2312" w:cstheme="minorBidi"/>
                <w:kern w:val="2"/>
                <w:sz w:val="22"/>
                <w:szCs w:val="21"/>
                <w:lang w:val="en-US" w:eastAsia="zh-CN"/>
              </w:rPr>
              <w:t>未提供不得分；</w:t>
            </w:r>
          </w:p>
          <w:p w14:paraId="217BAA9A">
            <w:pPr>
              <w:numPr>
                <w:ilvl w:val="0"/>
                <w:numId w:val="2"/>
              </w:numPr>
              <w:adjustRightInd w:val="0"/>
              <w:snapToGrid w:val="0"/>
              <w:spacing w:line="400" w:lineRule="exact"/>
              <w:rPr>
                <w:rFonts w:hint="eastAsia" w:ascii="宋体" w:hAnsi="宋体" w:cs="宋体"/>
                <w:kern w:val="0"/>
                <w:sz w:val="21"/>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“医院人事管理系统软件”自主软件著作权证书得</w:t>
            </w:r>
            <w:r>
              <w:rPr>
                <w:rFonts w:hint="eastAsia" w:ascii="仿宋_GB2312" w:eastAsia="仿宋_GB2312"/>
                <w:sz w:val="22"/>
                <w:szCs w:val="21"/>
                <w:lang w:val="en-US" w:eastAsia="zh-CN"/>
              </w:rPr>
              <w:t>1</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2FB3AD79">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lang w:eastAsia="zh-CN"/>
              </w:rPr>
              <w:t>“职称申报和岗位聘用系统”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1BBA0D05">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w:t>
            </w:r>
            <w:r>
              <w:rPr>
                <w:rFonts w:hint="eastAsia" w:ascii="仿宋_GB2312" w:eastAsia="仿宋_GB2312"/>
                <w:sz w:val="22"/>
                <w:szCs w:val="21"/>
                <w:lang w:eastAsia="zh-CN"/>
              </w:rPr>
              <w:t>领导决策分析系统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5FA94903">
            <w:pPr>
              <w:adjustRightInd/>
              <w:snapToGrid/>
              <w:spacing w:line="480" w:lineRule="exact"/>
              <w:rPr>
                <w:rFonts w:hint="eastAsia" w:ascii="宋体" w:hAnsi="宋体" w:eastAsia="宋体" w:cs="宋体"/>
                <w:sz w:val="24"/>
                <w:szCs w:val="24"/>
              </w:rPr>
            </w:pPr>
            <w:r>
              <w:rPr>
                <w:rFonts w:hint="eastAsia" w:eastAsia="仿宋_GB2312"/>
                <w:color w:val="000000" w:themeColor="text1"/>
                <w:szCs w:val="21"/>
                <w:lang w:val="en-US" w:eastAsia="zh-CN"/>
                <w14:textFill>
                  <w14:solidFill>
                    <w14:schemeClr w14:val="tx1"/>
                  </w14:solidFill>
                </w14:textFill>
              </w:rPr>
              <w:t>以上佐证材料</w:t>
            </w:r>
            <w:r>
              <w:rPr>
                <w:rFonts w:hint="eastAsia" w:eastAsia="仿宋_GB2312"/>
                <w:color w:val="000000" w:themeColor="text1"/>
                <w:szCs w:val="21"/>
                <w14:textFill>
                  <w14:solidFill>
                    <w14:schemeClr w14:val="tx1"/>
                  </w14:solidFill>
                </w14:textFill>
              </w:rPr>
              <w:t>需提供有效期内的证书、</w:t>
            </w:r>
            <w:r>
              <w:rPr>
                <w:rFonts w:hint="eastAsia" w:eastAsia="仿宋_GB2312"/>
                <w:color w:val="000000" w:themeColor="text1"/>
                <w:szCs w:val="21"/>
                <w:lang w:val="en-US" w:eastAsia="zh-CN"/>
                <w14:textFill>
                  <w14:solidFill>
                    <w14:schemeClr w14:val="tx1"/>
                  </w14:solidFill>
                </w14:textFill>
              </w:rPr>
              <w:t>证明、</w:t>
            </w:r>
            <w:r>
              <w:rPr>
                <w:rFonts w:hint="eastAsia" w:eastAsia="仿宋_GB2312"/>
                <w:color w:val="000000" w:themeColor="text1"/>
                <w:szCs w:val="21"/>
                <w14:textFill>
                  <w14:solidFill>
                    <w14:schemeClr w14:val="tx1"/>
                  </w14:solidFill>
                </w14:textFill>
              </w:rPr>
              <w:t>报告复印件并加盖公章。</w:t>
            </w:r>
          </w:p>
        </w:tc>
      </w:tr>
      <w:tr w14:paraId="07FF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EF57C5E">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3</w:t>
            </w:r>
          </w:p>
        </w:tc>
        <w:tc>
          <w:tcPr>
            <w:tcW w:w="1281" w:type="dxa"/>
            <w:vMerge w:val="continue"/>
            <w:vAlign w:val="center"/>
          </w:tcPr>
          <w:p w14:paraId="42EECE79">
            <w:pPr>
              <w:adjustRightInd w:val="0"/>
              <w:snapToGrid w:val="0"/>
              <w:spacing w:line="400" w:lineRule="exact"/>
              <w:jc w:val="center"/>
              <w:textAlignment w:val="baseline"/>
              <w:rPr>
                <w:rFonts w:ascii="仿宋_GB2312" w:eastAsia="仿宋_GB2312"/>
                <w:sz w:val="22"/>
                <w:szCs w:val="21"/>
              </w:rPr>
            </w:pPr>
          </w:p>
        </w:tc>
        <w:tc>
          <w:tcPr>
            <w:tcW w:w="1313" w:type="dxa"/>
            <w:vAlign w:val="center"/>
          </w:tcPr>
          <w:p w14:paraId="7F8C360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投标人同类项目业绩案例</w:t>
            </w:r>
          </w:p>
        </w:tc>
        <w:tc>
          <w:tcPr>
            <w:tcW w:w="915" w:type="dxa"/>
            <w:vAlign w:val="center"/>
          </w:tcPr>
          <w:p w14:paraId="4E4C5970">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9</w:t>
            </w:r>
            <w:r>
              <w:rPr>
                <w:rFonts w:hint="eastAsia" w:ascii="仿宋_GB2312" w:eastAsia="仿宋_GB2312"/>
                <w:sz w:val="22"/>
                <w:szCs w:val="21"/>
              </w:rPr>
              <w:t>分</w:t>
            </w:r>
          </w:p>
        </w:tc>
        <w:tc>
          <w:tcPr>
            <w:tcW w:w="5874" w:type="dxa"/>
            <w:vAlign w:val="center"/>
          </w:tcPr>
          <w:p w14:paraId="68246726">
            <w:pPr>
              <w:pStyle w:val="27"/>
              <w:spacing w:line="360" w:lineRule="auto"/>
              <w:ind w:left="60"/>
              <w:rPr>
                <w:rFonts w:hint="eastAsia" w:ascii="仿宋_GB2312" w:eastAsia="仿宋_GB2312" w:hAnsiTheme="minorHAnsi" w:cstheme="minorBidi"/>
                <w:color w:val="auto"/>
                <w:sz w:val="22"/>
                <w:szCs w:val="21"/>
              </w:rPr>
            </w:pPr>
            <w:r>
              <w:rPr>
                <w:rFonts w:hint="eastAsia" w:ascii="仿宋_GB2312" w:eastAsia="仿宋_GB2312" w:hAnsiTheme="minorHAnsi" w:cstheme="minorBidi"/>
                <w:color w:val="auto"/>
                <w:sz w:val="22"/>
                <w:szCs w:val="21"/>
              </w:rPr>
              <w:t>提供</w:t>
            </w:r>
            <w:r>
              <w:rPr>
                <w:rFonts w:hint="eastAsia" w:ascii="仿宋_GB2312" w:eastAsia="仿宋_GB2312" w:hAnsiTheme="minorHAnsi" w:cstheme="minorBidi"/>
                <w:color w:val="auto"/>
                <w:sz w:val="22"/>
                <w:szCs w:val="21"/>
                <w:lang w:val="en-US" w:eastAsia="zh-CN"/>
              </w:rPr>
              <w:t>投标人2022</w:t>
            </w:r>
            <w:r>
              <w:rPr>
                <w:rFonts w:hint="eastAsia" w:ascii="仿宋_GB2312" w:eastAsia="仿宋_GB2312" w:hAnsiTheme="minorHAnsi" w:cstheme="minorBidi"/>
                <w:color w:val="auto"/>
                <w:sz w:val="22"/>
                <w:szCs w:val="21"/>
              </w:rPr>
              <w:t>年</w:t>
            </w:r>
            <w:r>
              <w:rPr>
                <w:rFonts w:hint="eastAsia" w:ascii="仿宋_GB2312" w:eastAsia="仿宋_GB2312" w:hAnsiTheme="minorHAnsi" w:cstheme="minorBidi"/>
                <w:color w:val="auto"/>
                <w:sz w:val="22"/>
                <w:szCs w:val="21"/>
                <w:lang w:val="en-US" w:eastAsia="zh-CN"/>
              </w:rPr>
              <w:t>10</w:t>
            </w:r>
            <w:r>
              <w:rPr>
                <w:rFonts w:hint="eastAsia" w:ascii="仿宋_GB2312" w:eastAsia="仿宋_GB2312" w:hAnsiTheme="minorHAnsi" w:cstheme="minorBidi"/>
                <w:color w:val="auto"/>
                <w:sz w:val="22"/>
                <w:szCs w:val="21"/>
              </w:rPr>
              <w:t>月</w:t>
            </w:r>
            <w:r>
              <w:rPr>
                <w:rFonts w:hint="eastAsia" w:ascii="仿宋_GB2312" w:eastAsia="仿宋_GB2312" w:hAnsiTheme="minorHAnsi" w:cstheme="minorBidi"/>
                <w:color w:val="auto"/>
                <w:sz w:val="22"/>
                <w:szCs w:val="21"/>
                <w:lang w:val="en-US" w:eastAsia="zh-CN"/>
              </w:rPr>
              <w:t>1</w:t>
            </w:r>
            <w:r>
              <w:rPr>
                <w:rFonts w:hint="eastAsia" w:ascii="仿宋_GB2312" w:eastAsia="仿宋_GB2312" w:hAnsiTheme="minorHAnsi" w:cstheme="minorBidi"/>
                <w:color w:val="auto"/>
                <w:sz w:val="22"/>
                <w:szCs w:val="21"/>
              </w:rPr>
              <w:t>日至今</w:t>
            </w:r>
            <w:r>
              <w:rPr>
                <w:rFonts w:hint="eastAsia" w:ascii="仿宋_GB2312" w:eastAsia="仿宋_GB2312" w:hAnsiTheme="minorHAnsi" w:cstheme="minorBidi"/>
                <w:color w:val="auto"/>
                <w:sz w:val="22"/>
                <w:szCs w:val="21"/>
                <w:lang w:val="en-US" w:eastAsia="zh-CN"/>
              </w:rPr>
              <w:t>同类医院</w:t>
            </w:r>
            <w:r>
              <w:rPr>
                <w:rFonts w:hint="eastAsia" w:ascii="仿宋_GB2312" w:eastAsia="仿宋_GB2312" w:hAnsiTheme="minorHAnsi" w:cstheme="minorBidi"/>
                <w:color w:val="auto"/>
                <w:sz w:val="22"/>
                <w:szCs w:val="21"/>
                <w:lang w:eastAsia="zh-CN"/>
              </w:rPr>
              <w:t>人力资源管理信息系统或人事管理信息系统项目</w:t>
            </w:r>
            <w:r>
              <w:rPr>
                <w:rFonts w:hint="eastAsia" w:ascii="仿宋_GB2312" w:eastAsia="仿宋_GB2312" w:hAnsiTheme="minorHAnsi" w:cstheme="minorBidi"/>
                <w:color w:val="auto"/>
                <w:sz w:val="22"/>
                <w:szCs w:val="21"/>
              </w:rPr>
              <w:t>业绩证明材料进行评审，每提供一份真实有效</w:t>
            </w:r>
            <w:r>
              <w:rPr>
                <w:rFonts w:hint="eastAsia" w:ascii="仿宋_GB2312" w:eastAsia="仿宋_GB2312" w:hAnsiTheme="minorHAnsi" w:cstheme="minorBidi"/>
                <w:color w:val="auto"/>
                <w:sz w:val="22"/>
                <w:szCs w:val="21"/>
                <w:lang w:val="en-US" w:eastAsia="zh-CN"/>
              </w:rPr>
              <w:t>业绩证明材料</w:t>
            </w:r>
            <w:r>
              <w:rPr>
                <w:rFonts w:hint="eastAsia" w:ascii="仿宋_GB2312" w:eastAsia="仿宋_GB2312" w:hAnsiTheme="minorHAnsi" w:cstheme="minorBidi"/>
                <w:color w:val="auto"/>
                <w:sz w:val="22"/>
                <w:szCs w:val="21"/>
              </w:rPr>
              <w:t>得</w:t>
            </w:r>
            <w:r>
              <w:rPr>
                <w:rFonts w:hint="eastAsia" w:ascii="仿宋_GB2312" w:eastAsia="仿宋_GB2312" w:hAnsiTheme="minorHAnsi" w:cstheme="minorBidi"/>
                <w:color w:val="auto"/>
                <w:sz w:val="22"/>
                <w:szCs w:val="21"/>
                <w:lang w:val="en-US" w:eastAsia="zh-CN"/>
              </w:rPr>
              <w:t>3</w:t>
            </w:r>
            <w:r>
              <w:rPr>
                <w:rFonts w:hint="eastAsia" w:ascii="仿宋_GB2312" w:eastAsia="仿宋_GB2312" w:hAnsiTheme="minorHAnsi" w:cstheme="minorBidi"/>
                <w:color w:val="auto"/>
                <w:sz w:val="22"/>
                <w:szCs w:val="21"/>
              </w:rPr>
              <w:t>分，本项最高得</w:t>
            </w:r>
            <w:r>
              <w:rPr>
                <w:rFonts w:hint="eastAsia" w:ascii="仿宋_GB2312" w:eastAsia="仿宋_GB2312" w:hAnsiTheme="minorHAnsi" w:cstheme="minorBidi"/>
                <w:color w:val="auto"/>
                <w:sz w:val="22"/>
                <w:szCs w:val="21"/>
                <w:lang w:val="en-US" w:eastAsia="zh-CN"/>
              </w:rPr>
              <w:t>9</w:t>
            </w:r>
            <w:r>
              <w:rPr>
                <w:rFonts w:hint="eastAsia" w:ascii="仿宋_GB2312" w:eastAsia="仿宋_GB2312" w:hAnsiTheme="minorHAnsi" w:cstheme="minorBidi"/>
                <w:color w:val="auto"/>
                <w:sz w:val="22"/>
                <w:szCs w:val="21"/>
              </w:rPr>
              <w:t>分。</w:t>
            </w:r>
          </w:p>
          <w:p w14:paraId="7C0B0518">
            <w:pPr>
              <w:pStyle w:val="27"/>
              <w:spacing w:line="360" w:lineRule="auto"/>
              <w:ind w:left="60"/>
              <w:rPr>
                <w:rFonts w:hint="eastAsia" w:ascii="仿宋_GB2312" w:eastAsia="仿宋_GB2312"/>
                <w:sz w:val="22"/>
                <w:szCs w:val="21"/>
              </w:rPr>
            </w:pPr>
            <w:r>
              <w:rPr>
                <w:rFonts w:hint="eastAsia" w:ascii="仿宋_GB2312" w:eastAsia="仿宋_GB2312" w:hAnsiTheme="minorHAnsi" w:cstheme="minorBidi"/>
                <w:color w:val="auto"/>
                <w:sz w:val="22"/>
                <w:szCs w:val="21"/>
              </w:rPr>
              <w:t>注：(上述业绩均需提供业绩合同扫描件和中标通知书扫描件，并加盖投标人单位公章， 日期以合同签订时间为准</w:t>
            </w:r>
            <w:r>
              <w:rPr>
                <w:rFonts w:hint="eastAsia" w:ascii="仿宋_GB2312" w:eastAsia="仿宋_GB2312" w:hAnsiTheme="minorHAnsi" w:cstheme="minorBidi"/>
                <w:color w:val="auto"/>
                <w:sz w:val="22"/>
                <w:szCs w:val="21"/>
                <w:lang w:eastAsia="zh-CN"/>
              </w:rPr>
              <w:t>，</w:t>
            </w:r>
            <w:r>
              <w:rPr>
                <w:rFonts w:hint="eastAsia" w:ascii="仿宋_GB2312" w:eastAsia="仿宋_GB2312" w:hAnsiTheme="minorHAnsi" w:cstheme="minorBidi"/>
                <w:color w:val="auto"/>
                <w:sz w:val="22"/>
                <w:szCs w:val="21"/>
              </w:rPr>
              <w:t>同一业主的续签合同视为1份业绩不重复计算。)</w:t>
            </w:r>
          </w:p>
        </w:tc>
      </w:tr>
      <w:tr w14:paraId="79AF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05" w:type="dxa"/>
            <w:vAlign w:val="center"/>
          </w:tcPr>
          <w:p w14:paraId="4CB4DB4F">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4</w:t>
            </w:r>
          </w:p>
        </w:tc>
        <w:tc>
          <w:tcPr>
            <w:tcW w:w="1281" w:type="dxa"/>
            <w:vMerge w:val="continue"/>
            <w:vAlign w:val="center"/>
          </w:tcPr>
          <w:p w14:paraId="418C8A7F">
            <w:pPr>
              <w:adjustRightInd w:val="0"/>
              <w:snapToGrid w:val="0"/>
              <w:spacing w:line="360" w:lineRule="auto"/>
              <w:jc w:val="center"/>
              <w:textAlignment w:val="baseline"/>
              <w:rPr>
                <w:rFonts w:ascii="仿宋_GB2312" w:eastAsia="仿宋_GB2312"/>
                <w:b/>
                <w:bCs/>
                <w:sz w:val="22"/>
                <w:szCs w:val="21"/>
              </w:rPr>
            </w:pPr>
          </w:p>
        </w:tc>
        <w:tc>
          <w:tcPr>
            <w:tcW w:w="1313" w:type="dxa"/>
            <w:vAlign w:val="center"/>
          </w:tcPr>
          <w:p w14:paraId="09AE4626">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rPr>
              <w:t>售后服务</w:t>
            </w:r>
          </w:p>
          <w:p w14:paraId="38FA62EB">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color w:val="0D0D0D"/>
                <w:sz w:val="22"/>
                <w:szCs w:val="21"/>
                <w:lang w:eastAsia="zh-CN"/>
              </w:rPr>
              <w:t>保障</w:t>
            </w:r>
          </w:p>
        </w:tc>
        <w:tc>
          <w:tcPr>
            <w:tcW w:w="915" w:type="dxa"/>
            <w:vAlign w:val="center"/>
          </w:tcPr>
          <w:p w14:paraId="0ED71F06">
            <w:pPr>
              <w:adjustRightInd w:val="0"/>
              <w:snapToGrid w:val="0"/>
              <w:spacing w:line="400" w:lineRule="exact"/>
              <w:ind w:firstLine="220" w:firstLineChars="100"/>
              <w:jc w:val="center"/>
              <w:textAlignment w:val="baseline"/>
              <w:rPr>
                <w:rFonts w:ascii="仿宋_GB2312" w:eastAsia="仿宋_GB2312"/>
                <w:sz w:val="22"/>
                <w:szCs w:val="21"/>
              </w:rPr>
            </w:pPr>
            <w:r>
              <w:rPr>
                <w:rFonts w:hint="eastAsia" w:ascii="仿宋_GB2312" w:eastAsia="仿宋_GB2312"/>
                <w:sz w:val="22"/>
                <w:szCs w:val="21"/>
                <w:lang w:val="en-US" w:eastAsia="zh-CN"/>
              </w:rPr>
              <w:t>5</w:t>
            </w:r>
            <w:r>
              <w:rPr>
                <w:rFonts w:hint="default" w:ascii="仿宋_GB2312" w:eastAsia="仿宋_GB2312"/>
                <w:sz w:val="22"/>
                <w:szCs w:val="21"/>
              </w:rPr>
              <w:t>分</w:t>
            </w:r>
          </w:p>
        </w:tc>
        <w:tc>
          <w:tcPr>
            <w:tcW w:w="5874" w:type="dxa"/>
            <w:vAlign w:val="center"/>
          </w:tcPr>
          <w:p w14:paraId="50564AFC">
            <w:pPr>
              <w:pStyle w:val="27"/>
              <w:adjustRightInd w:val="0"/>
              <w:snapToGrid w:val="0"/>
              <w:spacing w:line="360" w:lineRule="auto"/>
              <w:ind w:left="60"/>
              <w:rPr>
                <w:rFonts w:hint="eastAsia" w:ascii="仿宋_GB2312" w:eastAsia="仿宋_GB2312" w:hAnsiTheme="minorHAnsi" w:cstheme="minorBidi"/>
                <w:color w:val="000000" w:themeColor="text1"/>
                <w:sz w:val="22"/>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w:t>
            </w:r>
            <w:r>
              <w:rPr>
                <w:rFonts w:hint="eastAsia" w:ascii="仿宋_GB2312" w:eastAsia="仿宋_GB2312" w:hAnsiTheme="minorHAnsi" w:cstheme="minorBidi"/>
                <w:color w:val="000000" w:themeColor="text1"/>
                <w:sz w:val="22"/>
                <w:szCs w:val="21"/>
                <w14:textFill>
                  <w14:solidFill>
                    <w14:schemeClr w14:val="tx1"/>
                  </w14:solidFill>
                </w14:textFill>
              </w:rPr>
              <w:t>根据</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投标人</w:t>
            </w:r>
            <w:r>
              <w:rPr>
                <w:rFonts w:hint="eastAsia" w:ascii="仿宋_GB2312" w:eastAsia="仿宋_GB2312" w:hAnsiTheme="minorHAnsi" w:cstheme="minorBidi"/>
                <w:color w:val="000000" w:themeColor="text1"/>
                <w:sz w:val="22"/>
                <w:szCs w:val="21"/>
                <w14:textFill>
                  <w14:solidFill>
                    <w14:schemeClr w14:val="tx1"/>
                  </w14:solidFill>
                </w14:textFill>
              </w:rPr>
              <w:t>提供的售后服务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方案</w:t>
            </w:r>
            <w:r>
              <w:rPr>
                <w:rFonts w:hint="eastAsia" w:ascii="仿宋_GB2312" w:eastAsia="仿宋_GB2312" w:hAnsiTheme="minorHAnsi" w:cstheme="minorBidi"/>
                <w:color w:val="000000" w:themeColor="text1"/>
                <w:sz w:val="22"/>
                <w:szCs w:val="21"/>
                <w14:textFill>
                  <w14:solidFill>
                    <w14:schemeClr w14:val="tx1"/>
                  </w14:solidFill>
                </w14:textFill>
              </w:rPr>
              <w:t>，包括：服务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计划</w:t>
            </w:r>
            <w:r>
              <w:rPr>
                <w:rFonts w:hint="eastAsia" w:ascii="仿宋_GB2312" w:eastAsia="仿宋_GB2312" w:hAnsiTheme="minorHAnsi" w:cstheme="minorBidi"/>
                <w:color w:val="000000" w:themeColor="text1"/>
                <w:sz w:val="22"/>
                <w:szCs w:val="21"/>
                <w14:textFill>
                  <w14:solidFill>
                    <w14:schemeClr w14:val="tx1"/>
                  </w14:solidFill>
                </w14:textFill>
              </w:rPr>
              <w:t>响应时间、服务内容、服务体系</w:t>
            </w:r>
            <w:r>
              <w:rPr>
                <w:rFonts w:hint="eastAsia" w:ascii="仿宋_GB2312" w:eastAsia="仿宋_GB2312" w:hAnsiTheme="minorHAnsi" w:cstheme="minorBidi"/>
                <w:color w:val="000000" w:themeColor="text1"/>
                <w:sz w:val="22"/>
                <w:szCs w:val="21"/>
                <w:lang w:eastAsia="zh-CN"/>
                <w14:textFill>
                  <w14:solidFill>
                    <w14:schemeClr w14:val="tx1"/>
                  </w14:solidFill>
                </w14:textFill>
              </w:rPr>
              <w:t>、服务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方式、响应时间</w:t>
            </w:r>
            <w:r>
              <w:rPr>
                <w:rFonts w:hint="eastAsia" w:ascii="仿宋_GB2312" w:eastAsia="仿宋_GB2312" w:hAnsiTheme="minorHAnsi" w:cstheme="minorBidi"/>
                <w:color w:val="000000" w:themeColor="text1"/>
                <w:sz w:val="22"/>
                <w:szCs w:val="21"/>
                <w:lang w:eastAsia="zh-CN"/>
                <w14:textFill>
                  <w14:solidFill>
                    <w14:schemeClr w14:val="tx1"/>
                  </w14:solidFill>
                </w14:textFill>
              </w:rPr>
              <w:t>响应保障机制等</w:t>
            </w:r>
            <w:r>
              <w:rPr>
                <w:rFonts w:hint="eastAsia" w:ascii="仿宋_GB2312" w:eastAsia="仿宋_GB2312" w:hAnsiTheme="minorHAnsi" w:cstheme="minorBidi"/>
                <w:color w:val="000000" w:themeColor="text1"/>
                <w:sz w:val="22"/>
                <w:szCs w:val="21"/>
                <w14:textFill>
                  <w14:solidFill>
                    <w14:schemeClr w14:val="tx1"/>
                  </w14:solidFill>
                </w14:textFill>
              </w:rPr>
              <w:t>进行综合评价</w:t>
            </w:r>
            <w:r>
              <w:rPr>
                <w:rFonts w:hint="eastAsia" w:ascii="仿宋_GB2312" w:eastAsia="仿宋_GB2312" w:hAnsiTheme="minorHAnsi" w:cstheme="minorBidi"/>
                <w:sz w:val="22"/>
                <w:szCs w:val="21"/>
                <w:lang w:eastAsia="zh-CN"/>
              </w:rPr>
              <w:t>。</w:t>
            </w:r>
            <w:r>
              <w:rPr>
                <w:rFonts w:hint="eastAsia" w:ascii="仿宋_GB2312" w:eastAsia="仿宋_GB2312" w:hAnsiTheme="minorHAnsi" w:cstheme="minorBidi"/>
                <w:color w:val="000000" w:themeColor="text1"/>
                <w:sz w:val="22"/>
                <w:szCs w:val="21"/>
                <w14:textFill>
                  <w14:solidFill>
                    <w14:schemeClr w14:val="tx1"/>
                  </w14:solidFill>
                </w14:textFill>
              </w:rPr>
              <w:t>方案内容合理全面，实用性强、能完全满足或优于项目要求的得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3</w:t>
            </w:r>
            <w:r>
              <w:rPr>
                <w:rFonts w:hint="eastAsia" w:ascii="仿宋_GB2312" w:eastAsia="仿宋_GB2312" w:hAnsiTheme="minorHAnsi" w:cstheme="minorBidi"/>
                <w:color w:val="000000" w:themeColor="text1"/>
                <w:sz w:val="22"/>
                <w:szCs w:val="21"/>
                <w14:textFill>
                  <w14:solidFill>
                    <w14:schemeClr w14:val="tx1"/>
                  </w14:solidFill>
                </w14:textFill>
              </w:rPr>
              <w:t>分；方案相对完整、具实用性、基本满足项目要求的得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w:t>
            </w:r>
            <w:r>
              <w:rPr>
                <w:rFonts w:hint="eastAsia" w:ascii="仿宋_GB2312" w:eastAsia="仿宋_GB2312" w:hAnsiTheme="minorHAnsi" w:cstheme="minorBidi"/>
                <w:color w:val="000000" w:themeColor="text1"/>
                <w:sz w:val="22"/>
                <w:szCs w:val="21"/>
                <w14:textFill>
                  <w14:solidFill>
                    <w14:schemeClr w14:val="tx1"/>
                  </w14:solidFill>
                </w14:textFill>
              </w:rPr>
              <w:t>分；方案存在缺项或实用性弱、不能全部满足项目要求的得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14:textFill>
                  <w14:solidFill>
                    <w14:schemeClr w14:val="tx1"/>
                  </w14:solidFill>
                </w14:textFill>
              </w:rPr>
              <w:t>分，不提供的不得分。</w:t>
            </w:r>
          </w:p>
          <w:p w14:paraId="1856D02F">
            <w:pPr>
              <w:pStyle w:val="27"/>
              <w:adjustRightInd w:val="0"/>
              <w:snapToGrid w:val="0"/>
              <w:ind w:left="60"/>
              <w:rPr>
                <w:rFonts w:hint="eastAsia" w:ascii="仿宋_GB2312" w:eastAsia="仿宋_GB2312" w:hAnsiTheme="minorHAnsi" w:cstheme="minorBidi"/>
                <w:color w:val="000000" w:themeColor="text1"/>
                <w:sz w:val="22"/>
                <w:szCs w:val="21"/>
                <w:lang w:eastAsia="zh-CN"/>
                <w14:textFill>
                  <w14:solidFill>
                    <w14:schemeClr w14:val="tx1"/>
                  </w14:solidFill>
                </w14:textFill>
              </w:rPr>
            </w:pP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2、投标人在</w:t>
            </w:r>
            <w:r>
              <w:rPr>
                <w:rFonts w:hint="eastAsia" w:ascii="仿宋_GB2312" w:eastAsia="仿宋_GB2312" w:hAnsiTheme="minorHAnsi" w:cstheme="minorBidi"/>
                <w:color w:val="000000" w:themeColor="text1"/>
                <w:sz w:val="22"/>
                <w:szCs w:val="21"/>
                <w:lang w:eastAsia="zh-CN"/>
                <w14:textFill>
                  <w14:solidFill>
                    <w14:schemeClr w14:val="tx1"/>
                  </w14:solidFill>
                </w14:textFill>
              </w:rPr>
              <w:t>免费维护期内，</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提供一名技术人员驻场服务人员，</w:t>
            </w:r>
            <w:r>
              <w:rPr>
                <w:rFonts w:hint="eastAsia" w:ascii="仿宋_GB2312" w:eastAsia="仿宋_GB2312" w:hAnsiTheme="minorHAnsi" w:cstheme="minorBidi"/>
                <w:color w:val="000000" w:themeColor="text1"/>
                <w:sz w:val="22"/>
                <w:szCs w:val="21"/>
                <w:lang w:eastAsia="zh-CN"/>
                <w14:textFill>
                  <w14:solidFill>
                    <w14:schemeClr w14:val="tx1"/>
                  </w14:solidFill>
                </w14:textFill>
              </w:rPr>
              <w:t>负责对甲方系统的技术支持服务。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提供得2分，</w:t>
            </w:r>
            <w:r>
              <w:rPr>
                <w:rFonts w:hint="eastAsia" w:ascii="仿宋_GB2312" w:eastAsia="仿宋_GB2312" w:hAnsiTheme="minorHAnsi" w:cstheme="minorBidi"/>
                <w:sz w:val="22"/>
                <w:szCs w:val="21"/>
              </w:rPr>
              <w:t>否则不得分</w:t>
            </w:r>
            <w:r>
              <w:rPr>
                <w:rFonts w:hint="eastAsia" w:ascii="仿宋_GB2312" w:eastAsia="仿宋_GB2312" w:hAnsiTheme="minorHAnsi" w:cstheme="minorBidi"/>
                <w:sz w:val="22"/>
                <w:szCs w:val="21"/>
                <w:lang w:eastAsia="zh-CN"/>
              </w:rPr>
              <w:t>。</w:t>
            </w:r>
          </w:p>
          <w:p w14:paraId="0D495AD1">
            <w:pPr>
              <w:pStyle w:val="27"/>
              <w:adjustRightInd w:val="0"/>
              <w:snapToGrid w:val="0"/>
              <w:ind w:left="60"/>
              <w:rPr>
                <w:rFonts w:hint="default" w:eastAsia="仿宋_GB2312"/>
                <w:color w:val="000000" w:themeColor="text1"/>
                <w:szCs w:val="21"/>
                <w:lang w:val="en-US" w:eastAsia="zh-CN"/>
                <w14:textFill>
                  <w14:solidFill>
                    <w14:schemeClr w14:val="tx1"/>
                  </w14:solidFill>
                </w14:textFill>
              </w:rPr>
            </w:pPr>
            <w:r>
              <w:rPr>
                <w:rFonts w:hint="eastAsia" w:ascii="仿宋_GB2312" w:eastAsia="仿宋_GB2312" w:hAnsiTheme="minorHAnsi" w:cstheme="minorBidi"/>
                <w:sz w:val="22"/>
                <w:szCs w:val="21"/>
                <w:lang w:val="en-US" w:eastAsia="zh-CN"/>
              </w:rPr>
              <w:t>注：驻场服务人员由用户从本项目实施团队中指定</w:t>
            </w:r>
            <w:r>
              <w:rPr>
                <w:rFonts w:hint="eastAsia" w:ascii="仿宋_GB2312" w:eastAsia="仿宋_GB2312"/>
                <w:sz w:val="22"/>
                <w:szCs w:val="21"/>
                <w:lang w:val="en-US" w:eastAsia="zh-CN"/>
              </w:rPr>
              <w:t>。</w:t>
            </w:r>
          </w:p>
        </w:tc>
      </w:tr>
      <w:tr w14:paraId="3F52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1797264E">
            <w:pPr>
              <w:adjustRightInd w:val="0"/>
              <w:snapToGrid w:val="0"/>
              <w:spacing w:line="360" w:lineRule="auto"/>
              <w:jc w:val="center"/>
              <w:textAlignment w:val="baseline"/>
              <w:rPr>
                <w:rFonts w:hint="eastAsia" w:ascii="仿宋_GB2312" w:eastAsia="仿宋_GB2312"/>
                <w:sz w:val="22"/>
                <w:szCs w:val="21"/>
                <w:lang w:val="en-US" w:eastAsia="zh-CN"/>
              </w:rPr>
            </w:pPr>
            <w:r>
              <w:rPr>
                <w:rFonts w:hint="eastAsia" w:ascii="仿宋_GB2312" w:eastAsia="仿宋_GB2312"/>
                <w:sz w:val="22"/>
                <w:szCs w:val="21"/>
                <w:lang w:val="en-US" w:eastAsia="zh-CN"/>
              </w:rPr>
              <w:t>5</w:t>
            </w:r>
          </w:p>
        </w:tc>
        <w:tc>
          <w:tcPr>
            <w:tcW w:w="1281" w:type="dxa"/>
            <w:vMerge w:val="restart"/>
            <w:vAlign w:val="center"/>
          </w:tcPr>
          <w:p w14:paraId="495EDA26">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b/>
                <w:bCs/>
                <w:sz w:val="22"/>
                <w:szCs w:val="21"/>
              </w:rPr>
              <w:t>技术评分（</w:t>
            </w:r>
            <w:r>
              <w:rPr>
                <w:rFonts w:hint="eastAsia" w:ascii="仿宋_GB2312" w:eastAsia="仿宋_GB2312"/>
                <w:b/>
                <w:bCs/>
                <w:sz w:val="22"/>
                <w:szCs w:val="21"/>
                <w:lang w:val="en-US" w:eastAsia="zh-CN"/>
              </w:rPr>
              <w:t>66</w:t>
            </w:r>
            <w:r>
              <w:rPr>
                <w:rFonts w:hint="eastAsia" w:ascii="仿宋_GB2312" w:eastAsia="仿宋_GB2312"/>
                <w:b/>
                <w:bCs/>
                <w:sz w:val="22"/>
                <w:szCs w:val="21"/>
              </w:rPr>
              <w:t>分）</w:t>
            </w:r>
          </w:p>
        </w:tc>
        <w:tc>
          <w:tcPr>
            <w:tcW w:w="1313" w:type="dxa"/>
            <w:vAlign w:val="center"/>
          </w:tcPr>
          <w:p w14:paraId="71274187">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lang w:eastAsia="zh-CN"/>
              </w:rPr>
              <w:t>系统</w:t>
            </w:r>
            <w:r>
              <w:rPr>
                <w:rFonts w:hint="eastAsia" w:ascii="仿宋_GB2312" w:eastAsia="仿宋_GB2312"/>
                <w:color w:val="0D0D0D"/>
                <w:sz w:val="22"/>
                <w:szCs w:val="21"/>
              </w:rPr>
              <w:t>整体</w:t>
            </w:r>
            <w:r>
              <w:rPr>
                <w:rFonts w:hint="eastAsia" w:ascii="仿宋_GB2312" w:eastAsia="仿宋_GB2312"/>
                <w:color w:val="0D0D0D"/>
                <w:sz w:val="22"/>
                <w:szCs w:val="21"/>
                <w:lang w:eastAsia="zh-CN"/>
              </w:rPr>
              <w:t>技术</w:t>
            </w:r>
            <w:r>
              <w:rPr>
                <w:rFonts w:hint="eastAsia" w:ascii="仿宋_GB2312" w:eastAsia="仿宋_GB2312"/>
                <w:color w:val="0D0D0D"/>
                <w:sz w:val="22"/>
                <w:szCs w:val="21"/>
              </w:rPr>
              <w:t>解决方案</w:t>
            </w:r>
          </w:p>
        </w:tc>
        <w:tc>
          <w:tcPr>
            <w:tcW w:w="915" w:type="dxa"/>
            <w:vAlign w:val="center"/>
          </w:tcPr>
          <w:p w14:paraId="013E10C3">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21分</w:t>
            </w:r>
          </w:p>
        </w:tc>
        <w:tc>
          <w:tcPr>
            <w:tcW w:w="5874" w:type="dxa"/>
            <w:vAlign w:val="center"/>
          </w:tcPr>
          <w:p w14:paraId="482A4815">
            <w:pPr>
              <w:numPr>
                <w:ilvl w:val="-1"/>
                <w:numId w:val="0"/>
              </w:numPr>
              <w:adjustRightInd w:val="0"/>
              <w:snapToGrid w:val="0"/>
              <w:spacing w:line="360" w:lineRule="auto"/>
              <w:rPr>
                <w:rFonts w:hint="eastAsia" w:ascii="仿宋_GB2312" w:eastAsia="仿宋_GB2312"/>
                <w:color w:val="000000" w:themeColor="text1"/>
                <w:sz w:val="22"/>
                <w:szCs w:val="21"/>
                <w:lang w:eastAsia="zh-CN"/>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投标人需提供对项目现状、项目建设目标、项目建设原则、建设内容、总体框架及整体规划等关键内容的理解与分析</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阐述清晰、完整</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能完全满足或优于项目要求</w:t>
            </w:r>
            <w:r>
              <w:rPr>
                <w:rFonts w:hint="eastAsia" w:ascii="仿宋_GB2312" w:eastAsia="仿宋_GB2312"/>
                <w:color w:val="000000" w:themeColor="text1"/>
                <w:sz w:val="22"/>
                <w:szCs w:val="21"/>
                <w:lang w:val="en-US"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r>
              <w:rPr>
                <w:rFonts w:hint="eastAsia" w:ascii="仿宋_GB2312" w:eastAsia="仿宋_GB2312"/>
                <w:color w:val="000000" w:themeColor="text1"/>
                <w:sz w:val="22"/>
                <w:szCs w:val="21"/>
                <w:lang w:eastAsia="zh-CN"/>
                <w14:textFill>
                  <w14:solidFill>
                    <w14:schemeClr w14:val="tx1"/>
                  </w14:solidFill>
                </w14:textFill>
              </w:rPr>
              <w:t>；</w:t>
            </w:r>
          </w:p>
          <w:p w14:paraId="5F77A1F1">
            <w:pPr>
              <w:numPr>
                <w:ilvl w:val="-1"/>
                <w:numId w:val="0"/>
              </w:numPr>
              <w:adjustRightInd w:val="0"/>
              <w:snapToGrid w:val="0"/>
              <w:spacing w:line="360" w:lineRule="auto"/>
              <w:rPr>
                <w:rFonts w:hint="default"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求，得2分；</w:t>
            </w:r>
            <w:r>
              <w:rPr>
                <w:rFonts w:hint="eastAsia" w:ascii="仿宋_GB2312" w:eastAsia="仿宋_GB2312"/>
                <w:color w:val="000000" w:themeColor="text1"/>
                <w:sz w:val="22"/>
                <w:szCs w:val="21"/>
                <w14:textFill>
                  <w14:solidFill>
                    <w14:schemeClr w14:val="tx1"/>
                  </w14:solidFill>
                </w14:textFill>
              </w:rPr>
              <w:t>不能全部满足项目</w:t>
            </w:r>
            <w:r>
              <w:rPr>
                <w:rFonts w:hint="eastAsia" w:ascii="仿宋_GB2312" w:eastAsia="仿宋_GB2312"/>
                <w:color w:val="000000" w:themeColor="text1"/>
                <w:sz w:val="22"/>
                <w:szCs w:val="21"/>
                <w:lang w:val="en-US" w:eastAsia="zh-CN"/>
                <w14:textFill>
                  <w14:solidFill>
                    <w14:schemeClr w14:val="tx1"/>
                  </w14:solidFill>
                </w14:textFill>
              </w:rPr>
              <w:t>需</w:t>
            </w:r>
            <w:r>
              <w:rPr>
                <w:rFonts w:hint="eastAsia" w:ascii="仿宋_GB2312" w:eastAsia="仿宋_GB2312"/>
                <w:color w:val="000000" w:themeColor="text1"/>
                <w:sz w:val="22"/>
                <w:szCs w:val="21"/>
                <w14:textFill>
                  <w14:solidFill>
                    <w14:schemeClr w14:val="tx1"/>
                  </w14:solidFill>
                </w14:textFill>
              </w:rPr>
              <w:t>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w:t>
            </w:r>
            <w:r>
              <w:rPr>
                <w:rFonts w:hint="eastAsia" w:ascii="仿宋_GB2312" w:eastAsia="仿宋_GB2312"/>
                <w:color w:val="000000" w:themeColor="text1"/>
                <w:sz w:val="22"/>
                <w:szCs w:val="21"/>
                <w:lang w:val="en-US" w:eastAsia="zh-CN"/>
                <w14:textFill>
                  <w14:solidFill>
                    <w14:schemeClr w14:val="tx1"/>
                  </w14:solidFill>
                </w14:textFill>
              </w:rPr>
              <w:t>满足项目需求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111A9594">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技术架构先进、成熟和可扩展性强，平台架构应具有较高的灵活性、易用性、适应性。投标人需详细阐述技术架构设计，内容应包含但不限于技术路线、系统架构、技术架构、系统关键技术、系统性能指标分析、安全解决方案、数据迁移方案等。提供方案者得基础分</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258B93CC">
            <w:pPr>
              <w:numPr>
                <w:ilvl w:val="-1"/>
                <w:numId w:val="0"/>
              </w:numPr>
              <w:adjustRightInd w:val="0"/>
              <w:snapToGrid w:val="0"/>
              <w:spacing w:line="360" w:lineRule="auto"/>
              <w:rPr>
                <w:rFonts w:hint="eastAsia" w:ascii="仿宋_GB2312" w:eastAsia="仿宋_GB2312"/>
                <w:b/>
                <w:bCs/>
                <w:color w:val="000000" w:themeColor="text1"/>
                <w:sz w:val="22"/>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0232138F">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方案内容合理全面、实用性强、能完全满足或优于项目要求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4A855B24">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方案相对完整、具实用性</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分；</w:t>
            </w:r>
          </w:p>
          <w:p w14:paraId="6DE68055">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方案存在缺项或实用性弱、不能全部满足项目要求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不提供</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66961BFA">
            <w:pPr>
              <w:adjustRightInd w:val="0"/>
              <w:snapToGrid w:val="0"/>
              <w:spacing w:line="360" w:lineRule="auto"/>
              <w:rPr>
                <w:rFonts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w:t>
            </w:r>
            <w:r>
              <w:rPr>
                <w:rFonts w:hint="eastAsia" w:eastAsia="仿宋_GB2312"/>
                <w:color w:val="000000" w:themeColor="text1"/>
                <w:szCs w:val="21"/>
                <w14:textFill>
                  <w14:solidFill>
                    <w14:schemeClr w14:val="tx1"/>
                  </w14:solidFill>
                </w14:textFill>
              </w:rPr>
              <w:t>、提供客户化平台（要求指标体系、各种报表、各种业务模板、各种查询条件、统计分析条件、计算公式、人事异动流程</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lang w:val="en-US" w:eastAsia="zh-CN"/>
                <w14:textFill>
                  <w14:solidFill>
                    <w14:schemeClr w14:val="tx1"/>
                  </w14:solidFill>
                </w14:textFill>
              </w:rPr>
              <w:t>用户界面）</w:t>
            </w:r>
            <w:r>
              <w:rPr>
                <w:rFonts w:hint="eastAsia" w:eastAsia="仿宋_GB2312"/>
                <w:color w:val="000000" w:themeColor="text1"/>
                <w:szCs w:val="21"/>
                <w14:textFill>
                  <w14:solidFill>
                    <w14:schemeClr w14:val="tx1"/>
                  </w14:solidFill>
                </w14:textFill>
              </w:rPr>
              <w:t>用户可以自定义</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客户化平台的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p w14:paraId="40D15AE0">
            <w:pPr>
              <w:numPr>
                <w:ilvl w:val="255"/>
                <w:numId w:val="0"/>
              </w:numPr>
              <w:adjustRightInd w:val="0"/>
              <w:snapToGrid w:val="0"/>
              <w:spacing w:line="360" w:lineRule="auto"/>
              <w:rPr>
                <w:rFonts w:hint="default"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具有系统集成与开发平台，支持与医院集成平台及其它相关业务系统整合，能够根据医院的业务需求快速进行二次开发。</w:t>
            </w:r>
            <w:r>
              <w:rPr>
                <w:rFonts w:hint="eastAsia" w:eastAsia="仿宋_GB2312"/>
                <w:color w:val="000000" w:themeColor="text1"/>
                <w:szCs w:val="21"/>
                <w:lang w:val="en-US" w:eastAsia="zh-CN"/>
                <w14:textFill>
                  <w14:solidFill>
                    <w14:schemeClr w14:val="tx1"/>
                  </w14:solidFill>
                </w14:textFill>
              </w:rPr>
              <w:t>满足需求得4分；部分满足或者不满足不得分。</w:t>
            </w:r>
          </w:p>
          <w:p w14:paraId="200A9D3B">
            <w:pPr>
              <w:numPr>
                <w:ilvl w:val="0"/>
                <w:numId w:val="0"/>
              </w:numPr>
              <w:adjustRightInd w:val="0"/>
              <w:snapToGrid w:val="0"/>
              <w:spacing w:line="360" w:lineRule="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5</w:t>
            </w:r>
            <w:r>
              <w:rPr>
                <w:rFonts w:hint="eastAsia" w:eastAsia="仿宋_GB2312"/>
                <w:color w:val="000000" w:themeColor="text1"/>
                <w:szCs w:val="21"/>
                <w14:textFill>
                  <w14:solidFill>
                    <w14:schemeClr w14:val="tx1"/>
                  </w14:solidFill>
                </w14:textFill>
              </w:rPr>
              <w:t>、提供易学易用的</w:t>
            </w:r>
            <w:r>
              <w:rPr>
                <w:rFonts w:hint="eastAsia" w:eastAsia="仿宋_GB2312"/>
                <w:color w:val="000000" w:themeColor="text1"/>
                <w:szCs w:val="21"/>
                <w:lang w:eastAsia="zh-CN"/>
                <w14:textFill>
                  <w14:solidFill>
                    <w14:schemeClr w14:val="tx1"/>
                  </w14:solidFill>
                </w14:textFill>
              </w:rPr>
              <w:t>表格设计平台</w:t>
            </w:r>
            <w:r>
              <w:rPr>
                <w:rFonts w:hint="eastAsia" w:eastAsia="仿宋_GB2312"/>
                <w:color w:val="000000" w:themeColor="text1"/>
                <w:szCs w:val="21"/>
                <w14:textFill>
                  <w14:solidFill>
                    <w14:schemeClr w14:val="tx1"/>
                  </w14:solidFill>
                </w14:textFill>
              </w:rPr>
              <w:t>，用户可灵活绘制各类登记表、花名册、业务模板、统计报表</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各类表格绘制风格统一</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操作简单</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并能够根据需要由业务用户自行调整，无需厂商二次开发</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表格设计平台的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tc>
      </w:tr>
      <w:tr w14:paraId="720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206D0D67">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sz w:val="22"/>
                <w:szCs w:val="21"/>
                <w:lang w:val="en-US" w:eastAsia="zh-CN"/>
              </w:rPr>
              <w:t>6</w:t>
            </w:r>
          </w:p>
        </w:tc>
        <w:tc>
          <w:tcPr>
            <w:tcW w:w="1281" w:type="dxa"/>
            <w:vMerge w:val="continue"/>
            <w:vAlign w:val="center"/>
          </w:tcPr>
          <w:p w14:paraId="342C30A3">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23885BB5">
            <w:pPr>
              <w:adjustRightInd w:val="0"/>
              <w:snapToGrid w:val="0"/>
              <w:spacing w:line="360" w:lineRule="auto"/>
              <w:jc w:val="center"/>
              <w:textAlignment w:val="baseline"/>
              <w:rPr>
                <w:rFonts w:hint="default" w:ascii="仿宋_GB2312" w:eastAsia="仿宋_GB2312"/>
                <w:color w:val="0D0D0D"/>
                <w:sz w:val="22"/>
                <w:szCs w:val="21"/>
                <w:lang w:val="en-US" w:eastAsia="zh-CN"/>
              </w:rPr>
            </w:pPr>
            <w:r>
              <w:rPr>
                <w:rFonts w:hint="eastAsia" w:ascii="仿宋_GB2312" w:eastAsia="仿宋_GB2312"/>
                <w:color w:val="0D0D0D"/>
                <w:sz w:val="22"/>
                <w:szCs w:val="21"/>
                <w:lang w:val="en-US" w:eastAsia="zh-CN"/>
              </w:rPr>
              <w:t>一般技术参数（标“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项）</w:t>
            </w:r>
          </w:p>
        </w:tc>
        <w:tc>
          <w:tcPr>
            <w:tcW w:w="915" w:type="dxa"/>
            <w:vAlign w:val="center"/>
          </w:tcPr>
          <w:p w14:paraId="7AF90EDB">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30</w:t>
            </w:r>
            <w:r>
              <w:rPr>
                <w:rFonts w:hint="eastAsia" w:ascii="仿宋_GB2312" w:eastAsia="仿宋_GB2312"/>
                <w:sz w:val="22"/>
                <w:szCs w:val="21"/>
              </w:rPr>
              <w:t>分</w:t>
            </w:r>
          </w:p>
        </w:tc>
        <w:tc>
          <w:tcPr>
            <w:tcW w:w="5874" w:type="dxa"/>
            <w:vAlign w:val="center"/>
          </w:tcPr>
          <w:p w14:paraId="75A99101">
            <w:pPr>
              <w:adjustRightInd w:val="0"/>
              <w:snapToGrid w:val="0"/>
              <w:spacing w:line="360" w:lineRule="auto"/>
              <w:rPr>
                <w:rFonts w:hint="eastAsia" w:ascii="仿宋_GB2312" w:eastAsia="仿宋_GB2312"/>
                <w:sz w:val="22"/>
                <w:szCs w:val="21"/>
              </w:rPr>
            </w:pPr>
            <w:r>
              <w:rPr>
                <w:rFonts w:hint="eastAsia" w:ascii="仿宋_GB2312" w:eastAsia="仿宋_GB2312" w:cstheme="minorBidi"/>
                <w:sz w:val="22"/>
                <w:szCs w:val="21"/>
                <w:lang w:val="en-US" w:eastAsia="zh-CN"/>
              </w:rPr>
              <w:t>所有标“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”项一般技术参数指标完全响应招标文件要求的所有技术参数（标“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”项）全部满足得30分，每有一项不满足或负偏离扣1.5分，分值</w:t>
            </w:r>
            <w:r>
              <w:rPr>
                <w:rFonts w:hint="eastAsia" w:ascii="仿宋_GB2312" w:eastAsia="仿宋_GB2312"/>
                <w:sz w:val="22"/>
                <w:szCs w:val="21"/>
              </w:rPr>
              <w:t>扣完为止</w:t>
            </w:r>
            <w:r>
              <w:rPr>
                <w:rFonts w:hint="eastAsia" w:ascii="仿宋_GB2312" w:eastAsia="仿宋_GB2312"/>
                <w:sz w:val="22"/>
                <w:szCs w:val="21"/>
                <w:lang w:eastAsia="zh-CN"/>
              </w:rPr>
              <w:t>。</w:t>
            </w:r>
          </w:p>
        </w:tc>
      </w:tr>
      <w:tr w14:paraId="183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66024649">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7</w:t>
            </w:r>
          </w:p>
        </w:tc>
        <w:tc>
          <w:tcPr>
            <w:tcW w:w="1281" w:type="dxa"/>
            <w:vMerge w:val="continue"/>
            <w:vAlign w:val="center"/>
          </w:tcPr>
          <w:p w14:paraId="09162246">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7CB3196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eastAsia="zh-CN"/>
              </w:rPr>
              <w:t>实施团队</w:t>
            </w:r>
          </w:p>
        </w:tc>
        <w:tc>
          <w:tcPr>
            <w:tcW w:w="915" w:type="dxa"/>
            <w:vAlign w:val="center"/>
          </w:tcPr>
          <w:p w14:paraId="1850F618">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5分</w:t>
            </w:r>
          </w:p>
        </w:tc>
        <w:tc>
          <w:tcPr>
            <w:tcW w:w="5874" w:type="dxa"/>
            <w:vAlign w:val="center"/>
          </w:tcPr>
          <w:p w14:paraId="6086F319">
            <w:pPr>
              <w:numPr>
                <w:ilvl w:val="0"/>
                <w:numId w:val="0"/>
              </w:numPr>
              <w:adjustRightInd w:val="0"/>
              <w:snapToGrid w:val="0"/>
              <w:spacing w:line="360" w:lineRule="auto"/>
              <w:jc w:val="left"/>
              <w:rPr>
                <w:rFonts w:hint="eastAsia" w:ascii="仿宋_GB2312" w:eastAsia="仿宋_GB2312"/>
                <w:color w:val="auto"/>
                <w:sz w:val="22"/>
                <w:szCs w:val="21"/>
              </w:rPr>
            </w:pPr>
            <w:r>
              <w:rPr>
                <w:rFonts w:hint="eastAsia" w:ascii="仿宋_GB2312" w:eastAsia="仿宋_GB2312"/>
                <w:color w:val="auto"/>
                <w:sz w:val="22"/>
                <w:szCs w:val="21"/>
              </w:rPr>
              <w:t>1.项目经理：具有5年(含)以上同类或类似项目建设经验</w:t>
            </w:r>
            <w:r>
              <w:rPr>
                <w:rFonts w:hint="eastAsia" w:ascii="仿宋_GB2312" w:eastAsia="仿宋_GB2312"/>
                <w:sz w:val="22"/>
                <w:szCs w:val="21"/>
                <w:lang w:val="en-US" w:eastAsia="zh-CN"/>
              </w:rPr>
              <w:t>且</w:t>
            </w:r>
            <w:r>
              <w:rPr>
                <w:rFonts w:hint="eastAsia" w:ascii="仿宋_GB2312" w:eastAsia="仿宋_GB2312"/>
                <w:color w:val="auto"/>
                <w:sz w:val="22"/>
                <w:szCs w:val="21"/>
              </w:rPr>
              <w:t>主导</w:t>
            </w:r>
            <w:r>
              <w:rPr>
                <w:rFonts w:hint="eastAsia" w:ascii="仿宋_GB2312" w:eastAsia="仿宋_GB2312"/>
                <w:sz w:val="22"/>
                <w:szCs w:val="21"/>
                <w:lang w:val="en-US" w:eastAsia="zh-CN"/>
              </w:rPr>
              <w:t>过</w:t>
            </w:r>
            <w:r>
              <w:rPr>
                <w:rFonts w:hint="eastAsia" w:ascii="仿宋_GB2312" w:eastAsia="仿宋_GB2312"/>
                <w:color w:val="auto"/>
                <w:sz w:val="22"/>
                <w:szCs w:val="21"/>
              </w:rPr>
              <w:t>3个以上</w:t>
            </w:r>
            <w:r>
              <w:rPr>
                <w:rFonts w:hint="eastAsia" w:ascii="仿宋_GB2312" w:eastAsia="仿宋_GB2312"/>
                <w:color w:val="auto"/>
                <w:sz w:val="22"/>
                <w:szCs w:val="21"/>
                <w:lang w:val="en-US" w:eastAsia="zh-CN"/>
              </w:rPr>
              <w:t>公立医院人事管理系统</w:t>
            </w:r>
            <w:r>
              <w:rPr>
                <w:rFonts w:hint="eastAsia" w:ascii="仿宋_GB2312" w:eastAsia="仿宋_GB2312"/>
                <w:color w:val="auto"/>
                <w:sz w:val="22"/>
                <w:szCs w:val="21"/>
              </w:rPr>
              <w:t>项目建设经验(需提供项目验收报告或客户证明材料)；项目实施期间项目经理不得随意更换且须全程驻采购人要求地点实施（需提供承诺函并加盖投标人单位公章）。上述2项同时提供得</w:t>
            </w:r>
            <w:r>
              <w:rPr>
                <w:rFonts w:hint="eastAsia" w:ascii="仿宋_GB2312" w:eastAsia="仿宋_GB2312"/>
                <w:color w:val="auto"/>
                <w:sz w:val="22"/>
                <w:szCs w:val="21"/>
                <w:lang w:val="en-US" w:eastAsia="zh-CN"/>
              </w:rPr>
              <w:t>3</w:t>
            </w:r>
            <w:r>
              <w:rPr>
                <w:rFonts w:hint="eastAsia" w:ascii="仿宋_GB2312" w:eastAsia="仿宋_GB2312"/>
                <w:color w:val="auto"/>
                <w:sz w:val="22"/>
                <w:szCs w:val="21"/>
              </w:rPr>
              <w:t>分，提供不全或不提供的不得分。</w:t>
            </w:r>
          </w:p>
          <w:p w14:paraId="627C6EB8">
            <w:pPr>
              <w:adjustRightInd w:val="0"/>
              <w:snapToGrid w:val="0"/>
              <w:spacing w:line="360" w:lineRule="auto"/>
              <w:jc w:val="left"/>
              <w:rPr>
                <w:rFonts w:hint="eastAsia" w:ascii="仿宋_GB2312" w:eastAsia="仿宋_GB2312"/>
                <w:color w:val="0D0D0D"/>
                <w:sz w:val="22"/>
                <w:szCs w:val="21"/>
              </w:rPr>
            </w:pPr>
            <w:r>
              <w:rPr>
                <w:rFonts w:hint="eastAsia" w:ascii="仿宋_GB2312" w:eastAsia="仿宋_GB2312"/>
                <w:color w:val="auto"/>
                <w:sz w:val="22"/>
                <w:szCs w:val="21"/>
              </w:rPr>
              <w:t xml:space="preserve"> 2.</w:t>
            </w:r>
            <w:r>
              <w:rPr>
                <w:rFonts w:hint="eastAsia" w:ascii="仿宋_GB2312" w:eastAsia="仿宋_GB2312"/>
                <w:color w:val="0D0D0D"/>
                <w:sz w:val="22"/>
                <w:szCs w:val="21"/>
              </w:rPr>
              <w:t>项目成员(除项目经理外至少</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人）：应具有3年(含)以上 同类或类似项目建设经验，参与2个以上</w:t>
            </w:r>
            <w:r>
              <w:rPr>
                <w:rFonts w:hint="eastAsia" w:ascii="仿宋_GB2312" w:eastAsia="仿宋_GB2312" w:hAnsiTheme="minorHAnsi" w:cstheme="minorBidi"/>
                <w:color w:val="0D0D0D"/>
                <w:sz w:val="22"/>
                <w:szCs w:val="21"/>
                <w:lang w:val="en-US" w:eastAsia="zh-CN"/>
              </w:rPr>
              <w:t>医院人力资源管理系统项目的实施经验</w:t>
            </w:r>
            <w:r>
              <w:rPr>
                <w:rFonts w:hint="eastAsia" w:ascii="仿宋_GB2312" w:eastAsia="仿宋_GB2312"/>
                <w:color w:val="0D0D0D"/>
                <w:sz w:val="22"/>
                <w:szCs w:val="21"/>
                <w:lang w:eastAsia="zh-CN"/>
              </w:rPr>
              <w:t>，</w:t>
            </w:r>
            <w:r>
              <w:rPr>
                <w:rFonts w:hint="eastAsia" w:ascii="仿宋_GB2312" w:eastAsia="仿宋_GB2312"/>
                <w:color w:val="0D0D0D"/>
                <w:sz w:val="22"/>
                <w:szCs w:val="21"/>
              </w:rPr>
              <w:t>项目实施期间项目组成员须驻场实施。（需提供项目组成员工作证明材料和 驻场实施承诺函并加盖投标人单位公章），提供得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分，提供不全或不提</w:t>
            </w:r>
          </w:p>
          <w:p w14:paraId="5660034E">
            <w:pPr>
              <w:adjustRightInd w:val="0"/>
              <w:snapToGrid w:val="0"/>
              <w:spacing w:line="360" w:lineRule="auto"/>
              <w:jc w:val="left"/>
              <w:rPr>
                <w:rFonts w:hint="eastAsia" w:ascii="仿宋_GB2312" w:eastAsia="仿宋_GB2312"/>
                <w:sz w:val="22"/>
                <w:szCs w:val="21"/>
              </w:rPr>
            </w:pPr>
            <w:r>
              <w:rPr>
                <w:rFonts w:hint="eastAsia" w:ascii="仿宋_GB2312" w:eastAsia="仿宋_GB2312"/>
                <w:color w:val="0D0D0D"/>
                <w:sz w:val="22"/>
                <w:szCs w:val="21"/>
              </w:rPr>
              <w:t>供的不得分。</w:t>
            </w:r>
          </w:p>
        </w:tc>
      </w:tr>
      <w:tr w14:paraId="48D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77B7E078">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val="en-US" w:eastAsia="zh-CN"/>
              </w:rPr>
              <w:t>8</w:t>
            </w:r>
          </w:p>
        </w:tc>
        <w:tc>
          <w:tcPr>
            <w:tcW w:w="1281" w:type="dxa"/>
            <w:vMerge w:val="continue"/>
            <w:vAlign w:val="center"/>
          </w:tcPr>
          <w:p w14:paraId="71F01D6C">
            <w:pPr>
              <w:adjustRightInd w:val="0"/>
              <w:snapToGrid w:val="0"/>
              <w:spacing w:line="360" w:lineRule="auto"/>
              <w:jc w:val="center"/>
              <w:textAlignment w:val="baseline"/>
              <w:rPr>
                <w:rFonts w:ascii="仿宋_GB2312" w:eastAsia="仿宋_GB2312"/>
                <w:color w:val="0D0D0D"/>
                <w:sz w:val="22"/>
                <w:szCs w:val="21"/>
              </w:rPr>
            </w:pPr>
          </w:p>
        </w:tc>
        <w:tc>
          <w:tcPr>
            <w:tcW w:w="1313" w:type="dxa"/>
            <w:vAlign w:val="center"/>
          </w:tcPr>
          <w:p w14:paraId="6C6F75D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rPr>
              <w:t>项目实施及管理</w:t>
            </w:r>
            <w:r>
              <w:rPr>
                <w:rFonts w:hint="eastAsia" w:ascii="仿宋_GB2312" w:eastAsia="仿宋_GB2312"/>
                <w:color w:val="0D0D0D"/>
                <w:sz w:val="22"/>
                <w:szCs w:val="21"/>
                <w:lang w:eastAsia="zh-CN"/>
              </w:rPr>
              <w:t>方案</w:t>
            </w:r>
          </w:p>
        </w:tc>
        <w:tc>
          <w:tcPr>
            <w:tcW w:w="915" w:type="dxa"/>
            <w:vAlign w:val="center"/>
          </w:tcPr>
          <w:p w14:paraId="25B4F1B8">
            <w:pPr>
              <w:adjustRightInd w:val="0"/>
              <w:snapToGrid w:val="0"/>
              <w:spacing w:line="360" w:lineRule="auto"/>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01EB982A">
            <w:pPr>
              <w:adjustRightInd w:val="0"/>
              <w:snapToGrid w:val="0"/>
              <w:spacing w:line="360" w:lineRule="auto"/>
              <w:rPr>
                <w:rFonts w:hint="eastAsia" w:ascii="仿宋_GB2312" w:eastAsia="仿宋_GB2312"/>
                <w:color w:val="0D0D0D"/>
                <w:sz w:val="22"/>
                <w:szCs w:val="21"/>
                <w:lang w:val="en-US" w:eastAsia="zh-CN"/>
              </w:rPr>
            </w:pPr>
            <w:r>
              <w:rPr>
                <w:rFonts w:hint="eastAsia" w:ascii="仿宋_GB2312" w:eastAsia="仿宋_GB2312"/>
                <w:color w:val="0D0D0D"/>
                <w:sz w:val="22"/>
                <w:szCs w:val="21"/>
              </w:rPr>
              <w:t>投标</w:t>
            </w:r>
            <w:r>
              <w:rPr>
                <w:rFonts w:hint="eastAsia" w:ascii="仿宋_GB2312" w:eastAsia="仿宋_GB2312"/>
                <w:color w:val="0D0D0D"/>
                <w:sz w:val="22"/>
                <w:szCs w:val="21"/>
                <w:lang w:val="en-US" w:eastAsia="zh-CN"/>
              </w:rPr>
              <w:t>人需</w:t>
            </w:r>
            <w:r>
              <w:rPr>
                <w:rFonts w:hint="eastAsia" w:ascii="仿宋_GB2312" w:eastAsia="仿宋_GB2312"/>
                <w:color w:val="0D0D0D"/>
                <w:sz w:val="22"/>
                <w:szCs w:val="21"/>
              </w:rPr>
              <w:t>提供项目实施方案</w:t>
            </w:r>
            <w:r>
              <w:rPr>
                <w:rFonts w:hint="eastAsia" w:ascii="仿宋_GB2312" w:eastAsia="仿宋_GB2312"/>
                <w:color w:val="0D0D0D"/>
                <w:sz w:val="22"/>
                <w:szCs w:val="21"/>
                <w:lang w:eastAsia="zh-CN"/>
              </w:rPr>
              <w:t>，</w:t>
            </w:r>
            <w:r>
              <w:rPr>
                <w:rFonts w:hint="eastAsia" w:ascii="仿宋_GB2312" w:eastAsia="仿宋_GB2312"/>
                <w:color w:val="0D0D0D"/>
                <w:sz w:val="22"/>
                <w:szCs w:val="21"/>
              </w:rPr>
              <w:t>包含但不限于实施思路、人员分工、实施计划、实施步骤、风险控制、上线方案、验收方案、质量保障方案等内容。</w:t>
            </w:r>
            <w:r>
              <w:rPr>
                <w:rFonts w:hint="eastAsia" w:ascii="仿宋_GB2312" w:eastAsia="仿宋_GB2312"/>
                <w:color w:val="0D0D0D"/>
                <w:sz w:val="22"/>
                <w:szCs w:val="21"/>
                <w:lang w:val="en-US" w:eastAsia="zh-CN"/>
              </w:rPr>
              <w:t>提供方案者得基础分7分。</w:t>
            </w:r>
          </w:p>
          <w:p w14:paraId="7BF06841">
            <w:pPr>
              <w:adjustRightInd w:val="0"/>
              <w:snapToGrid w:val="0"/>
              <w:spacing w:line="360" w:lineRule="auto"/>
              <w:rPr>
                <w:rFonts w:hint="eastAsia" w:ascii="仿宋_GB2312" w:eastAsia="仿宋_GB2312"/>
                <w:color w:val="0D0D0D"/>
                <w:sz w:val="22"/>
                <w:szCs w:val="21"/>
              </w:rPr>
            </w:pPr>
            <w:r>
              <w:rPr>
                <w:rFonts w:hint="eastAsia" w:ascii="仿宋_GB2312" w:eastAsia="仿宋_GB2312"/>
                <w:b/>
                <w:bCs/>
                <w:color w:val="0D0D0D"/>
                <w:sz w:val="22"/>
                <w:szCs w:val="21"/>
                <w:lang w:val="en-US" w:eastAsia="zh-CN"/>
              </w:rPr>
              <w:t>额外加分标准：</w:t>
            </w:r>
            <w:r>
              <w:rPr>
                <w:rFonts w:hint="eastAsia" w:ascii="仿宋_GB2312" w:eastAsia="仿宋_GB2312"/>
                <w:color w:val="0D0D0D"/>
                <w:sz w:val="22"/>
                <w:szCs w:val="21"/>
              </w:rPr>
              <w:t xml:space="preserve"> </w:t>
            </w:r>
          </w:p>
          <w:p w14:paraId="3624E627">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方案内容合理全面、实用性强、能完全满足或优于项目要求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3</w:t>
            </w:r>
            <w:r>
              <w:rPr>
                <w:rFonts w:hint="eastAsia" w:ascii="仿宋_GB2312" w:eastAsia="仿宋_GB2312"/>
                <w:color w:val="0D0D0D"/>
                <w:sz w:val="22"/>
                <w:szCs w:val="21"/>
              </w:rPr>
              <w:t>分；</w:t>
            </w:r>
          </w:p>
          <w:p w14:paraId="497AD20D">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方案相对完整、具实用性</w:t>
            </w:r>
            <w:r>
              <w:rPr>
                <w:rFonts w:hint="eastAsia" w:ascii="仿宋_GB2312" w:eastAsia="仿宋_GB2312"/>
                <w:color w:val="0D0D0D"/>
                <w:sz w:val="22"/>
                <w:szCs w:val="21"/>
                <w:lang w:eastAsia="zh-CN"/>
              </w:rPr>
              <w:t>，</w:t>
            </w:r>
            <w:r>
              <w:rPr>
                <w:rFonts w:hint="eastAsia" w:ascii="仿宋_GB2312" w:eastAsia="仿宋_GB2312"/>
                <w:color w:val="0D0D0D"/>
                <w:sz w:val="22"/>
                <w:szCs w:val="21"/>
              </w:rPr>
              <w:t>基本满足项目要</w:t>
            </w:r>
            <w:r>
              <w:rPr>
                <w:rFonts w:hint="eastAsia" w:ascii="仿宋_GB2312" w:eastAsia="仿宋_GB2312"/>
                <w:color w:val="0D0D0D"/>
                <w:sz w:val="22"/>
                <w:szCs w:val="21"/>
                <w:lang w:val="en-US" w:eastAsia="zh-CN"/>
              </w:rPr>
              <w:t>求，</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w:t>
            </w:r>
          </w:p>
          <w:p w14:paraId="20072161">
            <w:pPr>
              <w:adjustRightInd w:val="0"/>
              <w:snapToGrid w:val="0"/>
              <w:spacing w:line="360" w:lineRule="auto"/>
              <w:rPr>
                <w:rFonts w:ascii="仿宋_GB2312" w:eastAsia="仿宋_GB2312"/>
                <w:color w:val="0D0D0D"/>
                <w:sz w:val="22"/>
                <w:szCs w:val="21"/>
              </w:rPr>
            </w:pPr>
            <w:r>
              <w:rPr>
                <w:rFonts w:hint="eastAsia" w:ascii="仿宋_GB2312" w:eastAsia="仿宋_GB2312"/>
                <w:color w:val="0D0D0D"/>
                <w:sz w:val="22"/>
                <w:szCs w:val="21"/>
              </w:rPr>
              <w:t>方案存在缺项或实用性弱、不能全部满足项目要求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1</w:t>
            </w:r>
            <w:r>
              <w:rPr>
                <w:rFonts w:hint="eastAsia" w:ascii="仿宋_GB2312" w:eastAsia="仿宋_GB2312"/>
                <w:color w:val="0D0D0D"/>
                <w:sz w:val="22"/>
                <w:szCs w:val="21"/>
              </w:rPr>
              <w:t>分; 不提供</w:t>
            </w:r>
            <w:r>
              <w:rPr>
                <w:rFonts w:hint="eastAsia" w:ascii="仿宋_GB2312" w:eastAsia="仿宋_GB2312"/>
                <w:color w:val="0D0D0D"/>
                <w:sz w:val="22"/>
                <w:szCs w:val="21"/>
                <w:lang w:eastAsia="zh-CN"/>
              </w:rPr>
              <w:t>，</w:t>
            </w:r>
            <w:r>
              <w:rPr>
                <w:rFonts w:hint="eastAsia" w:ascii="仿宋_GB2312" w:eastAsia="仿宋_GB2312"/>
                <w:color w:val="0D0D0D"/>
                <w:sz w:val="22"/>
                <w:szCs w:val="21"/>
              </w:rPr>
              <w:t>不得分。</w:t>
            </w:r>
          </w:p>
        </w:tc>
      </w:tr>
    </w:tbl>
    <w:p w14:paraId="5F3085C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0233A072">
      <w:pPr>
        <w:rPr>
          <w:rFonts w:ascii="宋体" w:hAnsi="宋体" w:eastAsia="宋体"/>
          <w:sz w:val="24"/>
          <w:szCs w:val="24"/>
          <w:lang w:val="zh-CN"/>
        </w:rPr>
      </w:pPr>
    </w:p>
    <w:p w14:paraId="0B0BF7F5">
      <w:pPr>
        <w:rPr>
          <w:rFonts w:ascii="宋体" w:hAnsi="宋体" w:eastAsia="宋体"/>
          <w:sz w:val="24"/>
          <w:szCs w:val="24"/>
          <w:lang w:val="zh-CN"/>
        </w:rPr>
      </w:pPr>
    </w:p>
    <w:p w14:paraId="5193CC66">
      <w:pPr>
        <w:rPr>
          <w:rFonts w:ascii="宋体" w:hAnsi="宋体" w:eastAsia="宋体"/>
          <w:sz w:val="24"/>
          <w:szCs w:val="24"/>
          <w:lang w:val="zh-CN"/>
        </w:rPr>
      </w:pPr>
    </w:p>
    <w:p w14:paraId="48F915CA">
      <w:pPr>
        <w:rPr>
          <w:rFonts w:ascii="宋体" w:hAnsi="宋体" w:eastAsia="宋体"/>
          <w:sz w:val="24"/>
          <w:szCs w:val="24"/>
          <w:lang w:val="zh-CN"/>
        </w:rPr>
      </w:pPr>
    </w:p>
    <w:p w14:paraId="1D2BAB12">
      <w:pPr>
        <w:rPr>
          <w:rFonts w:ascii="宋体" w:hAnsi="宋体" w:eastAsia="宋体"/>
          <w:sz w:val="24"/>
          <w:szCs w:val="24"/>
          <w:lang w:val="zh-CN"/>
        </w:rPr>
      </w:pPr>
    </w:p>
    <w:p w14:paraId="4FB57BA3">
      <w:pPr>
        <w:rPr>
          <w:rFonts w:ascii="宋体" w:hAnsi="宋体" w:eastAsia="宋体"/>
          <w:sz w:val="24"/>
          <w:szCs w:val="24"/>
          <w:lang w:val="zh-CN"/>
        </w:rPr>
      </w:pPr>
    </w:p>
    <w:p w14:paraId="10777FC6">
      <w:pPr>
        <w:rPr>
          <w:rFonts w:ascii="宋体" w:hAnsi="宋体" w:eastAsia="宋体"/>
          <w:sz w:val="24"/>
          <w:szCs w:val="24"/>
          <w:lang w:val="zh-CN"/>
        </w:rPr>
      </w:pPr>
    </w:p>
    <w:p w14:paraId="12A2EA7F">
      <w:pPr>
        <w:rPr>
          <w:rFonts w:ascii="宋体" w:hAnsi="宋体" w:eastAsia="宋体"/>
          <w:sz w:val="24"/>
          <w:szCs w:val="24"/>
          <w:lang w:val="zh-CN"/>
        </w:rPr>
      </w:pPr>
    </w:p>
    <w:p w14:paraId="621C2AF6">
      <w:pPr>
        <w:rPr>
          <w:rFonts w:ascii="宋体" w:hAnsi="宋体" w:eastAsia="宋体"/>
          <w:sz w:val="24"/>
          <w:szCs w:val="24"/>
          <w:lang w:val="zh-CN"/>
        </w:rPr>
      </w:pPr>
    </w:p>
    <w:p w14:paraId="3B8A0BAE">
      <w:pPr>
        <w:rPr>
          <w:rFonts w:ascii="宋体" w:hAnsi="宋体" w:eastAsia="宋体"/>
          <w:sz w:val="24"/>
          <w:szCs w:val="24"/>
          <w:lang w:val="zh-CN"/>
        </w:rPr>
      </w:pPr>
    </w:p>
    <w:p w14:paraId="1A828324">
      <w:pPr>
        <w:rPr>
          <w:rFonts w:ascii="宋体" w:hAnsi="宋体" w:eastAsia="宋体"/>
          <w:sz w:val="24"/>
          <w:szCs w:val="24"/>
          <w:lang w:val="zh-CN"/>
        </w:rPr>
      </w:pPr>
    </w:p>
    <w:p w14:paraId="4E8D2ECC">
      <w:pPr>
        <w:rPr>
          <w:rFonts w:ascii="宋体" w:hAnsi="宋体" w:eastAsia="宋体"/>
          <w:sz w:val="24"/>
          <w:szCs w:val="24"/>
          <w:lang w:val="zh-CN"/>
        </w:rPr>
      </w:pPr>
    </w:p>
    <w:p w14:paraId="7071A5C5">
      <w:pPr>
        <w:rPr>
          <w:rFonts w:ascii="宋体" w:hAnsi="宋体" w:eastAsia="宋体"/>
          <w:sz w:val="24"/>
          <w:szCs w:val="24"/>
          <w:lang w:val="zh-CN"/>
        </w:rPr>
      </w:pPr>
    </w:p>
    <w:p w14:paraId="0AEBD2EF">
      <w:pPr>
        <w:rPr>
          <w:rFonts w:ascii="宋体" w:hAnsi="宋体" w:eastAsia="宋体"/>
          <w:sz w:val="24"/>
          <w:szCs w:val="24"/>
          <w:lang w:val="zh-CN"/>
        </w:rPr>
      </w:pPr>
    </w:p>
    <w:p w14:paraId="329F5C84">
      <w:pPr>
        <w:rPr>
          <w:rFonts w:ascii="宋体" w:hAnsi="宋体" w:eastAsia="宋体"/>
          <w:sz w:val="24"/>
          <w:szCs w:val="24"/>
          <w:lang w:val="zh-CN"/>
        </w:rPr>
      </w:pPr>
    </w:p>
    <w:p w14:paraId="21A34E20">
      <w:pPr>
        <w:rPr>
          <w:rFonts w:ascii="宋体" w:hAnsi="宋体" w:eastAsia="宋体"/>
          <w:sz w:val="24"/>
          <w:szCs w:val="24"/>
          <w:lang w:val="zh-CN"/>
        </w:rPr>
      </w:pPr>
    </w:p>
    <w:p w14:paraId="0A77AB09">
      <w:pPr>
        <w:rPr>
          <w:rFonts w:ascii="宋体" w:hAnsi="宋体" w:eastAsia="宋体"/>
          <w:sz w:val="24"/>
          <w:szCs w:val="24"/>
          <w:lang w:val="zh-CN"/>
        </w:rPr>
      </w:pPr>
    </w:p>
    <w:p w14:paraId="64878847">
      <w:pPr>
        <w:rPr>
          <w:rFonts w:ascii="宋体" w:hAnsi="宋体" w:eastAsia="宋体"/>
          <w:sz w:val="24"/>
          <w:szCs w:val="24"/>
          <w:lang w:val="zh-CN"/>
        </w:rPr>
      </w:pPr>
    </w:p>
    <w:p w14:paraId="66E40C8F">
      <w:pPr>
        <w:rPr>
          <w:rFonts w:ascii="宋体" w:hAnsi="宋体" w:eastAsia="宋体"/>
          <w:sz w:val="24"/>
          <w:szCs w:val="24"/>
          <w:lang w:val="zh-CN"/>
        </w:rPr>
      </w:pPr>
    </w:p>
    <w:p w14:paraId="7561B96A">
      <w:pPr>
        <w:rPr>
          <w:rFonts w:ascii="宋体" w:hAnsi="宋体" w:eastAsia="宋体"/>
          <w:sz w:val="24"/>
          <w:szCs w:val="24"/>
          <w:lang w:val="zh-CN"/>
        </w:rPr>
      </w:pPr>
    </w:p>
    <w:p w14:paraId="63846560">
      <w:pPr>
        <w:rPr>
          <w:rFonts w:ascii="宋体" w:hAnsi="宋体" w:eastAsia="宋体"/>
          <w:sz w:val="24"/>
          <w:szCs w:val="24"/>
          <w:lang w:val="zh-CN"/>
        </w:rPr>
      </w:pPr>
    </w:p>
    <w:p w14:paraId="5B1A44D1">
      <w:pPr>
        <w:rPr>
          <w:rFonts w:ascii="宋体" w:hAnsi="宋体" w:eastAsia="宋体"/>
          <w:sz w:val="24"/>
          <w:szCs w:val="24"/>
          <w:lang w:val="zh-CN"/>
        </w:rPr>
      </w:pPr>
    </w:p>
    <w:p w14:paraId="0A963098">
      <w:pPr>
        <w:rPr>
          <w:rFonts w:ascii="宋体" w:hAnsi="宋体" w:eastAsia="宋体"/>
          <w:sz w:val="24"/>
          <w:szCs w:val="24"/>
          <w:lang w:val="zh-CN"/>
        </w:rPr>
      </w:pPr>
    </w:p>
    <w:p w14:paraId="2F4EAA8C">
      <w:pPr>
        <w:rPr>
          <w:rFonts w:ascii="宋体" w:hAnsi="宋体" w:eastAsia="宋体"/>
          <w:sz w:val="24"/>
          <w:szCs w:val="24"/>
          <w:lang w:val="zh-CN"/>
        </w:rPr>
      </w:pPr>
    </w:p>
    <w:p w14:paraId="4B05F04C">
      <w:pPr>
        <w:rPr>
          <w:rFonts w:ascii="宋体" w:hAnsi="宋体" w:eastAsia="宋体"/>
          <w:sz w:val="24"/>
          <w:szCs w:val="24"/>
          <w:lang w:val="zh-CN"/>
        </w:rPr>
      </w:pPr>
    </w:p>
    <w:p w14:paraId="7F4CC46D">
      <w:pPr>
        <w:rPr>
          <w:rFonts w:ascii="宋体" w:hAnsi="宋体" w:eastAsia="宋体"/>
          <w:sz w:val="24"/>
          <w:szCs w:val="24"/>
          <w:lang w:val="zh-CN"/>
        </w:rPr>
      </w:pPr>
    </w:p>
    <w:p w14:paraId="68226193">
      <w:pPr>
        <w:rPr>
          <w:rFonts w:ascii="宋体" w:hAnsi="宋体" w:eastAsia="宋体"/>
          <w:sz w:val="24"/>
          <w:szCs w:val="24"/>
          <w:lang w:val="zh-CN"/>
        </w:rPr>
      </w:pPr>
    </w:p>
    <w:p w14:paraId="42B2C0A9">
      <w:pPr>
        <w:rPr>
          <w:rFonts w:ascii="宋体" w:hAnsi="宋体" w:eastAsia="宋体"/>
          <w:sz w:val="24"/>
          <w:szCs w:val="24"/>
          <w:lang w:val="zh-CN"/>
        </w:rPr>
      </w:pPr>
    </w:p>
    <w:p w14:paraId="33FD674A">
      <w:pPr>
        <w:rPr>
          <w:rFonts w:ascii="宋体" w:hAnsi="宋体" w:eastAsia="宋体"/>
          <w:sz w:val="24"/>
          <w:szCs w:val="24"/>
          <w:lang w:val="zh-CN"/>
        </w:rPr>
      </w:pPr>
    </w:p>
    <w:p w14:paraId="10ACB8A0">
      <w:pPr>
        <w:rPr>
          <w:rFonts w:ascii="宋体" w:hAnsi="宋体" w:eastAsia="宋体"/>
          <w:sz w:val="24"/>
          <w:szCs w:val="24"/>
          <w:lang w:val="zh-CN"/>
        </w:rPr>
      </w:pPr>
      <w:bookmarkStart w:id="1" w:name="_GoBack"/>
      <w:bookmarkEnd w:id="1"/>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1D5BA-CE2D-484B-BBE1-7B1C9594AB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D1E48EF-237A-4B5B-BEC2-E0EB7105C12B}"/>
  </w:font>
  <w:font w:name="Malgun Gothic">
    <w:panose1 w:val="020B0503020000020004"/>
    <w:charset w:val="81"/>
    <w:family w:val="auto"/>
    <w:pitch w:val="default"/>
    <w:sig w:usb0="9000002F" w:usb1="29D77CFB" w:usb2="00000012" w:usb3="00000000" w:csb0="00080001" w:csb1="00000000"/>
    <w:embedRegular r:id="rId3" w:fontKey="{5B58B33B-CF06-483B-A92D-57533D60CFCB}"/>
  </w:font>
  <w:font w:name="Calibri Light">
    <w:panose1 w:val="020F0302020204030204"/>
    <w:charset w:val="00"/>
    <w:family w:val="auto"/>
    <w:pitch w:val="default"/>
    <w:sig w:usb0="E4002EFF" w:usb1="C200247B" w:usb2="00000009" w:usb3="00000000" w:csb0="200001FF" w:csb1="00000000"/>
    <w:embedRegular r:id="rId4" w:fontKey="{798E4B30-48D6-4E2F-963E-3D4BB201D532}"/>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F070FBD1-A321-47EB-9D10-196A29A9F815}"/>
  </w:font>
  <w:font w:name="仿宋">
    <w:panose1 w:val="02010609060101010101"/>
    <w:charset w:val="86"/>
    <w:family w:val="modern"/>
    <w:pitch w:val="default"/>
    <w:sig w:usb0="800002BF" w:usb1="38CF7CFA" w:usb2="00000016" w:usb3="00000000" w:csb0="00040001" w:csb1="00000000"/>
    <w:embedRegular r:id="rId6" w:fontKey="{FC716D76-3E0F-4E6B-8F52-15E1059C0A6C}"/>
  </w:font>
  <w:font w:name="仿宋_GB2312">
    <w:altName w:val="仿宋"/>
    <w:panose1 w:val="02010609030101010101"/>
    <w:charset w:val="86"/>
    <w:family w:val="auto"/>
    <w:pitch w:val="default"/>
    <w:sig w:usb0="00000000" w:usb1="00000000" w:usb2="00000000" w:usb3="00000000" w:csb0="00040000" w:csb1="00000000"/>
    <w:embedRegular r:id="rId7" w:fontKey="{81FC90CD-2176-4CD0-AFD3-E1345970D3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0F6F"/>
    <w:multiLevelType w:val="singleLevel"/>
    <w:tmpl w:val="865F0F6F"/>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710A2C"/>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10F0C3F"/>
    <w:rsid w:val="420378CC"/>
    <w:rsid w:val="44AA028A"/>
    <w:rsid w:val="4603606C"/>
    <w:rsid w:val="460B1963"/>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139</Words>
  <Characters>163</Characters>
  <Lines>0</Lines>
  <Paragraphs>0</Paragraphs>
  <TotalTime>0</TotalTime>
  <ScaleCrop>false</ScaleCrop>
  <LinksUpToDate>false</LinksUpToDate>
  <CharactersWithSpaces>232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2025-11-07T02:16:59Z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5F03C78108B8467682A8FE07E53ED4E4_13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