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9"/>
        <w:rPr>
          <w:rFonts w:hint="eastAsia"/>
          <w:lang w:val="en-US" w:eastAsia="zh-CN"/>
        </w:rPr>
      </w:pPr>
    </w:p>
    <w:p w14:paraId="21393348">
      <w:pPr>
        <w:rPr>
          <w:rFonts w:hint="eastAsia"/>
          <w:lang w:val="en-US" w:eastAsia="zh-CN"/>
        </w:rPr>
      </w:pPr>
    </w:p>
    <w:p w14:paraId="29C0A451">
      <w:pPr>
        <w:pStyle w:val="15"/>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eastAsia" w:ascii="黑体" w:hAnsi="黑体" w:eastAsia="黑体" w:cs="黑体"/>
          <w:b/>
          <w:bCs/>
          <w:sz w:val="36"/>
          <w:szCs w:val="36"/>
          <w:lang w:val="en-US" w:eastAsia="zh-CN"/>
        </w:rPr>
      </w:pPr>
      <w:bookmarkStart w:id="1" w:name="_GoBack"/>
      <w:r>
        <w:rPr>
          <w:rFonts w:hint="eastAsia" w:ascii="黑体" w:hAnsi="黑体" w:eastAsia="黑体" w:cs="黑体"/>
          <w:b/>
          <w:bCs/>
          <w:sz w:val="36"/>
          <w:szCs w:val="36"/>
          <w:lang w:val="en-US" w:eastAsia="zh-CN"/>
        </w:rPr>
        <w:t>有线电视安装维护及信号接入服务项目</w:t>
      </w:r>
    </w:p>
    <w:bookmarkEnd w:id="1"/>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2025年11月19日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7"/>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6F16622">
            <w:pPr>
              <w:rPr>
                <w:rFonts w:hint="default" w:ascii="宋体" w:hAnsi="宋体" w:eastAsia="宋体" w:cs="宋体"/>
                <w:lang w:val="en-US" w:eastAsia="zh-CN"/>
              </w:rPr>
            </w:pPr>
            <w:r>
              <w:rPr>
                <w:rFonts w:hint="eastAsia" w:ascii="宋体" w:hAnsi="宋体" w:eastAsia="宋体" w:cs="宋体"/>
                <w:lang w:val="en-US" w:eastAsia="zh-CN"/>
              </w:rPr>
              <w:t>有线电视安装维护及信号接入服务项目</w:t>
            </w:r>
          </w:p>
        </w:tc>
        <w:tc>
          <w:tcPr>
            <w:tcW w:w="903" w:type="dxa"/>
            <w:vAlign w:val="center"/>
          </w:tcPr>
          <w:p w14:paraId="569A970B">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户</w:t>
            </w:r>
          </w:p>
        </w:tc>
        <w:tc>
          <w:tcPr>
            <w:tcW w:w="826" w:type="dxa"/>
            <w:vAlign w:val="center"/>
          </w:tcPr>
          <w:p w14:paraId="535899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936</w:t>
            </w:r>
          </w:p>
        </w:tc>
        <w:tc>
          <w:tcPr>
            <w:tcW w:w="1338" w:type="dxa"/>
            <w:vAlign w:val="center"/>
          </w:tcPr>
          <w:p w14:paraId="70A922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156</w:t>
            </w:r>
          </w:p>
        </w:tc>
        <w:tc>
          <w:tcPr>
            <w:tcW w:w="1596" w:type="dxa"/>
            <w:vAlign w:val="center"/>
          </w:tcPr>
          <w:p w14:paraId="1D45D755">
            <w:pPr>
              <w:rPr>
                <w:rFonts w:hint="default" w:ascii="宋体" w:hAnsi="宋体" w:eastAsia="宋体" w:cs="宋体"/>
                <w:sz w:val="24"/>
                <w:szCs w:val="24"/>
                <w:lang w:val="en-US"/>
              </w:rPr>
            </w:pPr>
            <w:r>
              <w:rPr>
                <w:rFonts w:hint="eastAsia" w:ascii="宋体" w:hAnsi="宋体" w:eastAsia="宋体" w:cs="宋体"/>
                <w:sz w:val="24"/>
                <w:szCs w:val="24"/>
                <w:lang w:val="en-US" w:eastAsia="zh-CN"/>
              </w:rPr>
              <w:t>146016</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146016</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7217420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10日</w:t>
            </w:r>
            <w:r>
              <w:rPr>
                <w:rFonts w:hint="eastAsia" w:ascii="宋体" w:hAnsi="宋体" w:eastAsia="宋体" w:cs="宋体"/>
                <w:sz w:val="24"/>
                <w:szCs w:val="24"/>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期</w:t>
            </w:r>
          </w:p>
        </w:tc>
        <w:tc>
          <w:tcPr>
            <w:tcW w:w="4663" w:type="dxa"/>
            <w:gridSpan w:val="4"/>
            <w:vAlign w:val="center"/>
          </w:tcPr>
          <w:p w14:paraId="56B9AF71">
            <w:pPr>
              <w:rPr>
                <w:rFonts w:hint="eastAsia" w:ascii="宋体" w:hAnsi="宋体" w:eastAsia="宋体" w:cs="宋体"/>
                <w:sz w:val="24"/>
                <w:szCs w:val="24"/>
              </w:rPr>
            </w:pPr>
            <w:r>
              <w:rPr>
                <w:rFonts w:hint="default" w:ascii="宋体" w:hAnsi="宋体" w:eastAsia="宋体" w:cs="宋体"/>
                <w:kern w:val="0"/>
                <w:sz w:val="24"/>
                <w:szCs w:val="24"/>
                <w:lang w:val="en-US" w:eastAsia="zh-CN"/>
              </w:rPr>
              <w:t>服务期为3年,合同一年一签</w:t>
            </w:r>
            <w:r>
              <w:rPr>
                <w:rFonts w:hint="eastAsia" w:ascii="宋体" w:hAnsi="宋体" w:eastAsia="宋体" w:cs="宋体"/>
                <w:kern w:val="0"/>
                <w:sz w:val="24"/>
                <w:szCs w:val="24"/>
                <w:lang w:val="en-US" w:eastAsia="zh-CN"/>
              </w:rPr>
              <w:t>。</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开通服务后全额付清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4D36D1A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鄂尔多斯市中心医院（东胜部、康巴什部）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二、项目概况</w:t>
      </w:r>
    </w:p>
    <w:p w14:paraId="0926354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（1）项目基本情况介绍： 医院东康两部有线电视服务于2022年11月与中国广电内蒙古网络有限公司鄂尔多斯分公司议价，2025年12月服务到期。东胜部开通有线电视：540户，每户156元，金额：84240元；康巴什部开通有线电视：396户，每户156元，金额：61776元，两部预算金额合计：146016元，含安装费、材料费。新增户数依据单价办理开户，第二年续签时直接添加到续签合同内。</w:t>
      </w:r>
    </w:p>
    <w:p w14:paraId="56DD302B">
      <w:pPr>
        <w:pStyle w:val="2"/>
        <w:rPr>
          <w:rFonts w:hint="eastAsia" w:ascii="宋体" w:hAnsi="宋体" w:eastAsia="宋体" w:cs="宋体"/>
          <w:sz w:val="24"/>
          <w:szCs w:val="24"/>
          <w:lang w:val="en-US" w:eastAsia="zh-CN"/>
        </w:rPr>
      </w:pPr>
    </w:p>
    <w:p w14:paraId="45A88114">
      <w:pPr>
        <w:pStyle w:val="2"/>
        <w:rPr>
          <w:rFonts w:hint="eastAsia" w:ascii="宋体" w:hAnsi="宋体" w:eastAsia="宋体" w:cs="宋体"/>
          <w:sz w:val="24"/>
          <w:szCs w:val="24"/>
          <w:lang w:val="en-US" w:eastAsia="zh-CN"/>
        </w:rPr>
      </w:pPr>
    </w:p>
    <w:p w14:paraId="718989F6">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（2）技术需求表</w:t>
      </w:r>
    </w:p>
    <w:tbl>
      <w:tblPr>
        <w:tblStyle w:val="16"/>
        <w:tblW w:w="8503" w:type="dxa"/>
        <w:tblInd w:w="0" w:type="dxa"/>
        <w:tblLayout w:type="fixed"/>
        <w:tblCellMar>
          <w:top w:w="0" w:type="dxa"/>
          <w:left w:w="108" w:type="dxa"/>
          <w:bottom w:w="0" w:type="dxa"/>
          <w:right w:w="108" w:type="dxa"/>
        </w:tblCellMar>
      </w:tblPr>
      <w:tblGrid>
        <w:gridCol w:w="692"/>
        <w:gridCol w:w="750"/>
        <w:gridCol w:w="7061"/>
      </w:tblGrid>
      <w:tr w14:paraId="7CFDB25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1790EB8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1921DB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758419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693E34B7">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DB1C26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基本电视信号服务</w:t>
            </w:r>
          </w:p>
        </w:tc>
      </w:tr>
      <w:tr w14:paraId="1D99061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F04B1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00DD6D">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1DA94CC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提供稳定、清晰、不间断的中央及省市各级电视节目信号。</w:t>
            </w:r>
          </w:p>
        </w:tc>
      </w:tr>
      <w:tr w14:paraId="5E1FD48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8FA4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6E2027">
            <w:pPr>
              <w:pStyle w:val="19"/>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064E05A9">
            <w:pPr>
              <w:pStyle w:val="13"/>
              <w:spacing w:line="360" w:lineRule="auto"/>
              <w:rPr>
                <w:rFonts w:hint="default" w:ascii="宋体" w:hAnsi="宋体" w:eastAsia="宋体" w:cs="宋体"/>
                <w:kern w:val="0"/>
                <w:sz w:val="21"/>
                <w:szCs w:val="21"/>
                <w:lang w:val="en-US" w:eastAsia="zh-CN" w:bidi="lo-LA"/>
              </w:rPr>
            </w:pPr>
            <w:r>
              <w:rPr>
                <w:rFonts w:hint="default" w:ascii="宋体" w:hAnsi="宋体" w:eastAsia="宋体" w:cs="宋体"/>
                <w:kern w:val="0"/>
                <w:sz w:val="21"/>
                <w:szCs w:val="21"/>
                <w:lang w:val="en-US" w:eastAsia="zh-CN" w:bidi="lo-LA"/>
              </w:rPr>
              <w:t>节目套数不少于80套，须包含所有中央台、主要省级卫视及本地重要频道</w:t>
            </w:r>
            <w:r>
              <w:rPr>
                <w:rFonts w:hint="eastAsia" w:eastAsia="宋体" w:cs="宋体"/>
                <w:kern w:val="0"/>
                <w:sz w:val="21"/>
                <w:szCs w:val="21"/>
                <w:lang w:val="en-US" w:eastAsia="zh-CN" w:bidi="lo-LA"/>
              </w:rPr>
              <w:t>。</w:t>
            </w:r>
          </w:p>
        </w:tc>
      </w:tr>
      <w:tr w14:paraId="736763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30FEA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867F4A">
            <w:pPr>
              <w:pStyle w:val="19"/>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F617F1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信号传输质量需符合国家广电总局相关标准，画面清晰度至少达到标准高清（720P）及以上水平。</w:t>
            </w:r>
          </w:p>
        </w:tc>
      </w:tr>
      <w:tr w14:paraId="60CD4B85">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CB6034C">
            <w:pPr>
              <w:pStyle w:val="13"/>
              <w:spacing w:line="36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技术服务与保障</w:t>
            </w:r>
          </w:p>
        </w:tc>
      </w:tr>
      <w:tr w14:paraId="577ADE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64BC7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4E48AD">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3E83AD8">
            <w:pPr>
              <w:pStyle w:val="13"/>
              <w:spacing w:line="360" w:lineRule="auto"/>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信号稳定性：承诺年度平均信号可用率不低于99.9%，无长时间、大范围信号中断</w:t>
            </w:r>
            <w:r>
              <w:rPr>
                <w:rFonts w:hint="eastAsia" w:eastAsia="宋体" w:cs="宋体"/>
                <w:kern w:val="0"/>
                <w:sz w:val="21"/>
                <w:szCs w:val="21"/>
                <w:lang w:eastAsia="zh-CN" w:bidi="lo-LA"/>
              </w:rPr>
              <w:t>。</w:t>
            </w:r>
          </w:p>
        </w:tc>
      </w:tr>
      <w:tr w14:paraId="4DBD55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D9284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FA39AA">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1BC17F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故障响应：提供7x24小时故障申告热线。发生信号中断等故障时，响应时间不超过30分钟，普通故障修复时间不超过4小时，重大故障修复时间不超过24小时。</w:t>
            </w:r>
          </w:p>
        </w:tc>
      </w:tr>
      <w:tr w14:paraId="700101D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57B34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B3B36E">
            <w:pPr>
              <w:pStyle w:val="19"/>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424863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应急广播接入：必须具备接入政府应急广播系统的能力，确保在紧急情况下能及时、准确地接收和播放应急信息。</w:t>
            </w:r>
          </w:p>
        </w:tc>
      </w:tr>
      <w:tr w14:paraId="683F75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D4B89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98FFC8F">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86B277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提供所需的所有机顶盒（型号需为市场主流、运行稳定型号），并保证设备性能满足收看需求。</w:t>
            </w:r>
          </w:p>
        </w:tc>
      </w:tr>
      <w:tr w14:paraId="49A48A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C21D8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706A77">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E14C7F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负责室内所有必要线路的铺设、连接和调试，确保每个收视终端都能正常接收信号。</w:t>
            </w:r>
          </w:p>
          <w:p w14:paraId="463315BC">
            <w:pPr>
              <w:widowControl/>
              <w:spacing w:line="240" w:lineRule="auto"/>
              <w:jc w:val="left"/>
              <w:rPr>
                <w:rFonts w:hint="eastAsia" w:ascii="宋体" w:hAnsi="宋体" w:eastAsia="宋体" w:cs="宋体"/>
                <w:kern w:val="0"/>
                <w:sz w:val="21"/>
                <w:szCs w:val="21"/>
                <w:lang w:eastAsia="zh-CN" w:bidi="lo-LA"/>
              </w:rPr>
            </w:pPr>
          </w:p>
        </w:tc>
      </w:tr>
      <w:tr w14:paraId="4524F3DA">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1B9AA42">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售后服务要求</w:t>
            </w:r>
          </w:p>
        </w:tc>
      </w:tr>
      <w:tr w14:paraId="7BE5DE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BC7BED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657D6EE">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1F030E24">
            <w:pPr>
              <w:widowControl/>
              <w:tabs>
                <w:tab w:val="left" w:pos="1324"/>
              </w:tabs>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专属客户经理：为采购人配备专属客户经理，负责日常沟通、问题协调与账单服务。</w:t>
            </w:r>
          </w:p>
        </w:tc>
      </w:tr>
      <w:tr w14:paraId="397AFC0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3A099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B78A6F">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7BB5599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定期巡检：每年至少提供一次免费上门巡检服务，检查信号质量与设备运行状态。</w:t>
            </w:r>
          </w:p>
        </w:tc>
      </w:tr>
      <w:tr w14:paraId="4B3C8F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FB7D5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2A97A0">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3E33A5D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服务报告：如发生重大故障，修复后需提供书面故障报告，说明原因及预防措施。</w:t>
            </w:r>
          </w:p>
        </w:tc>
      </w:tr>
      <w:tr w14:paraId="192E4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9A6D7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6FC928">
            <w:pPr>
              <w:pStyle w:val="19"/>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7E7DD63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eastAsia="zh-CN" w:bidi="lo-LA"/>
              </w:rPr>
              <w:t xml:space="preserve"> 投诉渠道：建立畅通的投诉渠道，对采购人的投诉应在1个工作日内予以答复。</w:t>
            </w:r>
          </w:p>
        </w:tc>
      </w:tr>
    </w:tbl>
    <w:p w14:paraId="445A9847">
      <w:pPr>
        <w:rPr>
          <w:rFonts w:hint="eastAsia" w:hAnsi="宋体"/>
          <w:sz w:val="28"/>
          <w:szCs w:val="28"/>
          <w:lang w:val="en-US" w:eastAsia="zh-CN"/>
        </w:rPr>
      </w:pPr>
    </w:p>
    <w:p w14:paraId="68C762A8">
      <w:pPr>
        <w:rPr>
          <w:rFonts w:hint="eastAsia"/>
        </w:rPr>
      </w:pPr>
    </w:p>
    <w:p w14:paraId="79651258">
      <w:pPr>
        <w:rPr>
          <w:rFonts w:hint="eastAsia"/>
        </w:rPr>
      </w:pPr>
    </w:p>
    <w:p w14:paraId="08F76399">
      <w:pPr>
        <w:rPr>
          <w:rFonts w:hint="eastAsia"/>
        </w:rPr>
      </w:pPr>
    </w:p>
    <w:p w14:paraId="1CC39F35">
      <w:pPr>
        <w:rPr>
          <w:rFonts w:hint="eastAsia"/>
        </w:rPr>
      </w:pPr>
    </w:p>
    <w:p w14:paraId="4109B55F">
      <w:pPr>
        <w:rPr>
          <w:rFonts w:hint="eastAsia"/>
        </w:rPr>
      </w:pPr>
    </w:p>
    <w:p w14:paraId="2CD41EEB">
      <w:pPr>
        <w:pStyle w:val="2"/>
        <w:rPr>
          <w:rFonts w:hint="eastAsia"/>
        </w:rPr>
      </w:pPr>
    </w:p>
    <w:p w14:paraId="564DFBF0">
      <w:pPr>
        <w:pStyle w:val="2"/>
        <w:rPr>
          <w:rFonts w:hint="eastAsia"/>
        </w:rPr>
      </w:pPr>
    </w:p>
    <w:p w14:paraId="57B58B18">
      <w:pPr>
        <w:pStyle w:val="2"/>
        <w:rPr>
          <w:rFonts w:hint="eastAsia"/>
        </w:rPr>
      </w:pPr>
    </w:p>
    <w:p w14:paraId="631CC0D3">
      <w:pPr>
        <w:pStyle w:val="2"/>
        <w:rPr>
          <w:rFonts w:hint="eastAsia"/>
        </w:rPr>
      </w:pPr>
    </w:p>
    <w:p w14:paraId="52B34B93">
      <w:pPr>
        <w:pStyle w:val="2"/>
        <w:rPr>
          <w:rFonts w:hint="eastAsia"/>
        </w:rPr>
      </w:pPr>
    </w:p>
    <w:p w14:paraId="0467516C">
      <w:pPr>
        <w:pStyle w:val="2"/>
        <w:rPr>
          <w:rFonts w:hint="eastAsia"/>
        </w:rPr>
      </w:pPr>
    </w:p>
    <w:p w14:paraId="60A30EE2">
      <w:pPr>
        <w:pStyle w:val="2"/>
        <w:rPr>
          <w:rFonts w:hint="eastAsia"/>
        </w:rPr>
      </w:pPr>
    </w:p>
    <w:p w14:paraId="64AD3D27">
      <w:pPr>
        <w:pStyle w:val="2"/>
        <w:rPr>
          <w:rFonts w:hint="eastAsia"/>
        </w:rPr>
      </w:pPr>
    </w:p>
    <w:p w14:paraId="3B624961">
      <w:pPr>
        <w:pStyle w:val="2"/>
        <w:rPr>
          <w:rFonts w:hint="eastAsia"/>
        </w:rPr>
      </w:pPr>
    </w:p>
    <w:p w14:paraId="096096D8">
      <w:pPr>
        <w:pStyle w:val="2"/>
        <w:rPr>
          <w:rFonts w:hint="eastAsia"/>
        </w:rPr>
      </w:pPr>
    </w:p>
    <w:p w14:paraId="4B29FEE5">
      <w:pPr>
        <w:rPr>
          <w:rFonts w:hint="eastAsia"/>
        </w:rPr>
      </w:pPr>
    </w:p>
    <w:p w14:paraId="4EED8702">
      <w:pPr>
        <w:rPr>
          <w:rFonts w:hint="eastAsia"/>
        </w:rPr>
      </w:pPr>
    </w:p>
    <w:p w14:paraId="7EC32A26">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6"/>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9"/>
      </w:pPr>
    </w:p>
    <w:p w14:paraId="3132B795"/>
    <w:p w14:paraId="0A576042">
      <w:pPr>
        <w:pStyle w:val="9"/>
      </w:pPr>
    </w:p>
    <w:p w14:paraId="6DC81925"/>
    <w:p w14:paraId="73950FA8">
      <w:pPr>
        <w:pStyle w:val="9"/>
      </w:pPr>
    </w:p>
    <w:p w14:paraId="3D3ADE1E"/>
    <w:p w14:paraId="3EA602B9">
      <w:pPr>
        <w:pStyle w:val="9"/>
      </w:pPr>
    </w:p>
    <w:p w14:paraId="1C2369B1"/>
    <w:p w14:paraId="3D46A060">
      <w:pPr>
        <w:pStyle w:val="9"/>
      </w:pPr>
    </w:p>
    <w:p w14:paraId="0941FFCE"/>
    <w:p w14:paraId="46CE1A36">
      <w:pPr>
        <w:pStyle w:val="9"/>
      </w:pPr>
    </w:p>
    <w:p w14:paraId="2D3AA324"/>
    <w:p w14:paraId="5C50B345">
      <w:pPr>
        <w:pStyle w:val="9"/>
      </w:pPr>
    </w:p>
    <w:p w14:paraId="1C24A7AD"/>
    <w:p w14:paraId="38F03B4E">
      <w:pPr>
        <w:pStyle w:val="9"/>
      </w:pPr>
    </w:p>
    <w:p w14:paraId="5AB51ED1"/>
    <w:p w14:paraId="6F67E51F">
      <w:pPr>
        <w:pStyle w:val="9"/>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9"/>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9"/>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9"/>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9"/>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6"/>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120F57-C7FC-4713-AFD2-717EB1A23E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B0B9F348-A8ED-4C9B-991E-C5617497BB84}"/>
  </w:font>
  <w:font w:name="Calibri Light">
    <w:panose1 w:val="020F0302020204030204"/>
    <w:charset w:val="00"/>
    <w:family w:val="auto"/>
    <w:pitch w:val="default"/>
    <w:sig w:usb0="E4002EFF" w:usb1="C200247B" w:usb2="00000009" w:usb3="00000000" w:csb0="200001FF" w:csb1="00000000"/>
    <w:embedRegular r:id="rId3" w:fontKey="{B057F79A-7B3A-41C2-B1AA-E542B8956F7B}"/>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ED23184"/>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6">
    <w:name w:val="heading 4"/>
    <w:basedOn w:val="1"/>
    <w:next w:val="1"/>
    <w:unhideWhenUsed/>
    <w:qFormat/>
    <w:uiPriority w:val="0"/>
    <w:pPr>
      <w:keepNext/>
      <w:keepLines/>
      <w:outlineLvl w:val="3"/>
    </w:pPr>
    <w:rPr>
      <w:rFonts w:ascii="Arial" w:hAnsi="Arial" w:eastAsia="黑体"/>
      <w:sz w:val="24"/>
    </w:rPr>
  </w:style>
  <w:style w:type="character" w:default="1" w:styleId="18">
    <w:name w:val="Default Paragraph Font"/>
    <w:autoRedefine/>
    <w:semiHidden/>
    <w:qFormat/>
    <w:uiPriority w:val="2"/>
  </w:style>
  <w:style w:type="table" w:default="1" w:styleId="16">
    <w:name w:val="Normal Table"/>
    <w:semiHidden/>
    <w:qFormat/>
    <w:uiPriority w:val="3"/>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Body Text Indent"/>
    <w:basedOn w:val="1"/>
    <w:qFormat/>
    <w:uiPriority w:val="0"/>
    <w:pPr>
      <w:spacing w:after="120" w:afterLines="0" w:afterAutospacing="0"/>
      <w:ind w:left="420" w:leftChars="200"/>
    </w:pPr>
  </w:style>
  <w:style w:type="paragraph" w:styleId="9">
    <w:name w:val="Plain Text"/>
    <w:basedOn w:val="10"/>
    <w:next w:val="1"/>
    <w:qFormat/>
    <w:uiPriority w:val="0"/>
    <w:rPr>
      <w:rFonts w:ascii="宋体" w:hAnsi="Courier New"/>
    </w:rPr>
  </w:style>
  <w:style w:type="paragraph" w:customStyle="1" w:styleId="10">
    <w:name w:val="Normal_6"/>
    <w:next w:val="9"/>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footer"/>
    <w:basedOn w:val="1"/>
    <w:qFormat/>
    <w:uiPriority w:val="151"/>
    <w:pPr>
      <w:tabs>
        <w:tab w:val="center" w:pos="4153"/>
        <w:tab w:val="right" w:pos="8306"/>
      </w:tabs>
      <w:snapToGrid w:val="0"/>
      <w:jc w:val="left"/>
    </w:pPr>
    <w:rPr>
      <w:sz w:val="18"/>
      <w:szCs w:val="18"/>
    </w:rPr>
  </w:style>
  <w:style w:type="paragraph" w:styleId="12">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5">
    <w:name w:val="Body Text First Indent 2"/>
    <w:basedOn w:val="8"/>
    <w:qFormat/>
    <w:uiPriority w:val="0"/>
    <w:pPr>
      <w:ind w:firstLine="420" w:firstLineChars="200"/>
    </w:pPr>
  </w:style>
  <w:style w:type="table" w:styleId="17">
    <w:name w:val="Table Grid"/>
    <w:basedOn w:val="16"/>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8"/>
    <w:autoRedefine/>
    <w:qFormat/>
    <w:uiPriority w:val="0"/>
    <w:rPr>
      <w:rFonts w:hint="eastAsia" w:ascii="宋体" w:hAnsi="宋体" w:eastAsia="宋体" w:cs="宋体"/>
      <w:color w:val="000000"/>
      <w:sz w:val="24"/>
      <w:szCs w:val="24"/>
      <w:u w:val="none"/>
    </w:rPr>
  </w:style>
  <w:style w:type="character" w:customStyle="1" w:styleId="22">
    <w:name w:val="font31"/>
    <w:basedOn w:val="18"/>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8"/>
    <w:autoRedefine/>
    <w:qFormat/>
    <w:uiPriority w:val="0"/>
    <w:rPr>
      <w:rFonts w:ascii="Calibri" w:hAnsi="Calibri" w:cs="Calibri"/>
      <w:color w:val="000000"/>
      <w:sz w:val="28"/>
      <w:szCs w:val="28"/>
      <w:u w:val="none"/>
    </w:rPr>
  </w:style>
  <w:style w:type="character" w:customStyle="1" w:styleId="25">
    <w:name w:val="font21"/>
    <w:basedOn w:val="18"/>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6779</Words>
  <Characters>7428</Characters>
  <Lines>0</Lines>
  <Paragraphs>0</Paragraphs>
  <TotalTime>1</TotalTime>
  <ScaleCrop>false</ScaleCrop>
  <LinksUpToDate>false</LinksUpToDate>
  <CharactersWithSpaces>7858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2025-11-19T07:01:37Z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14BAF3F3B7B347EBB7EB639ADC0DF6F4_13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