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9"/>
        <w:rPr>
          <w:rFonts w:hint="eastAsia"/>
          <w:lang w:val="en-US" w:eastAsia="zh-CN"/>
        </w:rPr>
      </w:pPr>
    </w:p>
    <w:p w14:paraId="21393348">
      <w:pPr>
        <w:rPr>
          <w:rFonts w:hint="eastAsia"/>
          <w:lang w:val="en-US" w:eastAsia="zh-CN"/>
        </w:rPr>
      </w:pPr>
    </w:p>
    <w:p w14:paraId="29C0A451">
      <w:pPr>
        <w:pStyle w:val="15"/>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6941ACDD">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有线电视安装维护及信号接入服务项目（二次）</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2025年11月24日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bookmarkStart w:id="1" w:name="_GoBack"/>
      <w:bookmarkEnd w:id="1"/>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7"/>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3E37CC3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4C60CD53">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14356791">
            <w:pP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76F16622">
            <w:pPr>
              <w:rPr>
                <w:rFonts w:hint="default" w:ascii="宋体" w:hAnsi="宋体" w:eastAsia="宋体" w:cs="宋体"/>
                <w:lang w:val="en-US" w:eastAsia="zh-CN"/>
              </w:rPr>
            </w:pPr>
            <w:r>
              <w:rPr>
                <w:rFonts w:hint="eastAsia" w:ascii="宋体" w:hAnsi="宋体" w:eastAsia="宋体" w:cs="宋体"/>
                <w:lang w:val="en-US" w:eastAsia="zh-CN"/>
              </w:rPr>
              <w:t>有线电视安装维护及信号接入服务项目</w:t>
            </w:r>
          </w:p>
        </w:tc>
        <w:tc>
          <w:tcPr>
            <w:tcW w:w="903" w:type="dxa"/>
            <w:vAlign w:val="center"/>
          </w:tcPr>
          <w:p w14:paraId="569A970B">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户</w:t>
            </w:r>
          </w:p>
        </w:tc>
        <w:tc>
          <w:tcPr>
            <w:tcW w:w="826" w:type="dxa"/>
            <w:vAlign w:val="center"/>
          </w:tcPr>
          <w:p w14:paraId="535899A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936</w:t>
            </w:r>
          </w:p>
        </w:tc>
        <w:tc>
          <w:tcPr>
            <w:tcW w:w="1338" w:type="dxa"/>
            <w:vAlign w:val="center"/>
          </w:tcPr>
          <w:p w14:paraId="70A9229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156</w:t>
            </w:r>
          </w:p>
        </w:tc>
        <w:tc>
          <w:tcPr>
            <w:tcW w:w="1596" w:type="dxa"/>
            <w:vAlign w:val="center"/>
          </w:tcPr>
          <w:p w14:paraId="1D45D755">
            <w:pPr>
              <w:rPr>
                <w:rFonts w:hint="default" w:ascii="宋体" w:hAnsi="宋体" w:eastAsia="宋体" w:cs="宋体"/>
                <w:sz w:val="24"/>
                <w:szCs w:val="24"/>
                <w:lang w:val="en-US"/>
              </w:rPr>
            </w:pPr>
            <w:r>
              <w:rPr>
                <w:rFonts w:hint="eastAsia" w:ascii="宋体" w:hAnsi="宋体" w:eastAsia="宋体" w:cs="宋体"/>
                <w:sz w:val="24"/>
                <w:szCs w:val="24"/>
                <w:lang w:val="en-US" w:eastAsia="zh-CN"/>
              </w:rPr>
              <w:t>146016</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2D96DA2">
            <w:pPr>
              <w:rPr>
                <w:rFonts w:hint="eastAsia" w:ascii="宋体" w:hAnsi="宋体" w:eastAsia="宋体" w:cs="宋体"/>
                <w:sz w:val="24"/>
                <w:szCs w:val="24"/>
              </w:rPr>
            </w:pPr>
          </w:p>
        </w:tc>
        <w:tc>
          <w:tcPr>
            <w:tcW w:w="5932"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1CE8AE6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146016</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lang w:val="en-US" w:eastAsia="zh-CN"/>
              </w:rPr>
              <w:t>入场服务</w:t>
            </w:r>
            <w:r>
              <w:rPr>
                <w:rFonts w:hint="eastAsia" w:ascii="宋体" w:hAnsi="宋体" w:eastAsia="宋体" w:cs="宋体"/>
                <w:sz w:val="24"/>
                <w:szCs w:val="24"/>
              </w:rPr>
              <w:t>时间</w:t>
            </w:r>
          </w:p>
        </w:tc>
        <w:tc>
          <w:tcPr>
            <w:tcW w:w="4663" w:type="dxa"/>
            <w:gridSpan w:val="4"/>
            <w:vAlign w:val="center"/>
          </w:tcPr>
          <w:p w14:paraId="72174209">
            <w:pPr>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10日</w:t>
            </w:r>
            <w:r>
              <w:rPr>
                <w:rFonts w:hint="eastAsia" w:ascii="宋体" w:hAnsi="宋体" w:eastAsia="宋体" w:cs="宋体"/>
                <w:sz w:val="24"/>
                <w:szCs w:val="24"/>
              </w:rPr>
              <w:t>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期</w:t>
            </w:r>
          </w:p>
        </w:tc>
        <w:tc>
          <w:tcPr>
            <w:tcW w:w="4663" w:type="dxa"/>
            <w:gridSpan w:val="4"/>
            <w:vAlign w:val="center"/>
          </w:tcPr>
          <w:p w14:paraId="56B9AF71">
            <w:pPr>
              <w:rPr>
                <w:rFonts w:hint="eastAsia" w:ascii="宋体" w:hAnsi="宋体" w:eastAsia="宋体" w:cs="宋体"/>
                <w:sz w:val="24"/>
                <w:szCs w:val="24"/>
              </w:rPr>
            </w:pPr>
            <w:r>
              <w:rPr>
                <w:rFonts w:hint="default" w:ascii="宋体" w:hAnsi="宋体" w:eastAsia="宋体" w:cs="宋体"/>
                <w:kern w:val="0"/>
                <w:sz w:val="24"/>
                <w:szCs w:val="24"/>
                <w:lang w:val="en-US" w:eastAsia="zh-CN"/>
              </w:rPr>
              <w:t>服务期为3年,合同一年一签</w:t>
            </w:r>
            <w:r>
              <w:rPr>
                <w:rFonts w:hint="eastAsia" w:ascii="宋体" w:hAnsi="宋体" w:eastAsia="宋体" w:cs="宋体"/>
                <w:kern w:val="0"/>
                <w:sz w:val="24"/>
                <w:szCs w:val="24"/>
                <w:lang w:val="en-US" w:eastAsia="zh-CN"/>
              </w:rPr>
              <w:t>。</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0658054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开通服务后全额付清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4D36D1A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663" w:type="dxa"/>
            <w:gridSpan w:val="4"/>
            <w:vAlign w:val="center"/>
          </w:tcPr>
          <w:p w14:paraId="53BBDC3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鄂尔多斯市中心医院（东胜部、康巴什部）</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二、项目概况</w:t>
      </w:r>
    </w:p>
    <w:p w14:paraId="0926354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（1）项目基本情况介绍： 医院东康两部有线电视服务于2022年11月与中国广电内蒙古网络有限公司鄂尔多斯分公司议价，2025年12月服务到期。东胜部开通有线电视：540户，每户156元，金额：84240元；康巴什部开通有线电视：396户，每户156元，金额：61776元，两部预算金额合计：146016元，含安装费、材料费。新增户数依据单价办理开户，第二年续签时直接添加到续签合同内。</w:t>
      </w:r>
    </w:p>
    <w:p w14:paraId="56DD302B">
      <w:pPr>
        <w:pStyle w:val="2"/>
        <w:rPr>
          <w:rFonts w:hint="eastAsia" w:ascii="宋体" w:hAnsi="宋体" w:eastAsia="宋体" w:cs="宋体"/>
          <w:sz w:val="24"/>
          <w:szCs w:val="24"/>
          <w:lang w:val="en-US" w:eastAsia="zh-CN"/>
        </w:rPr>
      </w:pPr>
    </w:p>
    <w:p w14:paraId="45A88114">
      <w:pPr>
        <w:pStyle w:val="2"/>
        <w:rPr>
          <w:rFonts w:hint="eastAsia" w:ascii="宋体" w:hAnsi="宋体" w:eastAsia="宋体" w:cs="宋体"/>
          <w:sz w:val="24"/>
          <w:szCs w:val="24"/>
          <w:lang w:val="en-US" w:eastAsia="zh-CN"/>
        </w:rPr>
      </w:pPr>
    </w:p>
    <w:p w14:paraId="718989F6">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（2）技术需求表</w:t>
      </w:r>
    </w:p>
    <w:tbl>
      <w:tblPr>
        <w:tblStyle w:val="16"/>
        <w:tblW w:w="8503" w:type="dxa"/>
        <w:tblInd w:w="0" w:type="dxa"/>
        <w:tblLayout w:type="fixed"/>
        <w:tblCellMar>
          <w:top w:w="0" w:type="dxa"/>
          <w:left w:w="108" w:type="dxa"/>
          <w:bottom w:w="0" w:type="dxa"/>
          <w:right w:w="108" w:type="dxa"/>
        </w:tblCellMar>
      </w:tblPr>
      <w:tblGrid>
        <w:gridCol w:w="692"/>
        <w:gridCol w:w="750"/>
        <w:gridCol w:w="7061"/>
      </w:tblGrid>
      <w:tr w14:paraId="7CFDB251">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1790EB8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11921DB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758419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693E34B7">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DB1C26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基本电视信号服务</w:t>
            </w:r>
          </w:p>
        </w:tc>
      </w:tr>
      <w:tr w14:paraId="1D99061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F04B1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000DD6D">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1DA94CC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提供稳定、清晰、不间断的中央及省市各级电视节目信号。</w:t>
            </w:r>
          </w:p>
        </w:tc>
      </w:tr>
      <w:tr w14:paraId="5E1FD48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8FA4A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6E2027">
            <w:pPr>
              <w:pStyle w:val="19"/>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064E05A9">
            <w:pPr>
              <w:pStyle w:val="13"/>
              <w:spacing w:line="360" w:lineRule="auto"/>
              <w:rPr>
                <w:rFonts w:hint="default" w:ascii="宋体" w:hAnsi="宋体" w:eastAsia="宋体" w:cs="宋体"/>
                <w:kern w:val="0"/>
                <w:sz w:val="21"/>
                <w:szCs w:val="21"/>
                <w:lang w:val="en-US" w:eastAsia="zh-CN" w:bidi="lo-LA"/>
              </w:rPr>
            </w:pPr>
            <w:r>
              <w:rPr>
                <w:rFonts w:hint="default" w:ascii="宋体" w:hAnsi="宋体" w:eastAsia="宋体" w:cs="宋体"/>
                <w:kern w:val="0"/>
                <w:sz w:val="21"/>
                <w:szCs w:val="21"/>
                <w:lang w:val="en-US" w:eastAsia="zh-CN" w:bidi="lo-LA"/>
              </w:rPr>
              <w:t>节目套数不少于80套，须包含所有中央台、主要省级卫视及本地重要频道</w:t>
            </w:r>
            <w:r>
              <w:rPr>
                <w:rFonts w:hint="eastAsia" w:eastAsia="宋体" w:cs="宋体"/>
                <w:kern w:val="0"/>
                <w:sz w:val="21"/>
                <w:szCs w:val="21"/>
                <w:lang w:val="en-US" w:eastAsia="zh-CN" w:bidi="lo-LA"/>
              </w:rPr>
              <w:t>。</w:t>
            </w:r>
          </w:p>
        </w:tc>
      </w:tr>
      <w:tr w14:paraId="736763B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30FEA2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867F4A">
            <w:pPr>
              <w:pStyle w:val="19"/>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5F617F1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信号传输质量需符合国家广电总局相关标准，画面清晰度至少达到标准高清（720P）及以上水平。</w:t>
            </w:r>
          </w:p>
        </w:tc>
      </w:tr>
      <w:tr w14:paraId="60CD4B85">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CB6034C">
            <w:pPr>
              <w:pStyle w:val="13"/>
              <w:spacing w:line="36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技术服务与保障</w:t>
            </w:r>
          </w:p>
        </w:tc>
      </w:tr>
      <w:tr w14:paraId="577ADE2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064BC7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A4E48AD">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43E83AD8">
            <w:pPr>
              <w:pStyle w:val="13"/>
              <w:spacing w:line="360" w:lineRule="auto"/>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信号稳定性：承诺年度平均信号可用率不低于99.9%，无长时间、大范围信号中断</w:t>
            </w:r>
            <w:r>
              <w:rPr>
                <w:rFonts w:hint="eastAsia" w:eastAsia="宋体" w:cs="宋体"/>
                <w:kern w:val="0"/>
                <w:sz w:val="21"/>
                <w:szCs w:val="21"/>
                <w:lang w:eastAsia="zh-CN" w:bidi="lo-LA"/>
              </w:rPr>
              <w:t>。</w:t>
            </w:r>
          </w:p>
        </w:tc>
      </w:tr>
      <w:tr w14:paraId="4DBD55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1D9284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FA39AA">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61BC17F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故障响应：提供7x24小时故障申告热线。发生信号中断等故障时，响应时间不超过30分钟，普通故障修复时间不超过4小时，重大故障修复时间不超过24小时。</w:t>
            </w:r>
          </w:p>
        </w:tc>
      </w:tr>
      <w:tr w14:paraId="700101D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57B34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DB3B36E">
            <w:pPr>
              <w:pStyle w:val="19"/>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4424863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应急广播接入：必须具备接入政府应急广播系统的能力，确保在紧急情况下能及时、准确地接收和播放应急信息。</w:t>
            </w:r>
          </w:p>
        </w:tc>
      </w:tr>
      <w:tr w14:paraId="683F757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9D4B89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98FFC8F">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86B277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提供所需的所有机顶盒（型号需为市场主流、运行稳定型号），并保证设备性能满足收看需求。</w:t>
            </w:r>
          </w:p>
        </w:tc>
      </w:tr>
      <w:tr w14:paraId="49A48A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C21D8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706A77">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E14C7F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负责室内所有必要线路的铺设、连接和调试，确保每个收视终端都能正常接收信号。</w:t>
            </w:r>
          </w:p>
          <w:p w14:paraId="463315BC">
            <w:pPr>
              <w:widowControl/>
              <w:spacing w:line="240" w:lineRule="auto"/>
              <w:jc w:val="left"/>
              <w:rPr>
                <w:rFonts w:hint="eastAsia" w:ascii="宋体" w:hAnsi="宋体" w:eastAsia="宋体" w:cs="宋体"/>
                <w:kern w:val="0"/>
                <w:sz w:val="21"/>
                <w:szCs w:val="21"/>
                <w:lang w:eastAsia="zh-CN" w:bidi="lo-LA"/>
              </w:rPr>
            </w:pPr>
          </w:p>
        </w:tc>
      </w:tr>
      <w:tr w14:paraId="4524F3DA">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61B9AA42">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售后服务要求</w:t>
            </w:r>
          </w:p>
        </w:tc>
      </w:tr>
      <w:tr w14:paraId="7BE5DE5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BC7BED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657D6EE">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1F030E24">
            <w:pPr>
              <w:widowControl/>
              <w:tabs>
                <w:tab w:val="left" w:pos="1324"/>
              </w:tabs>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专属客户经理：为采购人配备专属客户经理，负责日常沟通、问题协调与账单服务。</w:t>
            </w:r>
          </w:p>
        </w:tc>
      </w:tr>
      <w:tr w14:paraId="397AFC0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3A099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7B78A6F">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7BB5599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定期巡检：每年至少提供一次免费上门巡检服务，检查信号质量与设备运行状态。</w:t>
            </w:r>
          </w:p>
        </w:tc>
      </w:tr>
      <w:tr w14:paraId="4B3C8F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AFB7D5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2A97A0">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3E33A5D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服务报告：如发生重大故障，修复后需提供书面故障报告，说明原因及预防措施。</w:t>
            </w:r>
          </w:p>
        </w:tc>
      </w:tr>
      <w:tr w14:paraId="192E47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19A6D7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6FC928">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7E7DD63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 xml:space="preserve"> 投诉渠道：建立畅通的投诉渠道，对采购人的投诉应在1个工作日内予以答复。</w:t>
            </w:r>
          </w:p>
        </w:tc>
      </w:tr>
    </w:tbl>
    <w:p w14:paraId="445A9847">
      <w:pPr>
        <w:rPr>
          <w:rFonts w:hint="eastAsia" w:hAnsi="宋体"/>
          <w:sz w:val="28"/>
          <w:szCs w:val="28"/>
          <w:lang w:val="en-US" w:eastAsia="zh-CN"/>
        </w:rPr>
      </w:pPr>
    </w:p>
    <w:p w14:paraId="68C762A8">
      <w:pPr>
        <w:rPr>
          <w:rFonts w:hint="eastAsia"/>
        </w:rPr>
      </w:pPr>
    </w:p>
    <w:p w14:paraId="79651258">
      <w:pPr>
        <w:rPr>
          <w:rFonts w:hint="eastAsia"/>
        </w:rPr>
      </w:pPr>
    </w:p>
    <w:p w14:paraId="08F76399">
      <w:pPr>
        <w:rPr>
          <w:rFonts w:hint="eastAsia"/>
        </w:rPr>
      </w:pPr>
    </w:p>
    <w:p w14:paraId="1CC39F35">
      <w:pPr>
        <w:rPr>
          <w:rFonts w:hint="eastAsia"/>
        </w:rPr>
      </w:pPr>
    </w:p>
    <w:p w14:paraId="4109B55F">
      <w:pPr>
        <w:rPr>
          <w:rFonts w:hint="eastAsia"/>
        </w:rPr>
      </w:pPr>
    </w:p>
    <w:p w14:paraId="2CD41EEB">
      <w:pPr>
        <w:pStyle w:val="2"/>
        <w:rPr>
          <w:rFonts w:hint="eastAsia"/>
        </w:rPr>
      </w:pPr>
    </w:p>
    <w:p w14:paraId="564DFBF0">
      <w:pPr>
        <w:pStyle w:val="2"/>
        <w:rPr>
          <w:rFonts w:hint="eastAsia"/>
        </w:rPr>
      </w:pPr>
    </w:p>
    <w:p w14:paraId="57B58B18">
      <w:pPr>
        <w:pStyle w:val="2"/>
        <w:rPr>
          <w:rFonts w:hint="eastAsia"/>
        </w:rPr>
      </w:pPr>
    </w:p>
    <w:p w14:paraId="631CC0D3">
      <w:pPr>
        <w:pStyle w:val="2"/>
        <w:rPr>
          <w:rFonts w:hint="eastAsia"/>
        </w:rPr>
      </w:pPr>
    </w:p>
    <w:p w14:paraId="52B34B93">
      <w:pPr>
        <w:pStyle w:val="2"/>
        <w:rPr>
          <w:rFonts w:hint="eastAsia"/>
        </w:rPr>
      </w:pPr>
    </w:p>
    <w:p w14:paraId="0467516C">
      <w:pPr>
        <w:pStyle w:val="2"/>
        <w:rPr>
          <w:rFonts w:hint="eastAsia"/>
        </w:rPr>
      </w:pPr>
    </w:p>
    <w:p w14:paraId="60A30EE2">
      <w:pPr>
        <w:pStyle w:val="2"/>
        <w:rPr>
          <w:rFonts w:hint="eastAsia"/>
        </w:rPr>
      </w:pPr>
    </w:p>
    <w:p w14:paraId="64AD3D27">
      <w:pPr>
        <w:pStyle w:val="2"/>
        <w:rPr>
          <w:rFonts w:hint="eastAsia"/>
        </w:rPr>
      </w:pPr>
    </w:p>
    <w:p w14:paraId="3B624961">
      <w:pPr>
        <w:pStyle w:val="2"/>
        <w:rPr>
          <w:rFonts w:hint="eastAsia"/>
        </w:rPr>
      </w:pPr>
    </w:p>
    <w:p w14:paraId="096096D8">
      <w:pPr>
        <w:pStyle w:val="2"/>
        <w:rPr>
          <w:rFonts w:hint="eastAsia"/>
        </w:rPr>
      </w:pPr>
    </w:p>
    <w:p w14:paraId="4B29FEE5">
      <w:pPr>
        <w:rPr>
          <w:rFonts w:hint="eastAsia"/>
        </w:rPr>
      </w:pPr>
    </w:p>
    <w:p w14:paraId="4EED8702">
      <w:pPr>
        <w:rPr>
          <w:rFonts w:hint="eastAsia"/>
        </w:rPr>
      </w:pPr>
    </w:p>
    <w:p w14:paraId="7EC32A26">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6"/>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9"/>
      </w:pPr>
    </w:p>
    <w:p w14:paraId="3132B795"/>
    <w:p w14:paraId="0A576042">
      <w:pPr>
        <w:pStyle w:val="9"/>
      </w:pPr>
    </w:p>
    <w:p w14:paraId="6DC81925"/>
    <w:p w14:paraId="73950FA8">
      <w:pPr>
        <w:pStyle w:val="9"/>
      </w:pPr>
    </w:p>
    <w:p w14:paraId="3D3ADE1E"/>
    <w:p w14:paraId="3EA602B9">
      <w:pPr>
        <w:pStyle w:val="9"/>
      </w:pPr>
    </w:p>
    <w:p w14:paraId="1C2369B1"/>
    <w:p w14:paraId="3D46A060">
      <w:pPr>
        <w:pStyle w:val="9"/>
      </w:pPr>
    </w:p>
    <w:p w14:paraId="0941FFCE"/>
    <w:p w14:paraId="46CE1A36">
      <w:pPr>
        <w:pStyle w:val="9"/>
      </w:pPr>
    </w:p>
    <w:p w14:paraId="2D3AA324"/>
    <w:p w14:paraId="5C50B345">
      <w:pPr>
        <w:pStyle w:val="9"/>
      </w:pPr>
    </w:p>
    <w:p w14:paraId="1C24A7AD"/>
    <w:p w14:paraId="38F03B4E">
      <w:pPr>
        <w:pStyle w:val="9"/>
      </w:pPr>
    </w:p>
    <w:p w14:paraId="5AB51ED1"/>
    <w:p w14:paraId="6F67E51F">
      <w:pPr>
        <w:pStyle w:val="9"/>
      </w:pPr>
    </w:p>
    <w:p w14:paraId="74F8E7E8"/>
    <w:p w14:paraId="5CC96C96">
      <w:pPr>
        <w:pStyle w:val="4"/>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9"/>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9"/>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9"/>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9"/>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6"/>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5"/>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5"/>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5"/>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5"/>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5"/>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5"/>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5"/>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5"/>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5"/>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55E66B-D038-4B98-BA55-ACF97D2D73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8E557A09-8F8D-4E3B-B871-9F0EA668A1DC}"/>
  </w:font>
  <w:font w:name="Calibri Light">
    <w:panose1 w:val="020F0302020204030204"/>
    <w:charset w:val="00"/>
    <w:family w:val="auto"/>
    <w:pitch w:val="default"/>
    <w:sig w:usb0="E4002EFF" w:usb1="C200247B" w:usb2="00000009" w:usb3="00000000" w:csb0="200001FF" w:csb1="00000000"/>
    <w:embedRegular r:id="rId3" w:fontKey="{F0740066-C8CB-4D34-BB9E-9F6E361C6CEA}"/>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ED23184"/>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3B0047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autoRedefine/>
    <w:qFormat/>
    <w:uiPriority w:val="1"/>
    <w:pPr>
      <w:jc w:val="both"/>
    </w:pPr>
    <w:rPr>
      <w:rFonts w:asciiTheme="minorHAnsi" w:hAnsiTheme="minorHAnsi" w:eastAsiaTheme="minorEastAsia" w:cstheme="minorBidi"/>
      <w:sz w:val="21"/>
      <w:szCs w:val="21"/>
      <w:lang w:val="en-US" w:eastAsia="zh-CN" w:bidi="ar-SA"/>
    </w:rPr>
  </w:style>
  <w:style w:type="paragraph" w:styleId="3">
    <w:name w:val="heading 1"/>
    <w:basedOn w:val="1"/>
    <w:next w:val="1"/>
    <w:autoRedefine/>
    <w:qFormat/>
    <w:uiPriority w:val="7"/>
    <w:pPr>
      <w:spacing w:before="340" w:after="330" w:line="578" w:lineRule="auto"/>
      <w:outlineLvl w:val="0"/>
    </w:pPr>
    <w:rPr>
      <w:b/>
      <w:sz w:val="44"/>
      <w:szCs w:val="44"/>
    </w:rPr>
  </w:style>
  <w:style w:type="paragraph" w:styleId="4">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5">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6">
    <w:name w:val="heading 4"/>
    <w:basedOn w:val="1"/>
    <w:next w:val="1"/>
    <w:unhideWhenUsed/>
    <w:qFormat/>
    <w:uiPriority w:val="0"/>
    <w:pPr>
      <w:keepNext/>
      <w:keepLines/>
      <w:outlineLvl w:val="3"/>
    </w:pPr>
    <w:rPr>
      <w:rFonts w:ascii="Arial" w:hAnsi="Arial" w:eastAsia="黑体"/>
      <w:sz w:val="24"/>
    </w:rPr>
  </w:style>
  <w:style w:type="character" w:default="1" w:styleId="18">
    <w:name w:val="Default Paragraph Font"/>
    <w:autoRedefine/>
    <w:semiHidden/>
    <w:qFormat/>
    <w:uiPriority w:val="2"/>
  </w:style>
  <w:style w:type="table" w:default="1" w:styleId="16">
    <w:name w:val="Normal Table"/>
    <w:semiHidden/>
    <w:qFormat/>
    <w:uiPriority w:val="3"/>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7">
    <w:name w:val="Body Text"/>
    <w:basedOn w:val="1"/>
    <w:next w:val="1"/>
    <w:qFormat/>
    <w:uiPriority w:val="1"/>
    <w:rPr>
      <w:rFonts w:ascii="微软雅黑" w:hAnsi="微软雅黑" w:eastAsia="微软雅黑" w:cs="微软雅黑"/>
      <w:sz w:val="15"/>
      <w:szCs w:val="15"/>
      <w:lang w:val="zh-CN" w:bidi="zh-CN"/>
    </w:rPr>
  </w:style>
  <w:style w:type="paragraph" w:styleId="8">
    <w:name w:val="Body Text Indent"/>
    <w:basedOn w:val="1"/>
    <w:qFormat/>
    <w:uiPriority w:val="0"/>
    <w:pPr>
      <w:spacing w:after="120" w:afterLines="0" w:afterAutospacing="0"/>
      <w:ind w:left="420" w:leftChars="200"/>
    </w:pPr>
  </w:style>
  <w:style w:type="paragraph" w:styleId="9">
    <w:name w:val="Plain Text"/>
    <w:basedOn w:val="10"/>
    <w:next w:val="1"/>
    <w:qFormat/>
    <w:uiPriority w:val="0"/>
    <w:rPr>
      <w:rFonts w:ascii="宋体" w:hAnsi="Courier New"/>
    </w:rPr>
  </w:style>
  <w:style w:type="paragraph" w:customStyle="1" w:styleId="10">
    <w:name w:val="Normal_6"/>
    <w:next w:val="9"/>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footer"/>
    <w:basedOn w:val="1"/>
    <w:qFormat/>
    <w:uiPriority w:val="151"/>
    <w:pPr>
      <w:tabs>
        <w:tab w:val="center" w:pos="4153"/>
        <w:tab w:val="right" w:pos="8306"/>
      </w:tabs>
      <w:snapToGrid w:val="0"/>
      <w:jc w:val="left"/>
    </w:pPr>
    <w:rPr>
      <w:sz w:val="18"/>
      <w:szCs w:val="18"/>
    </w:rPr>
  </w:style>
  <w:style w:type="paragraph" w:styleId="12">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5">
    <w:name w:val="Body Text First Indent 2"/>
    <w:basedOn w:val="8"/>
    <w:qFormat/>
    <w:uiPriority w:val="0"/>
    <w:pPr>
      <w:ind w:firstLine="420" w:firstLineChars="200"/>
    </w:pPr>
  </w:style>
  <w:style w:type="table" w:styleId="17">
    <w:name w:val="Table Grid"/>
    <w:basedOn w:val="16"/>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26"/>
    <w:pPr>
      <w:ind w:firstLine="200"/>
    </w:pPr>
    <w:rPr>
      <w:rFonts w:ascii="Times New Roman" w:hAnsi="Times New Roman" w:eastAsia="宋体" w:cs="Times New Roman"/>
      <w:sz w:val="28"/>
      <w:szCs w:val="28"/>
    </w:rPr>
  </w:style>
  <w:style w:type="character" w:customStyle="1" w:styleId="20">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1">
    <w:name w:val="font11"/>
    <w:basedOn w:val="18"/>
    <w:autoRedefine/>
    <w:qFormat/>
    <w:uiPriority w:val="0"/>
    <w:rPr>
      <w:rFonts w:hint="eastAsia" w:ascii="宋体" w:hAnsi="宋体" w:eastAsia="宋体" w:cs="宋体"/>
      <w:color w:val="000000"/>
      <w:sz w:val="24"/>
      <w:szCs w:val="24"/>
      <w:u w:val="none"/>
    </w:rPr>
  </w:style>
  <w:style w:type="character" w:customStyle="1" w:styleId="22">
    <w:name w:val="font31"/>
    <w:basedOn w:val="18"/>
    <w:autoRedefine/>
    <w:qFormat/>
    <w:uiPriority w:val="0"/>
    <w:rPr>
      <w:rFonts w:hint="eastAsia" w:ascii="宋体" w:hAnsi="宋体" w:eastAsia="宋体" w:cs="宋体"/>
      <w:color w:val="000000"/>
      <w:sz w:val="21"/>
      <w:szCs w:val="21"/>
      <w:u w:val="none"/>
    </w:rPr>
  </w:style>
  <w:style w:type="paragraph" w:customStyle="1" w:styleId="23">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4">
    <w:name w:val="font41"/>
    <w:basedOn w:val="18"/>
    <w:autoRedefine/>
    <w:qFormat/>
    <w:uiPriority w:val="0"/>
    <w:rPr>
      <w:rFonts w:ascii="Calibri" w:hAnsi="Calibri" w:cs="Calibri"/>
      <w:color w:val="000000"/>
      <w:sz w:val="28"/>
      <w:szCs w:val="28"/>
      <w:u w:val="none"/>
    </w:rPr>
  </w:style>
  <w:style w:type="character" w:customStyle="1" w:styleId="25">
    <w:name w:val="font21"/>
    <w:basedOn w:val="18"/>
    <w:autoRedefine/>
    <w:qFormat/>
    <w:uiPriority w:val="0"/>
    <w:rPr>
      <w:rFonts w:hint="eastAsia" w:ascii="宋体" w:hAnsi="宋体" w:eastAsia="宋体" w:cs="宋体"/>
      <w:color w:val="000000"/>
      <w:sz w:val="21"/>
      <w:szCs w:val="21"/>
      <w:u w:val="none"/>
    </w:rPr>
  </w:style>
  <w:style w:type="table" w:customStyle="1" w:styleId="26">
    <w:name w:val="网格型1"/>
    <w:basedOn w:val="27"/>
    <w:qFormat/>
    <w:uiPriority w:val="0"/>
    <w:pPr>
      <w:widowControl w:val="0"/>
      <w:jc w:val="both"/>
    </w:pPr>
  </w:style>
  <w:style w:type="table" w:customStyle="1" w:styleId="27">
    <w:name w:val="普通表格1"/>
    <w:semiHidden/>
    <w:qFormat/>
    <w:uiPriority w:val="0"/>
  </w:style>
  <w:style w:type="character" w:customStyle="1" w:styleId="28">
    <w:name w:val="font51"/>
    <w:basedOn w:val="18"/>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6635</Words>
  <Characters>7311</Characters>
  <Lines>0</Lines>
  <Paragraphs>0</Paragraphs>
  <TotalTime>1</TotalTime>
  <ScaleCrop>false</ScaleCrop>
  <LinksUpToDate>false</LinksUpToDate>
  <CharactersWithSpaces>7860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2025-11-25T00:49:49Z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14BAF3F3B7B347EBB7EB639ADC0DF6F4_13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