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9C23D6">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东胜部新增人脸识别系统项目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3"/>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633"/>
        <w:gridCol w:w="1357"/>
        <w:gridCol w:w="1289"/>
        <w:gridCol w:w="1338"/>
        <w:gridCol w:w="1596"/>
      </w:tblGrid>
      <w:tr w14:paraId="2702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20" w:type="dxa"/>
            <w:vAlign w:val="center"/>
          </w:tcPr>
          <w:p w14:paraId="621FDA6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83" w:type="dxa"/>
            <w:gridSpan w:val="2"/>
            <w:vAlign w:val="center"/>
          </w:tcPr>
          <w:p w14:paraId="3F614A6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357" w:type="dxa"/>
            <w:vAlign w:val="center"/>
          </w:tcPr>
          <w:p w14:paraId="020A895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289" w:type="dxa"/>
            <w:vAlign w:val="center"/>
          </w:tcPr>
          <w:p w14:paraId="41352C5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38" w:type="dxa"/>
            <w:vAlign w:val="center"/>
          </w:tcPr>
          <w:p w14:paraId="1CC68B6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596" w:type="dxa"/>
            <w:vAlign w:val="center"/>
          </w:tcPr>
          <w:p w14:paraId="383C423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311D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527D83D">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50" w:type="dxa"/>
            <w:vAlign w:val="center"/>
          </w:tcPr>
          <w:p w14:paraId="745CB6CE">
            <w:pPr>
              <w:jc w:val="center"/>
              <w:rPr>
                <w:rFonts w:hint="eastAsia"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①</w:t>
            </w:r>
          </w:p>
        </w:tc>
        <w:tc>
          <w:tcPr>
            <w:tcW w:w="2633" w:type="dxa"/>
            <w:vAlign w:val="center"/>
          </w:tcPr>
          <w:p w14:paraId="2D7FE367">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身份信息识别产品</w:t>
            </w:r>
          </w:p>
        </w:tc>
        <w:tc>
          <w:tcPr>
            <w:tcW w:w="1357" w:type="dxa"/>
            <w:vAlign w:val="center"/>
          </w:tcPr>
          <w:p w14:paraId="3E8824E4">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3F3DC2D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105</w:t>
            </w:r>
          </w:p>
        </w:tc>
        <w:tc>
          <w:tcPr>
            <w:tcW w:w="1338" w:type="dxa"/>
            <w:vAlign w:val="center"/>
          </w:tcPr>
          <w:p w14:paraId="1B661949">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1840</w:t>
            </w:r>
          </w:p>
        </w:tc>
        <w:tc>
          <w:tcPr>
            <w:tcW w:w="1596" w:type="dxa"/>
            <w:vAlign w:val="center"/>
          </w:tcPr>
          <w:p w14:paraId="4D832178">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193200</w:t>
            </w:r>
          </w:p>
        </w:tc>
      </w:tr>
      <w:tr w14:paraId="47B8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188DA9D">
            <w:pPr>
              <w:jc w:val="center"/>
              <w:rPr>
                <w:rFonts w:hint="eastAsia" w:ascii="宋体" w:hAnsi="宋体" w:eastAsia="宋体" w:cs="宋体"/>
                <w:kern w:val="0"/>
                <w:sz w:val="24"/>
                <w:szCs w:val="24"/>
                <w:lang w:val="en-US" w:eastAsia="zh-CN"/>
              </w:rPr>
            </w:pPr>
          </w:p>
        </w:tc>
        <w:tc>
          <w:tcPr>
            <w:tcW w:w="750" w:type="dxa"/>
            <w:vAlign w:val="center"/>
          </w:tcPr>
          <w:p w14:paraId="633CD8AA">
            <w:pPr>
              <w:jc w:val="center"/>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②</w:t>
            </w:r>
          </w:p>
        </w:tc>
        <w:tc>
          <w:tcPr>
            <w:tcW w:w="2633" w:type="dxa"/>
            <w:vAlign w:val="center"/>
          </w:tcPr>
          <w:p w14:paraId="6ED53AC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交换机</w:t>
            </w:r>
          </w:p>
        </w:tc>
        <w:tc>
          <w:tcPr>
            <w:tcW w:w="1357" w:type="dxa"/>
            <w:vAlign w:val="center"/>
          </w:tcPr>
          <w:p w14:paraId="6828BFE7">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00861A6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338" w:type="dxa"/>
            <w:vAlign w:val="center"/>
          </w:tcPr>
          <w:p w14:paraId="00CC994B">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280</w:t>
            </w:r>
          </w:p>
        </w:tc>
        <w:tc>
          <w:tcPr>
            <w:tcW w:w="1596" w:type="dxa"/>
            <w:vAlign w:val="center"/>
          </w:tcPr>
          <w:p w14:paraId="12145BC5">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2800</w:t>
            </w:r>
          </w:p>
        </w:tc>
      </w:tr>
      <w:tr w14:paraId="4E73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E161E53">
            <w:pPr>
              <w:jc w:val="center"/>
              <w:rPr>
                <w:rFonts w:hint="eastAsia" w:ascii="宋体" w:hAnsi="宋体" w:eastAsia="宋体" w:cs="宋体"/>
                <w:kern w:val="0"/>
                <w:sz w:val="24"/>
                <w:szCs w:val="24"/>
                <w:lang w:val="en-US" w:eastAsia="zh-CN"/>
              </w:rPr>
            </w:pPr>
          </w:p>
        </w:tc>
        <w:tc>
          <w:tcPr>
            <w:tcW w:w="750" w:type="dxa"/>
            <w:vAlign w:val="center"/>
          </w:tcPr>
          <w:p w14:paraId="1E5D44CB">
            <w:pPr>
              <w:jc w:val="center"/>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③</w:t>
            </w:r>
          </w:p>
        </w:tc>
        <w:tc>
          <w:tcPr>
            <w:tcW w:w="2633" w:type="dxa"/>
            <w:vAlign w:val="center"/>
          </w:tcPr>
          <w:p w14:paraId="19A9E85B">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PDU</w:t>
            </w:r>
          </w:p>
        </w:tc>
        <w:tc>
          <w:tcPr>
            <w:tcW w:w="1357" w:type="dxa"/>
            <w:vAlign w:val="center"/>
          </w:tcPr>
          <w:p w14:paraId="4B985D39">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289" w:type="dxa"/>
            <w:vAlign w:val="center"/>
          </w:tcPr>
          <w:p w14:paraId="003ADCD8">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338" w:type="dxa"/>
            <w:vAlign w:val="center"/>
          </w:tcPr>
          <w:p w14:paraId="15B25787">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380</w:t>
            </w:r>
          </w:p>
        </w:tc>
        <w:tc>
          <w:tcPr>
            <w:tcW w:w="1596" w:type="dxa"/>
            <w:vAlign w:val="center"/>
          </w:tcPr>
          <w:p w14:paraId="27FEC44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3420</w:t>
            </w:r>
          </w:p>
        </w:tc>
      </w:tr>
      <w:tr w14:paraId="24BE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44FB96C3">
            <w:pPr>
              <w:jc w:val="center"/>
              <w:rPr>
                <w:rFonts w:hint="eastAsia" w:ascii="宋体" w:hAnsi="宋体" w:eastAsia="宋体" w:cs="宋体"/>
                <w:kern w:val="0"/>
                <w:sz w:val="24"/>
                <w:szCs w:val="24"/>
                <w:lang w:val="en-US" w:eastAsia="zh-CN"/>
              </w:rPr>
            </w:pPr>
          </w:p>
        </w:tc>
        <w:tc>
          <w:tcPr>
            <w:tcW w:w="750" w:type="dxa"/>
            <w:vAlign w:val="center"/>
          </w:tcPr>
          <w:p w14:paraId="12B23395">
            <w:pPr>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④</w:t>
            </w:r>
          </w:p>
        </w:tc>
        <w:tc>
          <w:tcPr>
            <w:tcW w:w="2633" w:type="dxa"/>
            <w:vAlign w:val="center"/>
          </w:tcPr>
          <w:p w14:paraId="5CE9D490">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规范化连接</w:t>
            </w:r>
          </w:p>
        </w:tc>
        <w:tc>
          <w:tcPr>
            <w:tcW w:w="1357" w:type="dxa"/>
            <w:vAlign w:val="center"/>
          </w:tcPr>
          <w:p w14:paraId="72F3477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w:t>
            </w:r>
          </w:p>
        </w:tc>
        <w:tc>
          <w:tcPr>
            <w:tcW w:w="1289" w:type="dxa"/>
            <w:vAlign w:val="center"/>
          </w:tcPr>
          <w:p w14:paraId="7305EAB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0488034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w:t>
            </w:r>
          </w:p>
        </w:tc>
        <w:tc>
          <w:tcPr>
            <w:tcW w:w="1596" w:type="dxa"/>
            <w:vAlign w:val="center"/>
          </w:tcPr>
          <w:p w14:paraId="638FE85A">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2200</w:t>
            </w:r>
          </w:p>
        </w:tc>
      </w:tr>
      <w:tr w14:paraId="427EB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DEE3351">
            <w:pPr>
              <w:jc w:val="center"/>
              <w:rPr>
                <w:rFonts w:hint="eastAsia" w:ascii="宋体" w:hAnsi="宋体" w:eastAsia="宋体" w:cs="宋体"/>
                <w:kern w:val="0"/>
                <w:sz w:val="24"/>
                <w:szCs w:val="24"/>
                <w:lang w:val="en-US" w:eastAsia="zh-CN"/>
              </w:rPr>
            </w:pPr>
          </w:p>
        </w:tc>
        <w:tc>
          <w:tcPr>
            <w:tcW w:w="750" w:type="dxa"/>
            <w:vAlign w:val="center"/>
          </w:tcPr>
          <w:p w14:paraId="0385A8DC">
            <w:pPr>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⑤</w:t>
            </w:r>
          </w:p>
        </w:tc>
        <w:tc>
          <w:tcPr>
            <w:tcW w:w="2633" w:type="dxa"/>
            <w:vAlign w:val="center"/>
          </w:tcPr>
          <w:p w14:paraId="203B125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辅料</w:t>
            </w:r>
          </w:p>
        </w:tc>
        <w:tc>
          <w:tcPr>
            <w:tcW w:w="1357" w:type="dxa"/>
            <w:vAlign w:val="center"/>
          </w:tcPr>
          <w:p w14:paraId="25116F8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w:t>
            </w:r>
          </w:p>
        </w:tc>
        <w:tc>
          <w:tcPr>
            <w:tcW w:w="1289" w:type="dxa"/>
            <w:vAlign w:val="center"/>
          </w:tcPr>
          <w:p w14:paraId="30D0A64F">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77337DF2">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3200</w:t>
            </w:r>
          </w:p>
        </w:tc>
        <w:tc>
          <w:tcPr>
            <w:tcW w:w="1596" w:type="dxa"/>
            <w:vAlign w:val="center"/>
          </w:tcPr>
          <w:p w14:paraId="40EFA15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3200</w:t>
            </w:r>
          </w:p>
        </w:tc>
      </w:tr>
      <w:tr w14:paraId="3B22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2E62A58">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596" w:type="dxa"/>
            <w:vAlign w:val="center"/>
          </w:tcPr>
          <w:p w14:paraId="6781F6C3">
            <w:pPr>
              <w:ind w:firstLine="240" w:firstLineChars="1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204820</w:t>
            </w:r>
          </w:p>
        </w:tc>
      </w:tr>
      <w:tr w14:paraId="0E72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06D20B12">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83" w:type="dxa"/>
            <w:gridSpan w:val="2"/>
            <w:vAlign w:val="center"/>
          </w:tcPr>
          <w:p w14:paraId="091DB983">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580" w:type="dxa"/>
            <w:gridSpan w:val="4"/>
            <w:vAlign w:val="center"/>
          </w:tcPr>
          <w:p w14:paraId="44E04C86">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合同签订后30日内。</w:t>
            </w:r>
          </w:p>
        </w:tc>
      </w:tr>
      <w:tr w14:paraId="64F6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4FE55F16">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83" w:type="dxa"/>
            <w:gridSpan w:val="2"/>
            <w:vAlign w:val="center"/>
          </w:tcPr>
          <w:p w14:paraId="36F4B2B4">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580" w:type="dxa"/>
            <w:gridSpan w:val="4"/>
            <w:vAlign w:val="center"/>
          </w:tcPr>
          <w:p w14:paraId="4A8D6CF6">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质保期3年、维保期2年</w:t>
            </w:r>
          </w:p>
        </w:tc>
      </w:tr>
      <w:tr w14:paraId="0CB7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659138B1">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83" w:type="dxa"/>
            <w:gridSpan w:val="2"/>
            <w:vAlign w:val="center"/>
          </w:tcPr>
          <w:p w14:paraId="3602856E">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580" w:type="dxa"/>
            <w:gridSpan w:val="4"/>
            <w:vAlign w:val="center"/>
          </w:tcPr>
          <w:p w14:paraId="7769A961">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验收合格后一次性付清</w:t>
            </w:r>
          </w:p>
        </w:tc>
      </w:tr>
      <w:tr w14:paraId="6B47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5DB0434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83" w:type="dxa"/>
            <w:gridSpan w:val="2"/>
            <w:vAlign w:val="center"/>
          </w:tcPr>
          <w:p w14:paraId="449505FF">
            <w:pPr>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580" w:type="dxa"/>
            <w:gridSpan w:val="4"/>
            <w:vAlign w:val="center"/>
          </w:tcPr>
          <w:p w14:paraId="60A6B7D5">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516798A">
      <w:pPr>
        <w:pStyle w:val="5"/>
        <w:rPr>
          <w:rFonts w:hint="eastAsia" w:ascii="宋体" w:hAnsi="宋体" w:eastAsia="宋体" w:cs="宋体"/>
          <w:sz w:val="28"/>
          <w:szCs w:val="28"/>
          <w:u w:val="single"/>
        </w:rPr>
      </w:pPr>
      <w:r>
        <w:rPr>
          <w:rFonts w:hint="eastAsia" w:ascii="宋体" w:hAnsi="宋体" w:eastAsia="宋体"/>
          <w:sz w:val="28"/>
          <w:szCs w:val="28"/>
        </w:rPr>
        <w:t>（1）项目基本情况介绍：</w:t>
      </w:r>
      <w:r>
        <w:rPr>
          <w:rFonts w:hint="eastAsia" w:ascii="宋体" w:hAnsi="宋体" w:eastAsia="宋体" w:cs="宋体"/>
          <w:sz w:val="28"/>
          <w:szCs w:val="28"/>
          <w:u w:val="single"/>
        </w:rPr>
        <w:t>东胜部部分区域缺少人脸识别门禁系统，为满足科室需求，需进行采购设备安装。</w:t>
      </w:r>
    </w:p>
    <w:p w14:paraId="16043F2C">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B51F1B7">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B0DDC2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634AD9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0F2213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技术参数和性能指标</w:t>
            </w:r>
          </w:p>
        </w:tc>
      </w:tr>
      <w:tr w14:paraId="17059F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E427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4A0A3B">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3F427D3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4"/>
                <w:szCs w:val="24"/>
                <w:u w:val="none"/>
                <w:lang w:val="en-US" w:eastAsia="zh-CN" w:bidi="ar"/>
              </w:rPr>
              <w:t>设备应采用嵌入式 linux 系统。</w:t>
            </w:r>
          </w:p>
        </w:tc>
      </w:tr>
      <w:tr w14:paraId="79F6C9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9CF1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76CE2F">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2E5FF03E">
            <w:pPr>
              <w:pStyle w:val="10"/>
              <w:spacing w:line="360" w:lineRule="auto"/>
              <w:rPr>
                <w:rFonts w:hint="default" w:ascii="宋体" w:hAnsi="宋体" w:eastAsia="宋体" w:cs="宋体"/>
                <w:kern w:val="0"/>
                <w:sz w:val="21"/>
                <w:szCs w:val="21"/>
                <w:lang w:val="en-US" w:eastAsia="zh-CN" w:bidi="lo-LA"/>
              </w:rPr>
            </w:pPr>
            <w:r>
              <w:rPr>
                <w:rFonts w:hint="eastAsia" w:ascii="宋体" w:hAnsi="宋体" w:eastAsia="宋体" w:cs="宋体"/>
                <w:i w:val="0"/>
                <w:iCs w:val="0"/>
                <w:color w:val="000000"/>
                <w:kern w:val="0"/>
                <w:sz w:val="24"/>
                <w:szCs w:val="24"/>
                <w:u w:val="none"/>
                <w:lang w:val="en-US" w:eastAsia="zh-CN" w:bidi="ar"/>
              </w:rPr>
              <w:t>前面板防破坏能力应满足 IK07 的要求；结构后壳防破坏能力应满足 IK10 lx的要求；防水等级应大于IP65；应支持选择嵌入式、壁挂、桌面、立式、人员通道安装；</w:t>
            </w:r>
          </w:p>
        </w:tc>
      </w:tr>
      <w:tr w14:paraId="7A2DEC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0EE0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6BFB22">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4B0D013">
            <w:pPr>
              <w:keepNext w:val="0"/>
              <w:keepLines w:val="0"/>
              <w:widowControl/>
              <w:numPr>
                <w:ilvl w:val="0"/>
                <w:numId w:val="3"/>
              </w:numPr>
              <w:suppressLineNumbers w:val="0"/>
              <w:jc w:val="left"/>
              <w:textAlignment w:val="center"/>
              <w:rPr>
                <w:rFonts w:hint="eastAsia" w:ascii="宋体" w:hAnsi="宋体" w:eastAsia="宋体" w:cs="宋体"/>
                <w:kern w:val="0"/>
                <w:sz w:val="21"/>
                <w:szCs w:val="21"/>
                <w:lang w:eastAsia="zh-CN" w:bidi="lo-LA"/>
              </w:rPr>
            </w:pPr>
            <w:r>
              <w:rPr>
                <w:rFonts w:hint="eastAsia" w:ascii="宋体" w:hAnsi="宋体" w:eastAsia="宋体" w:cs="宋体"/>
                <w:i w:val="0"/>
                <w:iCs w:val="0"/>
                <w:color w:val="000000"/>
                <w:kern w:val="0"/>
                <w:sz w:val="24"/>
                <w:szCs w:val="24"/>
                <w:u w:val="none"/>
                <w:lang w:val="en-US" w:eastAsia="zh-CN" w:bidi="ar"/>
              </w:rPr>
              <w:t xml:space="preserve"> LAN</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1，支持 10M/100M/1000M 网络自适应配置；2.RS-485 串口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个；3.输入、lx输出韦根接口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个（平台可配置）</w:t>
            </w:r>
          </w:p>
        </w:tc>
      </w:tr>
      <w:tr w14:paraId="042909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EBE0B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711A6D">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7EC0509F">
            <w:pPr>
              <w:pStyle w:val="10"/>
              <w:spacing w:line="360" w:lineRule="auto"/>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USB 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2 个，包括 type C 接口、micro USB 接口和普通 USB 连接口（需扩展线）；</w:t>
            </w:r>
          </w:p>
        </w:tc>
      </w:tr>
      <w:tr w14:paraId="2641E61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70C15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9E38D2">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EFE48CC">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内置扬声器</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536B24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E88EC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A38223">
            <w:pPr>
              <w:pStyle w:val="15"/>
              <w:widowControl/>
              <w:numPr>
                <w:ilvl w:val="0"/>
                <w:numId w:val="0"/>
              </w:numPr>
              <w:spacing w:line="240" w:lineRule="auto"/>
              <w:ind w:lef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0C69974">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门锁 I/O 输出</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455416A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02F6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7B0F24">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FB69BD5">
            <w:pPr>
              <w:widowControl/>
              <w:spacing w:line="240" w:lineRule="auto"/>
              <w:jc w:val="left"/>
              <w:rPr>
                <w:rFonts w:hint="eastAsia" w:ascii="宋体" w:hAnsi="宋体" w:eastAsia="宋体" w:cs="宋体"/>
                <w:kern w:val="0"/>
                <w:sz w:val="21"/>
                <w:szCs w:val="21"/>
                <w:lang w:eastAsia="zh-CN" w:bidi="lo-LA"/>
              </w:rPr>
            </w:pPr>
            <w:r>
              <w:rPr>
                <w:rStyle w:val="21"/>
                <w:rFonts w:hint="eastAsia" w:ascii="宋体" w:hAnsi="宋体" w:eastAsia="宋体" w:cs="宋体"/>
                <w:sz w:val="24"/>
                <w:szCs w:val="24"/>
                <w:lang w:val="en-US" w:eastAsia="zh-CN" w:bidi="ar"/>
              </w:rPr>
              <w:t>门磁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5D3A6AE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5BC53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41F7E">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5CD2C0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开门按钮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1CD67405">
            <w:pPr>
              <w:widowControl/>
              <w:spacing w:line="240" w:lineRule="auto"/>
              <w:jc w:val="left"/>
              <w:rPr>
                <w:rFonts w:hint="eastAsia" w:ascii="宋体" w:hAnsi="宋体" w:eastAsia="宋体" w:cs="宋体"/>
                <w:kern w:val="0"/>
                <w:sz w:val="21"/>
                <w:szCs w:val="21"/>
                <w:lang w:eastAsia="zh-CN" w:bidi="lo-LA"/>
              </w:rPr>
            </w:pPr>
          </w:p>
        </w:tc>
      </w:tr>
      <w:tr w14:paraId="73D4BD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3061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74C053">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5E1DD5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报警 I/O 输出</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35C4FB02">
            <w:pPr>
              <w:widowControl/>
              <w:spacing w:line="240" w:lineRule="auto"/>
              <w:jc w:val="left"/>
              <w:rPr>
                <w:rFonts w:hint="eastAsia" w:ascii="宋体" w:hAnsi="宋体" w:eastAsia="宋体" w:cs="宋体"/>
                <w:kern w:val="0"/>
                <w:sz w:val="21"/>
                <w:szCs w:val="21"/>
                <w:lang w:eastAsia="zh-CN" w:bidi="lo-LA"/>
              </w:rPr>
            </w:pPr>
          </w:p>
        </w:tc>
      </w:tr>
      <w:tr w14:paraId="474FB5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3C0E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62D010">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0CF185C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报警事件 I/O 输入</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2 个；</w:t>
            </w:r>
          </w:p>
          <w:p w14:paraId="4EA76635">
            <w:pPr>
              <w:widowControl/>
              <w:spacing w:line="240" w:lineRule="auto"/>
              <w:jc w:val="left"/>
              <w:rPr>
                <w:rFonts w:hint="eastAsia" w:ascii="宋体" w:hAnsi="宋体" w:eastAsia="宋体" w:cs="宋体"/>
                <w:kern w:val="0"/>
                <w:sz w:val="21"/>
                <w:szCs w:val="21"/>
                <w:lang w:eastAsia="zh-CN" w:bidi="lo-LA"/>
              </w:rPr>
            </w:pPr>
          </w:p>
        </w:tc>
      </w:tr>
      <w:tr w14:paraId="5CB970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AB59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384D67">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31D841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机械防拆开关</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p w14:paraId="56AAE384">
            <w:pPr>
              <w:widowControl/>
              <w:spacing w:line="240" w:lineRule="auto"/>
              <w:jc w:val="left"/>
              <w:rPr>
                <w:rFonts w:hint="eastAsia" w:ascii="宋体" w:hAnsi="宋体" w:eastAsia="宋体" w:cs="宋体"/>
                <w:kern w:val="0"/>
                <w:sz w:val="21"/>
                <w:szCs w:val="21"/>
                <w:lang w:eastAsia="zh-CN" w:bidi="lo-LA"/>
              </w:rPr>
            </w:pPr>
          </w:p>
        </w:tc>
      </w:tr>
      <w:tr w14:paraId="61B560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D41D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B07A8B8">
            <w:pPr>
              <w:pStyle w:val="15"/>
              <w:widowControl/>
              <w:numPr>
                <w:ilvl w:val="0"/>
                <w:numId w:val="0"/>
              </w:numPr>
              <w:spacing w:line="240" w:lineRule="auto"/>
              <w:ind w:leftChars="0"/>
              <w:jc w:val="center"/>
              <w:rPr>
                <w:rFonts w:hint="default" w:ascii="宋体" w:hAnsi="宋体" w:eastAsia="宋体" w:cs="宋体"/>
                <w:kern w:val="0"/>
                <w:sz w:val="21"/>
                <w:szCs w:val="21"/>
                <w:lang w:val="en-US" w:eastAsia="zh-CN" w:bidi="lo-LA"/>
              </w:rPr>
            </w:pPr>
            <w:r>
              <w:rPr>
                <w:rFonts w:hint="eastAsia" w:ascii="宋体" w:hAnsi="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1C7D496C">
            <w:pPr>
              <w:widowControl/>
              <w:spacing w:line="240" w:lineRule="auto"/>
              <w:jc w:val="left"/>
              <w:rPr>
                <w:rFonts w:hint="default" w:ascii="宋体" w:hAnsi="宋体" w:eastAsia="宋体" w:cs="宋体"/>
                <w:kern w:val="0"/>
                <w:sz w:val="21"/>
                <w:szCs w:val="21"/>
                <w:lang w:val="en-US" w:eastAsia="zh-CN" w:bidi="lo-LA"/>
              </w:rPr>
            </w:pPr>
            <w:r>
              <w:rPr>
                <w:rStyle w:val="21"/>
                <w:rFonts w:hint="eastAsia" w:ascii="宋体" w:hAnsi="宋体" w:eastAsia="宋体" w:cs="宋体"/>
                <w:sz w:val="24"/>
                <w:szCs w:val="24"/>
                <w:lang w:val="en-US" w:eastAsia="zh-CN" w:bidi="ar"/>
              </w:rPr>
              <w:t>支持 3.5mm 音频输出接口</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1 个;</w:t>
            </w:r>
          </w:p>
        </w:tc>
      </w:tr>
      <w:tr w14:paraId="7CB9AB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E88B0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369A72">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4639C4F5">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 micro SD 卡槽扩展；</w:t>
            </w:r>
          </w:p>
        </w:tc>
      </w:tr>
      <w:tr w14:paraId="07B5076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5F755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FE244F">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7EDC7D89">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 MIC 音频输入采集。</w:t>
            </w:r>
          </w:p>
        </w:tc>
      </w:tr>
      <w:tr w14:paraId="38C6E5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FAE6A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C05F51">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03B2EDC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屏幕应为 7 英寸触摸屏；应采用水滴屏全贴合工艺；玻璃屏占比≥90%。屏幕流明度≥600cd/m2；屏幕分辨率应不低于600*1024；屏显下端应具有圆形指示灯，指示灯应支持固定频率的亮起和熄灭（呼吸状态）及识别状态提示。</w:t>
            </w:r>
          </w:p>
        </w:tc>
      </w:tr>
      <w:tr w14:paraId="679B2C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83EF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280FAF">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0E26B27">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应能在 0.001lux 低照度无补光环境下正常实现人脸验证，可在强光、逆光、暗光环境条件的人脸验证；在无可见光补光及低照度环境下实现全彩图输出预览图像；应支持防假体攻击功能，对视频、电子照片、打印照片、头模、3D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个人脸同时做人脸验证，并分别输出比对结果；人脸验证垂直及水平区域范围应能设置 ，应支持人脸在上下、左右角度偏转±45°范围内识别；应支持人脸验证角度调节范围 0°～90°自由设置，应支持不低于 5 个人脸比对阈值设置。</w:t>
            </w:r>
          </w:p>
        </w:tc>
      </w:tr>
      <w:tr w14:paraId="2AB407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8072B6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F28ADB">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2E0AD2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TCP/IP 有线网络通信，支持 10M/100M/1000M 网络自适应配置，应支持局域网、互联网环境的网络通信；应支持 TCP/IP 有线网络通信，应支持通过 IPV4 或 IPV6 网络地址登录。</w:t>
            </w:r>
          </w:p>
        </w:tc>
      </w:tr>
      <w:tr w14:paraId="774145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610D8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72B858">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605AC562">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 IC 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tc>
      </w:tr>
      <w:tr w14:paraId="03D017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61DBC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696D8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51C53E9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 xml:space="preserve">应采用 200W 像素双目摄像头，帧率应≥25 帧/s；应支持接入 NVR 设备，实现视频监控录像； </w:t>
            </w:r>
          </w:p>
        </w:tc>
      </w:tr>
      <w:tr w14:paraId="65B5BC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E02E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4AD5A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1D680F7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应支持双码流技术，主码流和子码流均为 1280×720@25fps 输出；在 IE 浏览器下，视频编码格式具有 H.265、H.264、MPEG-4、MJPEG 设置选项；可将 H.265、H.264 格式设置为Baseline/Mai n/High Profile。</w:t>
            </w:r>
          </w:p>
        </w:tc>
      </w:tr>
      <w:tr w14:paraId="71455F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BE102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EE58C6">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6B6E8AA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设备离线应支持 10000个用户（用户权限应能配置为管理员）、 10000 张人脸库、 50000 张卡片容量、150000 笔记录存储 、 10000 个密码、10000个掌纹掌静脉特征。</w:t>
            </w:r>
          </w:p>
        </w:tc>
      </w:tr>
      <w:tr w14:paraId="5D8A54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83F2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9BE225">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28E7625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p>
        </w:tc>
      </w:tr>
      <w:tr w14:paraId="70A629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AAB1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9C308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0F1CA45B">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p>
        </w:tc>
      </w:tr>
      <w:tr w14:paraId="61FD43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7965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BD8E79">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vAlign w:val="center"/>
          </w:tcPr>
          <w:p w14:paraId="71FD2CDD">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w:t>
            </w:r>
          </w:p>
        </w:tc>
      </w:tr>
      <w:tr w14:paraId="5C500F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19374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99108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vAlign w:val="center"/>
          </w:tcPr>
          <w:p w14:paraId="1463C44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p>
        </w:tc>
      </w:tr>
      <w:tr w14:paraId="7399F13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5273D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1ECAA5">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vAlign w:val="center"/>
          </w:tcPr>
          <w:p w14:paraId="7324E1E0">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w:t>
            </w:r>
          </w:p>
        </w:tc>
      </w:tr>
      <w:tr w14:paraId="732D346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56E41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B5892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vAlign w:val="center"/>
          </w:tcPr>
          <w:p w14:paraId="688B4061">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人脸比对平均时间应＜120ms （1:1对比方式）；最大人脸验证距离：＞4m；最小人脸验证距离：＜0.2m；认假率（FAR）= 认假总次数/负样本对×100%；拒真率（FRR）= 拒真总次数/正样本对×100%；准确率=（正样本通过次数+负样本拒绝次数）/比对总次数×100%；FAR＜0.0002% ；FRR＜1%；准确率＞99.95%</w:t>
            </w:r>
          </w:p>
        </w:tc>
      </w:tr>
      <w:tr w14:paraId="007A45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1F5F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DBF0DC">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vAlign w:val="center"/>
          </w:tcPr>
          <w:p w14:paraId="7FBEF01C">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tc>
      </w:tr>
      <w:tr w14:paraId="6AABC1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EACBB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FA7A6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vAlign w:val="center"/>
          </w:tcPr>
          <w:p w14:paraId="1C2BC60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w:t>
            </w:r>
          </w:p>
        </w:tc>
      </w:tr>
      <w:tr w14:paraId="37A04B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5E6B3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BCDFF0">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vAlign w:val="center"/>
          </w:tcPr>
          <w:p w14:paraId="0698A72A">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应支持在没有用户使用时自动切换到屏保或息屏待机状态，人员靠近自动唤醒待机设备，唤醒距离应能调节；应采用软硬件低功耗管理模式，设备待机运行功耗应不超过 6W。</w:t>
            </w:r>
          </w:p>
        </w:tc>
      </w:tr>
      <w:tr w14:paraId="0027DC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C393B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8066A3">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vAlign w:val="center"/>
          </w:tcPr>
          <w:p w14:paraId="63FF080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p>
        </w:tc>
      </w:tr>
      <w:tr w14:paraId="1744DD5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3125DA">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6BA1413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vAlign w:val="center"/>
          </w:tcPr>
          <w:p w14:paraId="7D691F6E">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p>
        </w:tc>
      </w:tr>
      <w:tr w14:paraId="6C8C3F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B884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187C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vAlign w:val="center"/>
          </w:tcPr>
          <w:p w14:paraId="4022106D">
            <w:pPr>
              <w:keepNext w:val="0"/>
              <w:keepLines w:val="0"/>
              <w:widowControl/>
              <w:numPr>
                <w:ilvl w:val="0"/>
                <w:numId w:val="0"/>
              </w:numPr>
              <w:suppressLineNumbers w:val="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tc>
      </w:tr>
      <w:tr w14:paraId="1301AD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4AD6C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811989">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vAlign w:val="center"/>
          </w:tcPr>
          <w:p w14:paraId="5E16504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高温（80±2）℃、2h，试验期间及试验后样品应能正常工作；低温（-40±3）℃、2h，试验期间及试验后样品应能正常工作；恒定湿热（+40℃±2）℃、RH(93</w:t>
            </w:r>
            <w:r>
              <w:rPr>
                <w:rStyle w:val="20"/>
                <w:rFonts w:hint="eastAsia" w:ascii="宋体" w:hAnsi="宋体" w:eastAsia="宋体" w:cs="宋体"/>
                <w:sz w:val="24"/>
                <w:szCs w:val="24"/>
                <w:lang w:val="en-US" w:eastAsia="zh-CN" w:bidi="ar"/>
              </w:rPr>
              <w:t>−</w:t>
            </w:r>
            <w:r>
              <w:rPr>
                <w:rStyle w:val="21"/>
                <w:rFonts w:hint="eastAsia" w:ascii="宋体" w:hAnsi="宋体" w:eastAsia="宋体" w:cs="宋体"/>
                <w:sz w:val="24"/>
                <w:szCs w:val="24"/>
                <w:lang w:val="en-US" w:eastAsia="zh-CN" w:bidi="ar"/>
              </w:rPr>
              <w:t>3+2)%,48h，试验期间及试验后样品应能正常工作。</w:t>
            </w:r>
          </w:p>
        </w:tc>
      </w:tr>
      <w:tr w14:paraId="5B990C4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EDA8C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BC146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vAlign w:val="center"/>
          </w:tcPr>
          <w:p w14:paraId="534E62F7">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产品供应商应具有符合ISO/IEC 27701：2019要求的隐私信息管理体系认证。</w:t>
            </w:r>
          </w:p>
        </w:tc>
      </w:tr>
      <w:tr w14:paraId="65256BA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46FEA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35A801">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36</w:t>
            </w:r>
          </w:p>
        </w:tc>
        <w:tc>
          <w:tcPr>
            <w:tcW w:w="7061" w:type="dxa"/>
            <w:tcBorders>
              <w:top w:val="single" w:color="auto" w:sz="4" w:space="0"/>
              <w:left w:val="nil"/>
              <w:bottom w:val="single" w:color="auto" w:sz="4" w:space="0"/>
              <w:right w:val="single" w:color="auto" w:sz="4" w:space="0"/>
            </w:tcBorders>
            <w:vAlign w:val="center"/>
          </w:tcPr>
          <w:p w14:paraId="146E6EAE">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应具有拓展GPS定位模块能力，应能通过事件方式定时上报设备位置信息</w:t>
            </w:r>
          </w:p>
        </w:tc>
      </w:tr>
      <w:tr w14:paraId="2A77C298">
        <w:tblPrEx>
          <w:tblCellMar>
            <w:top w:w="0" w:type="dxa"/>
            <w:left w:w="108" w:type="dxa"/>
            <w:bottom w:w="0" w:type="dxa"/>
            <w:right w:w="108" w:type="dxa"/>
          </w:tblCellMar>
        </w:tblPrEx>
        <w:trPr>
          <w:trHeight w:val="599" w:hRule="atLeast"/>
        </w:trPr>
        <w:tc>
          <w:tcPr>
            <w:tcW w:w="692" w:type="dxa"/>
            <w:tcBorders>
              <w:top w:val="single" w:color="auto" w:sz="4" w:space="0"/>
              <w:left w:val="single" w:color="auto" w:sz="4" w:space="0"/>
              <w:bottom w:val="single" w:color="auto" w:sz="4" w:space="0"/>
              <w:right w:val="single" w:color="auto" w:sz="4" w:space="0"/>
            </w:tcBorders>
            <w:vAlign w:val="center"/>
          </w:tcPr>
          <w:p w14:paraId="5795B3F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709550">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37</w:t>
            </w:r>
          </w:p>
        </w:tc>
        <w:tc>
          <w:tcPr>
            <w:tcW w:w="7061" w:type="dxa"/>
            <w:tcBorders>
              <w:top w:val="single" w:color="auto" w:sz="4" w:space="0"/>
              <w:left w:val="nil"/>
              <w:bottom w:val="single" w:color="auto" w:sz="4" w:space="0"/>
              <w:right w:val="single" w:color="auto" w:sz="4" w:space="0"/>
            </w:tcBorders>
            <w:vAlign w:val="center"/>
          </w:tcPr>
          <w:p w14:paraId="53C5B954">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符合GB/T24021-2001idt ISO14021:1999《环境管理环境标志与声明自我环境声明(Ⅱ型环境标志)》的要求</w:t>
            </w:r>
          </w:p>
        </w:tc>
      </w:tr>
      <w:tr w14:paraId="3830969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4D3A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0D794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38</w:t>
            </w:r>
          </w:p>
        </w:tc>
        <w:tc>
          <w:tcPr>
            <w:tcW w:w="7061" w:type="dxa"/>
            <w:tcBorders>
              <w:top w:val="single" w:color="auto" w:sz="4" w:space="0"/>
              <w:left w:val="nil"/>
              <w:bottom w:val="single" w:color="auto" w:sz="4" w:space="0"/>
              <w:right w:val="single" w:color="auto" w:sz="4" w:space="0"/>
            </w:tcBorders>
            <w:vAlign w:val="center"/>
          </w:tcPr>
          <w:p w14:paraId="561705D0">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设备应支持掌纹掌静脉识别功能。应具有掌纹掌静脉防假功能，应能抵御视频、电子照片、打印照片、3D模型等类型的掌纹呈现攻击，活体检测准确率应≥99.5%。</w:t>
            </w:r>
          </w:p>
        </w:tc>
      </w:tr>
      <w:tr w14:paraId="3301AB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3F70C7">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2CA83D4B">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39</w:t>
            </w:r>
          </w:p>
        </w:tc>
        <w:tc>
          <w:tcPr>
            <w:tcW w:w="7061" w:type="dxa"/>
            <w:tcBorders>
              <w:top w:val="single" w:color="auto" w:sz="4" w:space="0"/>
              <w:left w:val="nil"/>
              <w:bottom w:val="single" w:color="auto" w:sz="4" w:space="0"/>
              <w:right w:val="single" w:color="auto" w:sz="4" w:space="0"/>
            </w:tcBorders>
            <w:vAlign w:val="center"/>
          </w:tcPr>
          <w:p w14:paraId="017B8073">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设备掌纹掌静脉比对时间应＜200ms，准确率应＞99.95%，识别距离在5cm~12cm范围内。</w:t>
            </w:r>
            <w:r>
              <w:rPr>
                <w:rStyle w:val="21"/>
                <w:rFonts w:hint="eastAsia" w:ascii="宋体" w:hAnsi="宋体" w:eastAsia="宋体" w:cs="宋体"/>
                <w:sz w:val="24"/>
                <w:szCs w:val="24"/>
                <w:lang w:val="en-US" w:eastAsia="zh-CN" w:bidi="ar"/>
              </w:rPr>
              <w:br w:type="textWrapping"/>
            </w:r>
          </w:p>
        </w:tc>
      </w:tr>
      <w:tr w14:paraId="7585121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DF811C">
            <w:pPr>
              <w:widowControl/>
              <w:spacing w:line="240" w:lineRule="auto"/>
              <w:jc w:val="center"/>
              <w:rPr>
                <w:rFonts w:hint="eastAsia" w:ascii="宋体" w:hAnsi="宋体" w:eastAsia="宋体" w:cs="宋体"/>
                <w:sz w:val="21"/>
                <w:szCs w:val="21"/>
                <w:lang w:bidi="lo-LA"/>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0D738847">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40</w:t>
            </w:r>
          </w:p>
        </w:tc>
        <w:tc>
          <w:tcPr>
            <w:tcW w:w="7061" w:type="dxa"/>
            <w:tcBorders>
              <w:top w:val="single" w:color="auto" w:sz="4" w:space="0"/>
              <w:left w:val="nil"/>
              <w:bottom w:val="single" w:color="auto" w:sz="4" w:space="0"/>
              <w:right w:val="single" w:color="auto" w:sz="4" w:space="0"/>
            </w:tcBorders>
            <w:vAlign w:val="center"/>
          </w:tcPr>
          <w:p w14:paraId="234E74A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w:t>
            </w:r>
          </w:p>
        </w:tc>
      </w:tr>
      <w:tr w14:paraId="382209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CD41D5">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91AB05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41</w:t>
            </w:r>
          </w:p>
        </w:tc>
        <w:tc>
          <w:tcPr>
            <w:tcW w:w="7061" w:type="dxa"/>
            <w:tcBorders>
              <w:top w:val="single" w:color="auto" w:sz="4" w:space="0"/>
              <w:left w:val="nil"/>
              <w:bottom w:val="single" w:color="auto" w:sz="4" w:space="0"/>
              <w:right w:val="single" w:color="auto" w:sz="4" w:space="0"/>
            </w:tcBorders>
            <w:vAlign w:val="center"/>
          </w:tcPr>
          <w:p w14:paraId="1F6CAD32">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highlight w:val="none"/>
                <w:lang w:val="en-US" w:eastAsia="zh-CN" w:bidi="ar"/>
              </w:rPr>
              <w:t>以上标“★”参数为主要技术参数，需提供第三方权威检测报告并加盖原厂公章。</w:t>
            </w:r>
          </w:p>
        </w:tc>
      </w:tr>
      <w:tr w14:paraId="285934B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B2D57D">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6BB8C3D">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42</w:t>
            </w:r>
          </w:p>
        </w:tc>
        <w:tc>
          <w:tcPr>
            <w:tcW w:w="7061" w:type="dxa"/>
            <w:tcBorders>
              <w:top w:val="single" w:color="auto" w:sz="4" w:space="0"/>
              <w:left w:val="nil"/>
              <w:bottom w:val="single" w:color="auto" w:sz="4" w:space="0"/>
              <w:right w:val="single" w:color="auto" w:sz="4" w:space="0"/>
            </w:tcBorders>
            <w:vAlign w:val="center"/>
          </w:tcPr>
          <w:p w14:paraId="2DB29E78">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包含实施安装、包含门禁授权</w:t>
            </w:r>
          </w:p>
        </w:tc>
      </w:tr>
      <w:tr w14:paraId="05A870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E810A0">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62077C4">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43</w:t>
            </w:r>
          </w:p>
        </w:tc>
        <w:tc>
          <w:tcPr>
            <w:tcW w:w="7061" w:type="dxa"/>
            <w:tcBorders>
              <w:top w:val="single" w:color="auto" w:sz="4" w:space="0"/>
              <w:left w:val="nil"/>
              <w:bottom w:val="single" w:color="auto" w:sz="4" w:space="0"/>
              <w:right w:val="single" w:color="auto" w:sz="4" w:space="0"/>
            </w:tcBorders>
            <w:vAlign w:val="center"/>
          </w:tcPr>
          <w:p w14:paraId="1C49A1A6">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本次采购的门</w:t>
            </w:r>
            <w:bookmarkStart w:id="1" w:name="_GoBack"/>
            <w:bookmarkEnd w:id="1"/>
            <w:r>
              <w:rPr>
                <w:rStyle w:val="21"/>
                <w:rFonts w:hint="eastAsia" w:ascii="宋体" w:hAnsi="宋体" w:eastAsia="宋体" w:cs="宋体"/>
                <w:sz w:val="24"/>
                <w:szCs w:val="24"/>
                <w:lang w:val="en-US" w:eastAsia="zh-CN" w:bidi="ar"/>
              </w:rPr>
              <w:t>禁主机，须包含实现其基本门禁控制功能所需的全部配套组件及安装辅材，以确保设备到场后可完成基础功能的安装与调试。</w:t>
            </w:r>
          </w:p>
        </w:tc>
      </w:tr>
      <w:tr w14:paraId="2E2D068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58E6E7">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79F3A1A">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44</w:t>
            </w:r>
          </w:p>
        </w:tc>
        <w:tc>
          <w:tcPr>
            <w:tcW w:w="7061" w:type="dxa"/>
            <w:tcBorders>
              <w:top w:val="single" w:color="auto" w:sz="4" w:space="0"/>
              <w:left w:val="nil"/>
              <w:bottom w:val="single" w:color="auto" w:sz="4" w:space="0"/>
              <w:right w:val="single" w:color="auto" w:sz="4" w:space="0"/>
            </w:tcBorders>
            <w:vAlign w:val="center"/>
          </w:tcPr>
          <w:p w14:paraId="4BF2EB23">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支持远程开门。</w:t>
            </w:r>
          </w:p>
        </w:tc>
      </w:tr>
      <w:tr w14:paraId="3B8C87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A19711">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48DEB5DE">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45</w:t>
            </w:r>
          </w:p>
        </w:tc>
        <w:tc>
          <w:tcPr>
            <w:tcW w:w="7061" w:type="dxa"/>
            <w:tcBorders>
              <w:top w:val="single" w:color="auto" w:sz="4" w:space="0"/>
              <w:left w:val="nil"/>
              <w:bottom w:val="single" w:color="auto" w:sz="4" w:space="0"/>
              <w:right w:val="single" w:color="auto" w:sz="4" w:space="0"/>
            </w:tcBorders>
            <w:vAlign w:val="center"/>
          </w:tcPr>
          <w:p w14:paraId="0317CB2F">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项目实施与验收：投标人须在投标文件中提供详细的项目实施计划、验收方案及培训计划。中标后，须在设备到场后7个工作日内完成单台设备的安装与基础功能调试</w:t>
            </w:r>
          </w:p>
        </w:tc>
      </w:tr>
      <w:tr w14:paraId="1206BF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1DC148">
            <w:pPr>
              <w:widowControl/>
              <w:spacing w:line="240" w:lineRule="auto"/>
              <w:jc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60E9B6D2">
            <w:pPr>
              <w:pStyle w:val="15"/>
              <w:widowControl/>
              <w:numPr>
                <w:ilvl w:val="0"/>
                <w:numId w:val="0"/>
              </w:numPr>
              <w:spacing w:line="240" w:lineRule="auto"/>
              <w:ind w:leftChars="0"/>
              <w:jc w:val="center"/>
              <w:rPr>
                <w:rFonts w:hint="default" w:ascii="宋体" w:hAnsi="宋体" w:cs="宋体"/>
                <w:kern w:val="0"/>
                <w:sz w:val="21"/>
                <w:szCs w:val="21"/>
                <w:lang w:val="en-US" w:eastAsia="zh-CN" w:bidi="lo-LA"/>
              </w:rPr>
            </w:pPr>
            <w:r>
              <w:rPr>
                <w:rFonts w:hint="eastAsia" w:ascii="宋体" w:hAnsi="宋体" w:cs="宋体"/>
                <w:kern w:val="0"/>
                <w:sz w:val="21"/>
                <w:szCs w:val="21"/>
                <w:lang w:val="en-US" w:eastAsia="zh-CN" w:bidi="lo-LA"/>
              </w:rPr>
              <w:t>46</w:t>
            </w:r>
          </w:p>
        </w:tc>
        <w:tc>
          <w:tcPr>
            <w:tcW w:w="7061" w:type="dxa"/>
            <w:tcBorders>
              <w:top w:val="single" w:color="auto" w:sz="4" w:space="0"/>
              <w:left w:val="nil"/>
              <w:bottom w:val="single" w:color="auto" w:sz="4" w:space="0"/>
              <w:right w:val="single" w:color="auto" w:sz="4" w:space="0"/>
            </w:tcBorders>
            <w:vAlign w:val="center"/>
          </w:tcPr>
          <w:p w14:paraId="4E6EDB41">
            <w:pPr>
              <w:keepNext w:val="0"/>
              <w:keepLines w:val="0"/>
              <w:widowControl/>
              <w:numPr>
                <w:ilvl w:val="0"/>
                <w:numId w:val="0"/>
              </w:numPr>
              <w:suppressLineNumbers w:val="0"/>
              <w:ind w:leftChars="0"/>
              <w:jc w:val="left"/>
              <w:textAlignment w:val="center"/>
              <w:rPr>
                <w:rStyle w:val="21"/>
                <w:rFonts w:hint="eastAsia" w:ascii="宋体" w:hAnsi="宋体" w:eastAsia="宋体" w:cs="宋体"/>
                <w:sz w:val="24"/>
                <w:szCs w:val="24"/>
                <w:lang w:val="en-US" w:eastAsia="zh-CN" w:bidi="ar"/>
              </w:rPr>
            </w:pPr>
            <w:r>
              <w:rPr>
                <w:rStyle w:val="21"/>
                <w:rFonts w:hint="eastAsia" w:ascii="宋体" w:hAnsi="宋体" w:eastAsia="宋体" w:cs="宋体"/>
                <w:sz w:val="24"/>
                <w:szCs w:val="24"/>
                <w:lang w:val="en-US" w:eastAsia="zh-CN" w:bidi="ar"/>
              </w:rPr>
              <w:t>协议开放性：设备需提供完整的二次开发SDK包及API接口文档，明确支持ONVIF Profile S &amp; T标准协议，以确保与现有安防平台无缝对接，并可以无损任何功能接入现有软件。</w:t>
            </w:r>
          </w:p>
        </w:tc>
      </w:tr>
      <w:tr w14:paraId="0A48BD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1A35BD">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29D4720F">
            <w:pPr>
              <w:pStyle w:val="15"/>
              <w:widowControl/>
              <w:numPr>
                <w:ilvl w:val="0"/>
                <w:numId w:val="0"/>
              </w:numPr>
              <w:spacing w:line="240" w:lineRule="auto"/>
              <w:ind w:leftChars="0"/>
              <w:jc w:val="center"/>
              <w:rPr>
                <w:rFonts w:hint="eastAsia" w:ascii="宋体" w:hAnsi="宋体" w:cs="宋体"/>
                <w:b/>
                <w:bCs/>
                <w:kern w:val="0"/>
                <w:sz w:val="21"/>
                <w:szCs w:val="21"/>
                <w:lang w:val="en-US" w:eastAsia="zh-CN" w:bidi="lo-LA"/>
              </w:rPr>
            </w:pPr>
            <w:r>
              <w:rPr>
                <w:rStyle w:val="21"/>
                <w:rFonts w:hint="eastAsia" w:ascii="宋体" w:hAnsi="宋体" w:eastAsia="宋体" w:cs="宋体"/>
                <w:sz w:val="24"/>
                <w:szCs w:val="24"/>
                <w:lang w:val="en-US" w:eastAsia="zh-CN" w:bidi="ar"/>
              </w:rPr>
              <w:t>交换机</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5793EF">
            <w:pPr>
              <w:keepNext w:val="0"/>
              <w:keepLines w:val="0"/>
              <w:widowControl/>
              <w:suppressLineNumbers w:val="0"/>
              <w:jc w:val="left"/>
              <w:textAlignment w:val="center"/>
              <w:rPr>
                <w:rFonts w:hint="eastAsia" w:ascii="宋体" w:hAnsi="宋体" w:eastAsia="宋体" w:cs="宋体"/>
                <w:kern w:val="2"/>
                <w:sz w:val="52"/>
                <w:szCs w:val="52"/>
                <w:lang w:val="en-US" w:eastAsia="zh-CN" w:bidi="ar-SA"/>
              </w:rPr>
            </w:pPr>
            <w:r>
              <w:rPr>
                <w:rFonts w:hint="eastAsia" w:ascii="宋体" w:hAnsi="宋体" w:eastAsia="宋体" w:cs="宋体"/>
                <w:i w:val="0"/>
                <w:iCs w:val="0"/>
                <w:color w:val="000000"/>
                <w:kern w:val="0"/>
                <w:sz w:val="24"/>
                <w:szCs w:val="24"/>
                <w:u w:val="none"/>
                <w:lang w:val="en-US" w:eastAsia="zh-CN" w:bidi="ar"/>
              </w:rPr>
              <w:t>10口千兆/支持 IEEE 802.3af/at 标准/支持6KV防浪涌/全金属外壳。</w:t>
            </w:r>
          </w:p>
        </w:tc>
      </w:tr>
      <w:tr w14:paraId="7FE1C5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02851B6">
            <w:pPr>
              <w:widowControl/>
              <w:spacing w:line="240" w:lineRule="auto"/>
              <w:jc w:val="center"/>
              <w:rPr>
                <w:rStyle w:val="21"/>
                <w:rFonts w:hint="eastAsia" w:ascii="宋体" w:hAnsi="宋体" w:eastAsia="宋体" w:cs="宋体"/>
                <w:sz w:val="24"/>
                <w:szCs w:val="24"/>
                <w:lang w:val="en-US" w:eastAsia="zh-CN" w:bidi="ar"/>
              </w:rPr>
            </w:pPr>
          </w:p>
        </w:tc>
        <w:tc>
          <w:tcPr>
            <w:tcW w:w="750" w:type="dxa"/>
            <w:tcBorders>
              <w:top w:val="single" w:color="auto" w:sz="4" w:space="0"/>
              <w:left w:val="nil"/>
              <w:bottom w:val="single" w:color="auto" w:sz="4" w:space="0"/>
              <w:right w:val="single" w:color="auto" w:sz="4" w:space="0"/>
            </w:tcBorders>
            <w:vAlign w:val="center"/>
          </w:tcPr>
          <w:p w14:paraId="59249863">
            <w:pPr>
              <w:pStyle w:val="15"/>
              <w:widowControl/>
              <w:numPr>
                <w:ilvl w:val="0"/>
                <w:numId w:val="0"/>
              </w:numPr>
              <w:spacing w:line="240" w:lineRule="auto"/>
              <w:ind w:leftChars="0"/>
              <w:jc w:val="center"/>
              <w:rPr>
                <w:rStyle w:val="21"/>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PDU</w:t>
            </w:r>
          </w:p>
        </w:tc>
        <w:tc>
          <w:tcPr>
            <w:tcW w:w="7061" w:type="dxa"/>
            <w:tcBorders>
              <w:top w:val="single" w:color="auto" w:sz="4" w:space="0"/>
              <w:left w:val="nil"/>
              <w:bottom w:val="single" w:color="auto" w:sz="4" w:space="0"/>
              <w:right w:val="single" w:color="auto" w:sz="4" w:space="0"/>
            </w:tcBorders>
            <w:shd w:val="clear" w:color="auto" w:fill="auto"/>
            <w:vAlign w:val="center"/>
          </w:tcPr>
          <w:p w14:paraId="2ED8AB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防雷击、防浪涌、4000w、分控、10位</w:t>
            </w:r>
          </w:p>
        </w:tc>
      </w:tr>
      <w:tr w14:paraId="03E99D3A">
        <w:tblPrEx>
          <w:tblCellMar>
            <w:top w:w="0" w:type="dxa"/>
            <w:left w:w="108" w:type="dxa"/>
            <w:bottom w:w="0" w:type="dxa"/>
            <w:right w:w="108" w:type="dxa"/>
          </w:tblCellMar>
        </w:tblPrEx>
        <w:trPr>
          <w:trHeight w:val="93" w:hRule="atLeast"/>
        </w:trPr>
        <w:tc>
          <w:tcPr>
            <w:tcW w:w="692" w:type="dxa"/>
            <w:vMerge w:val="restart"/>
            <w:tcBorders>
              <w:top w:val="single" w:color="auto" w:sz="4" w:space="0"/>
              <w:left w:val="single" w:color="auto" w:sz="4" w:space="0"/>
              <w:right w:val="single" w:color="auto" w:sz="4" w:space="0"/>
            </w:tcBorders>
            <w:vAlign w:val="center"/>
          </w:tcPr>
          <w:p w14:paraId="646D9837">
            <w:pPr>
              <w:widowControl/>
              <w:spacing w:line="240" w:lineRule="auto"/>
              <w:jc w:val="center"/>
              <w:rPr>
                <w:rStyle w:val="21"/>
                <w:rFonts w:hint="eastAsia" w:ascii="宋体" w:hAnsi="宋体" w:eastAsia="宋体" w:cs="宋体"/>
                <w:sz w:val="24"/>
                <w:szCs w:val="24"/>
                <w:lang w:val="en-US" w:eastAsia="zh-CN" w:bidi="ar"/>
              </w:rPr>
            </w:pPr>
          </w:p>
        </w:tc>
        <w:tc>
          <w:tcPr>
            <w:tcW w:w="750" w:type="dxa"/>
            <w:vMerge w:val="restart"/>
            <w:tcBorders>
              <w:top w:val="single" w:color="auto" w:sz="4" w:space="0"/>
              <w:left w:val="nil"/>
              <w:right w:val="single" w:color="auto" w:sz="4" w:space="0"/>
            </w:tcBorders>
            <w:vAlign w:val="center"/>
          </w:tcPr>
          <w:p w14:paraId="00E73ED2">
            <w:pPr>
              <w:pStyle w:val="15"/>
              <w:widowControl/>
              <w:numPr>
                <w:ilvl w:val="0"/>
                <w:numId w:val="0"/>
              </w:numPr>
              <w:spacing w:line="240" w:lineRule="auto"/>
              <w:ind w:lef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规范化连接</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ED28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1、剥离导线绝缘层时，不得损伤线芯。使用专用工具将接头处氧化层彻底清除，确保金属导体暴露原有光泽。</w:t>
            </w:r>
          </w:p>
        </w:tc>
      </w:tr>
      <w:tr w14:paraId="0C22B2B5">
        <w:tblPrEx>
          <w:tblCellMar>
            <w:top w:w="0" w:type="dxa"/>
            <w:left w:w="108" w:type="dxa"/>
            <w:bottom w:w="0" w:type="dxa"/>
            <w:right w:w="108" w:type="dxa"/>
          </w:tblCellMar>
        </w:tblPrEx>
        <w:trPr>
          <w:trHeight w:val="93" w:hRule="atLeast"/>
        </w:trPr>
        <w:tc>
          <w:tcPr>
            <w:tcW w:w="692" w:type="dxa"/>
            <w:vMerge w:val="continue"/>
            <w:tcBorders>
              <w:left w:val="single" w:color="auto" w:sz="4" w:space="0"/>
              <w:bottom w:val="single" w:color="auto" w:sz="4" w:space="0"/>
              <w:right w:val="single" w:color="auto" w:sz="4" w:space="0"/>
            </w:tcBorders>
            <w:vAlign w:val="center"/>
          </w:tcPr>
          <w:p w14:paraId="7177AF5A">
            <w:pPr>
              <w:keepNext w:val="0"/>
              <w:keepLines w:val="0"/>
              <w:widowControl/>
              <w:suppressLineNumbers w:val="0"/>
              <w:jc w:val="left"/>
              <w:textAlignment w:val="center"/>
            </w:pPr>
          </w:p>
        </w:tc>
        <w:tc>
          <w:tcPr>
            <w:tcW w:w="750" w:type="dxa"/>
            <w:vMerge w:val="continue"/>
            <w:tcBorders>
              <w:left w:val="nil"/>
              <w:bottom w:val="single" w:color="auto" w:sz="4" w:space="0"/>
              <w:right w:val="single" w:color="auto" w:sz="4" w:space="0"/>
            </w:tcBorders>
            <w:vAlign w:val="center"/>
          </w:tcPr>
          <w:p w14:paraId="59E7FF37">
            <w:pPr>
              <w:keepNext w:val="0"/>
              <w:keepLines w:val="0"/>
              <w:widowControl/>
              <w:suppressLineNumbers w:val="0"/>
              <w:jc w:val="left"/>
              <w:textAlignment w:val="center"/>
            </w:pPr>
          </w:p>
        </w:tc>
        <w:tc>
          <w:tcPr>
            <w:tcW w:w="7061" w:type="dxa"/>
            <w:tcBorders>
              <w:top w:val="single" w:color="auto" w:sz="4" w:space="0"/>
              <w:left w:val="nil"/>
              <w:bottom w:val="single" w:color="auto" w:sz="4" w:space="0"/>
              <w:right w:val="single" w:color="auto" w:sz="4" w:space="0"/>
            </w:tcBorders>
            <w:shd w:val="clear" w:color="auto" w:fill="auto"/>
            <w:vAlign w:val="center"/>
          </w:tcPr>
          <w:p w14:paraId="68AB5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2、必须对所有重新连接的导线接头进行搪锡（焊锡）处理。 焊料应均匀覆盖整个接头，形成光亮、圆滑的焊点，无虚焊、假焊、夹渣现象。</w:t>
            </w:r>
          </w:p>
        </w:tc>
      </w:tr>
      <w:tr w14:paraId="766DAA3C">
        <w:tblPrEx>
          <w:tblCellMar>
            <w:top w:w="0" w:type="dxa"/>
            <w:left w:w="108" w:type="dxa"/>
            <w:bottom w:w="0" w:type="dxa"/>
            <w:right w:w="108" w:type="dxa"/>
          </w:tblCellMar>
        </w:tblPrEx>
        <w:trPr>
          <w:trHeight w:val="93" w:hRule="atLeast"/>
        </w:trPr>
        <w:tc>
          <w:tcPr>
            <w:tcW w:w="692" w:type="dxa"/>
            <w:vMerge w:val="continue"/>
            <w:tcBorders>
              <w:top w:val="single" w:color="auto" w:sz="4" w:space="0"/>
              <w:left w:val="single" w:color="auto" w:sz="4" w:space="0"/>
              <w:right w:val="single" w:color="auto" w:sz="4" w:space="0"/>
            </w:tcBorders>
            <w:vAlign w:val="center"/>
          </w:tcPr>
          <w:p w14:paraId="00BEE9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vMerge w:val="continue"/>
            <w:tcBorders>
              <w:top w:val="single" w:color="auto" w:sz="4" w:space="0"/>
              <w:left w:val="nil"/>
              <w:right w:val="single" w:color="auto" w:sz="4" w:space="0"/>
            </w:tcBorders>
            <w:vAlign w:val="center"/>
          </w:tcPr>
          <w:p w14:paraId="4709C5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61" w:type="dxa"/>
            <w:tcBorders>
              <w:top w:val="single" w:color="auto" w:sz="4" w:space="0"/>
              <w:left w:val="nil"/>
              <w:bottom w:val="single" w:color="auto" w:sz="4" w:space="0"/>
              <w:right w:val="single" w:color="auto" w:sz="4" w:space="0"/>
            </w:tcBorders>
            <w:shd w:val="clear" w:color="auto" w:fill="auto"/>
            <w:vAlign w:val="center"/>
          </w:tcPr>
          <w:p w14:paraId="5B8DC3A1">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3外观检验：接头光滑、饱满；绝缘层平整、无气泡、无裸露。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机械强度检验：轻微拉扯无松动、脱落。</w:t>
            </w:r>
          </w:p>
        </w:tc>
      </w:tr>
      <w:tr w14:paraId="74422991">
        <w:tblPrEx>
          <w:tblCellMar>
            <w:top w:w="0" w:type="dxa"/>
            <w:left w:w="108" w:type="dxa"/>
            <w:bottom w:w="0" w:type="dxa"/>
            <w:right w:w="108" w:type="dxa"/>
          </w:tblCellMar>
        </w:tblPrEx>
        <w:trPr>
          <w:trHeight w:val="93" w:hRule="atLeast"/>
        </w:trPr>
        <w:tc>
          <w:tcPr>
            <w:tcW w:w="692" w:type="dxa"/>
            <w:vMerge w:val="continue"/>
            <w:tcBorders>
              <w:left w:val="single" w:color="auto" w:sz="4" w:space="0"/>
              <w:right w:val="single" w:color="auto" w:sz="4" w:space="0"/>
            </w:tcBorders>
            <w:vAlign w:val="center"/>
          </w:tcPr>
          <w:p w14:paraId="437754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vMerge w:val="continue"/>
            <w:tcBorders>
              <w:left w:val="nil"/>
              <w:right w:val="single" w:color="auto" w:sz="4" w:space="0"/>
            </w:tcBorders>
            <w:vAlign w:val="center"/>
          </w:tcPr>
          <w:p w14:paraId="0D41DF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061" w:type="dxa"/>
            <w:tcBorders>
              <w:top w:val="single" w:color="auto" w:sz="4" w:space="0"/>
              <w:left w:val="nil"/>
              <w:bottom w:val="single" w:color="auto" w:sz="4" w:space="0"/>
              <w:right w:val="single" w:color="auto" w:sz="4" w:space="0"/>
            </w:tcBorders>
            <w:shd w:val="clear" w:color="auto" w:fill="auto"/>
            <w:vAlign w:val="center"/>
          </w:tcPr>
          <w:p w14:paraId="2476791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4.电气性能检验：修复后，需使用绝缘电阻测试仪对线路进行测试，绝缘电阻值必须符合《建筑电气工程施工质量验收规范》（GB 50303）的相关规定（通常要求不低于0.5MΩ）。</w:t>
            </w:r>
          </w:p>
        </w:tc>
      </w:tr>
      <w:tr w14:paraId="78CD6304">
        <w:tblPrEx>
          <w:tblCellMar>
            <w:top w:w="0" w:type="dxa"/>
            <w:left w:w="108" w:type="dxa"/>
            <w:bottom w:w="0" w:type="dxa"/>
            <w:right w:w="108" w:type="dxa"/>
          </w:tblCellMar>
        </w:tblPrEx>
        <w:trPr>
          <w:trHeight w:val="813" w:hRule="atLeast"/>
        </w:trPr>
        <w:tc>
          <w:tcPr>
            <w:tcW w:w="8503" w:type="dxa"/>
            <w:gridSpan w:val="3"/>
            <w:tcBorders>
              <w:left w:val="single" w:color="auto" w:sz="4" w:space="0"/>
              <w:right w:val="single" w:color="auto" w:sz="4" w:space="0"/>
            </w:tcBorders>
            <w:vAlign w:val="center"/>
          </w:tcPr>
          <w:p w14:paraId="7C4AB0E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注：以上所有参数标“</w:t>
            </w:r>
            <w:r>
              <w:rPr>
                <w:rStyle w:val="21"/>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”项为主要技术参数，任意一条不满足则导致响应无效</w:t>
            </w:r>
          </w:p>
        </w:tc>
      </w:tr>
    </w:tbl>
    <w:p w14:paraId="03CFE9F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5442E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C2E0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DB511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7F33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hint="default" w:ascii="宋体" w:hAnsi="宋体" w:eastAsia="宋体" w:cs="宋体"/>
          <w:b w:val="0"/>
          <w:bCs/>
          <w:color w:val="000000"/>
          <w:sz w:val="24"/>
          <w:szCs w:val="24"/>
          <w:lang w:val="en-US" w:eastAsia="zh-CN"/>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其他</w:t>
      </w:r>
      <w:r>
        <w:rPr>
          <w:rFonts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17FA791">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十七、其它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AD76B"/>
    <w:multiLevelType w:val="singleLevel"/>
    <w:tmpl w:val="DCDAD76B"/>
    <w:lvl w:ilvl="0" w:tentative="0">
      <w:start w:val="1"/>
      <w:numFmt w:val="decimal"/>
      <w:lvlText w:val="%1."/>
      <w:lvlJc w:val="left"/>
      <w:pPr>
        <w:tabs>
          <w:tab w:val="left" w:pos="312"/>
        </w:tabs>
      </w:p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720FBE"/>
    <w:rsid w:val="11AB1717"/>
    <w:rsid w:val="11EF4694"/>
    <w:rsid w:val="14E761BD"/>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381335"/>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7E6C9B"/>
    <w:rsid w:val="64A55108"/>
    <w:rsid w:val="64E47B74"/>
    <w:rsid w:val="65724AA6"/>
    <w:rsid w:val="6585763E"/>
    <w:rsid w:val="661108EC"/>
    <w:rsid w:val="665F0BE6"/>
    <w:rsid w:val="669049D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4007</Words>
  <Characters>4568</Characters>
  <Lines>0</Lines>
  <Paragraphs>0</Paragraphs>
  <TotalTime>4</TotalTime>
  <ScaleCrop>false</ScaleCrop>
  <LinksUpToDate>false</LinksUpToDate>
  <CharactersWithSpaces>4783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2025-12-02T01:48:43Z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76FBA3201762418C9C013B0CC51CAF17_13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