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9C23D6">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东胜部新增人脸识别系统项目（二次）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633"/>
        <w:gridCol w:w="1357"/>
        <w:gridCol w:w="1289"/>
        <w:gridCol w:w="1338"/>
        <w:gridCol w:w="1596"/>
      </w:tblGrid>
      <w:tr w14:paraId="2702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621FD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83" w:type="dxa"/>
            <w:gridSpan w:val="2"/>
            <w:vAlign w:val="center"/>
          </w:tcPr>
          <w:p w14:paraId="3F614A6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57" w:type="dxa"/>
            <w:vAlign w:val="center"/>
          </w:tcPr>
          <w:p w14:paraId="020A895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289" w:type="dxa"/>
            <w:vAlign w:val="center"/>
          </w:tcPr>
          <w:p w14:paraId="41352C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1CC68B6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96" w:type="dxa"/>
            <w:vAlign w:val="center"/>
          </w:tcPr>
          <w:p w14:paraId="383C423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311D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527D83D">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0" w:type="dxa"/>
            <w:vAlign w:val="center"/>
          </w:tcPr>
          <w:p w14:paraId="745CB6CE">
            <w:pPr>
              <w:jc w:val="center"/>
              <w:rPr>
                <w:rFonts w:hint="eastAsia"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①</w:t>
            </w:r>
          </w:p>
        </w:tc>
        <w:tc>
          <w:tcPr>
            <w:tcW w:w="2633" w:type="dxa"/>
            <w:vAlign w:val="center"/>
          </w:tcPr>
          <w:p w14:paraId="2D7FE36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身份信息识别产品</w:t>
            </w:r>
          </w:p>
        </w:tc>
        <w:tc>
          <w:tcPr>
            <w:tcW w:w="1357" w:type="dxa"/>
            <w:vAlign w:val="center"/>
          </w:tcPr>
          <w:p w14:paraId="3E8824E4">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3F3DC2D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w:t>
            </w:r>
          </w:p>
        </w:tc>
        <w:tc>
          <w:tcPr>
            <w:tcW w:w="1338" w:type="dxa"/>
            <w:vAlign w:val="center"/>
          </w:tcPr>
          <w:p w14:paraId="1B661949">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1840</w:t>
            </w:r>
          </w:p>
        </w:tc>
        <w:tc>
          <w:tcPr>
            <w:tcW w:w="1596" w:type="dxa"/>
            <w:vAlign w:val="center"/>
          </w:tcPr>
          <w:p w14:paraId="4D83217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193200</w:t>
            </w:r>
          </w:p>
        </w:tc>
      </w:tr>
      <w:tr w14:paraId="47B8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188DA9D">
            <w:pPr>
              <w:jc w:val="center"/>
              <w:rPr>
                <w:rFonts w:hint="eastAsia" w:ascii="宋体" w:hAnsi="宋体" w:eastAsia="宋体" w:cs="宋体"/>
                <w:kern w:val="0"/>
                <w:sz w:val="24"/>
                <w:szCs w:val="24"/>
                <w:lang w:val="en-US" w:eastAsia="zh-CN"/>
              </w:rPr>
            </w:pPr>
          </w:p>
        </w:tc>
        <w:tc>
          <w:tcPr>
            <w:tcW w:w="750" w:type="dxa"/>
            <w:vAlign w:val="center"/>
          </w:tcPr>
          <w:p w14:paraId="633CD8AA">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②</w:t>
            </w:r>
          </w:p>
        </w:tc>
        <w:tc>
          <w:tcPr>
            <w:tcW w:w="2633" w:type="dxa"/>
            <w:vAlign w:val="center"/>
          </w:tcPr>
          <w:p w14:paraId="6ED53AC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交换机</w:t>
            </w:r>
          </w:p>
        </w:tc>
        <w:tc>
          <w:tcPr>
            <w:tcW w:w="1357" w:type="dxa"/>
            <w:vAlign w:val="center"/>
          </w:tcPr>
          <w:p w14:paraId="6828BFE7">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861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338" w:type="dxa"/>
            <w:vAlign w:val="center"/>
          </w:tcPr>
          <w:p w14:paraId="00CC994B">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w:t>
            </w:r>
          </w:p>
        </w:tc>
        <w:tc>
          <w:tcPr>
            <w:tcW w:w="1596" w:type="dxa"/>
            <w:vAlign w:val="center"/>
          </w:tcPr>
          <w:p w14:paraId="12145BC5">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2800</w:t>
            </w:r>
          </w:p>
        </w:tc>
      </w:tr>
      <w:tr w14:paraId="4E73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E161E53">
            <w:pPr>
              <w:jc w:val="center"/>
              <w:rPr>
                <w:rFonts w:hint="eastAsia" w:ascii="宋体" w:hAnsi="宋体" w:eastAsia="宋体" w:cs="宋体"/>
                <w:kern w:val="0"/>
                <w:sz w:val="24"/>
                <w:szCs w:val="24"/>
                <w:lang w:val="en-US" w:eastAsia="zh-CN"/>
              </w:rPr>
            </w:pPr>
          </w:p>
        </w:tc>
        <w:tc>
          <w:tcPr>
            <w:tcW w:w="750" w:type="dxa"/>
            <w:vAlign w:val="center"/>
          </w:tcPr>
          <w:p w14:paraId="1E5D44CB">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③</w:t>
            </w:r>
          </w:p>
        </w:tc>
        <w:tc>
          <w:tcPr>
            <w:tcW w:w="2633" w:type="dxa"/>
            <w:vAlign w:val="center"/>
          </w:tcPr>
          <w:p w14:paraId="19A9E85B">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PDU</w:t>
            </w:r>
          </w:p>
        </w:tc>
        <w:tc>
          <w:tcPr>
            <w:tcW w:w="1357" w:type="dxa"/>
            <w:vAlign w:val="center"/>
          </w:tcPr>
          <w:p w14:paraId="4B985D3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3ADCD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338" w:type="dxa"/>
            <w:vAlign w:val="center"/>
          </w:tcPr>
          <w:p w14:paraId="15B2578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w:t>
            </w:r>
          </w:p>
        </w:tc>
        <w:tc>
          <w:tcPr>
            <w:tcW w:w="1596" w:type="dxa"/>
            <w:vAlign w:val="center"/>
          </w:tcPr>
          <w:p w14:paraId="27FEC44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3420</w:t>
            </w:r>
          </w:p>
        </w:tc>
      </w:tr>
      <w:tr w14:paraId="24BE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44FB96C3">
            <w:pPr>
              <w:jc w:val="center"/>
              <w:rPr>
                <w:rFonts w:hint="eastAsia" w:ascii="宋体" w:hAnsi="宋体" w:eastAsia="宋体" w:cs="宋体"/>
                <w:kern w:val="0"/>
                <w:sz w:val="24"/>
                <w:szCs w:val="24"/>
                <w:lang w:val="en-US" w:eastAsia="zh-CN"/>
              </w:rPr>
            </w:pPr>
          </w:p>
        </w:tc>
        <w:tc>
          <w:tcPr>
            <w:tcW w:w="750" w:type="dxa"/>
            <w:vAlign w:val="center"/>
          </w:tcPr>
          <w:p w14:paraId="12B23395">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④</w:t>
            </w:r>
          </w:p>
        </w:tc>
        <w:tc>
          <w:tcPr>
            <w:tcW w:w="2633" w:type="dxa"/>
            <w:vAlign w:val="center"/>
          </w:tcPr>
          <w:p w14:paraId="5CE9D490">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规范化连接</w:t>
            </w:r>
          </w:p>
        </w:tc>
        <w:tc>
          <w:tcPr>
            <w:tcW w:w="1357" w:type="dxa"/>
            <w:vAlign w:val="center"/>
          </w:tcPr>
          <w:p w14:paraId="72F3477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7305EAB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04880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c>
          <w:tcPr>
            <w:tcW w:w="1596" w:type="dxa"/>
            <w:vAlign w:val="center"/>
          </w:tcPr>
          <w:p w14:paraId="638FE85A">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r>
      <w:tr w14:paraId="427E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DEE3351">
            <w:pPr>
              <w:jc w:val="center"/>
              <w:rPr>
                <w:rFonts w:hint="eastAsia" w:ascii="宋体" w:hAnsi="宋体" w:eastAsia="宋体" w:cs="宋体"/>
                <w:kern w:val="0"/>
                <w:sz w:val="24"/>
                <w:szCs w:val="24"/>
                <w:lang w:val="en-US" w:eastAsia="zh-CN"/>
              </w:rPr>
            </w:pPr>
          </w:p>
        </w:tc>
        <w:tc>
          <w:tcPr>
            <w:tcW w:w="750" w:type="dxa"/>
            <w:vAlign w:val="center"/>
          </w:tcPr>
          <w:p w14:paraId="0385A8DC">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⑤</w:t>
            </w:r>
          </w:p>
        </w:tc>
        <w:tc>
          <w:tcPr>
            <w:tcW w:w="2633" w:type="dxa"/>
            <w:vAlign w:val="center"/>
          </w:tcPr>
          <w:p w14:paraId="203B125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辅料</w:t>
            </w:r>
          </w:p>
        </w:tc>
        <w:tc>
          <w:tcPr>
            <w:tcW w:w="1357" w:type="dxa"/>
            <w:vAlign w:val="center"/>
          </w:tcPr>
          <w:p w14:paraId="25116F8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30D0A64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77337DF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c>
          <w:tcPr>
            <w:tcW w:w="1596" w:type="dxa"/>
            <w:vAlign w:val="center"/>
          </w:tcPr>
          <w:p w14:paraId="40EFA1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r>
      <w:tr w14:paraId="3B22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2E62A5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96" w:type="dxa"/>
            <w:vAlign w:val="center"/>
          </w:tcPr>
          <w:p w14:paraId="6781F6C3">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204820</w:t>
            </w:r>
          </w:p>
        </w:tc>
      </w:tr>
      <w:tr w14:paraId="0E72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06D20B1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83" w:type="dxa"/>
            <w:gridSpan w:val="2"/>
            <w:vAlign w:val="center"/>
          </w:tcPr>
          <w:p w14:paraId="091DB98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580" w:type="dxa"/>
            <w:gridSpan w:val="4"/>
            <w:vAlign w:val="center"/>
          </w:tcPr>
          <w:p w14:paraId="44E04C86">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w:t>
            </w:r>
          </w:p>
        </w:tc>
      </w:tr>
      <w:tr w14:paraId="64F6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4FE55F1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83" w:type="dxa"/>
            <w:gridSpan w:val="2"/>
            <w:vAlign w:val="center"/>
          </w:tcPr>
          <w:p w14:paraId="36F4B2B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580" w:type="dxa"/>
            <w:gridSpan w:val="4"/>
            <w:vAlign w:val="center"/>
          </w:tcPr>
          <w:p w14:paraId="4A8D6CF6">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质保期1年</w:t>
            </w:r>
            <w:bookmarkStart w:id="1" w:name="_GoBack"/>
            <w:bookmarkEnd w:id="1"/>
          </w:p>
        </w:tc>
      </w:tr>
      <w:tr w14:paraId="0CB7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659138B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83" w:type="dxa"/>
            <w:gridSpan w:val="2"/>
            <w:vAlign w:val="center"/>
          </w:tcPr>
          <w:p w14:paraId="3602856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580" w:type="dxa"/>
            <w:gridSpan w:val="4"/>
            <w:vAlign w:val="center"/>
          </w:tcPr>
          <w:p w14:paraId="7769A961">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验收合格后一次性付清</w:t>
            </w:r>
          </w:p>
        </w:tc>
      </w:tr>
      <w:tr w14:paraId="6B47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5DB04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83" w:type="dxa"/>
            <w:gridSpan w:val="2"/>
            <w:vAlign w:val="center"/>
          </w:tcPr>
          <w:p w14:paraId="449505F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580" w:type="dxa"/>
            <w:gridSpan w:val="4"/>
            <w:vAlign w:val="center"/>
          </w:tcPr>
          <w:p w14:paraId="60A6B7D5">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516798A">
      <w:pPr>
        <w:pStyle w:val="5"/>
        <w:rPr>
          <w:rFonts w:hint="eastAsia" w:ascii="宋体" w:hAnsi="宋体" w:eastAsia="宋体" w:cs="宋体"/>
          <w:sz w:val="28"/>
          <w:szCs w:val="28"/>
          <w:u w:val="single"/>
        </w:rPr>
      </w:pPr>
      <w:r>
        <w:rPr>
          <w:rFonts w:hint="eastAsia" w:ascii="宋体" w:hAnsi="宋体" w:eastAsia="宋体"/>
          <w:sz w:val="28"/>
          <w:szCs w:val="28"/>
        </w:rPr>
        <w:t>（1）项目基本情况介绍：</w:t>
      </w:r>
      <w:r>
        <w:rPr>
          <w:rFonts w:hint="eastAsia" w:ascii="宋体" w:hAnsi="宋体" w:eastAsia="宋体" w:cs="宋体"/>
          <w:sz w:val="28"/>
          <w:szCs w:val="28"/>
          <w:u w:val="single"/>
        </w:rPr>
        <w:t>东胜部部分区域缺少人脸识别门禁系统，为满足科室需求，需进行采购设备安装。</w:t>
      </w:r>
    </w:p>
    <w:p w14:paraId="16043F2C">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B51F1B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B0DDC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634AD9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F221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17059F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E427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4A0A3B">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3F427D3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设备应采用嵌入式 linux 系统。</w:t>
            </w:r>
          </w:p>
        </w:tc>
      </w:tr>
      <w:tr w14:paraId="79F6C9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9CF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76CE2F">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E5FF03E">
            <w:pPr>
              <w:pStyle w:val="10"/>
              <w:spacing w:line="360" w:lineRule="auto"/>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4"/>
                <w:szCs w:val="24"/>
                <w:u w:val="none"/>
                <w:lang w:val="en-US" w:eastAsia="zh-CN" w:bidi="ar"/>
              </w:rPr>
              <w:t>前面板防破坏能力应满足 IK07 的要求；结构后壳防破坏能力应满足 IK10 lx的要求；防水等级应大于IP65；应支持选择嵌入式、壁挂、桌面、立式、人员通道安装；</w:t>
            </w:r>
          </w:p>
        </w:tc>
      </w:tr>
      <w:tr w14:paraId="7A2DEC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0EE0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6BFB22">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4B0D013">
            <w:pPr>
              <w:keepNext w:val="0"/>
              <w:keepLines w:val="0"/>
              <w:widowControl/>
              <w:numPr>
                <w:ilvl w:val="0"/>
                <w:numId w:val="3"/>
              </w:numPr>
              <w:suppressLineNumbers w:val="0"/>
              <w:jc w:val="left"/>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 xml:space="preserve"> LAN</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1，支持 10M/100M/1000M 网络自适应配置；2.RS-485 串口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个；3.输入、lx输出韦根接口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个（平台可配置）</w:t>
            </w:r>
          </w:p>
        </w:tc>
      </w:tr>
      <w:tr w14:paraId="04290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EBE0B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711A6D">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EC0509F">
            <w:pPr>
              <w:pStyle w:val="10"/>
              <w:spacing w:line="360" w:lineRule="auto"/>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USB 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个，包括 type C 接口、micro USB 接口和普通 USB 连接口（需扩展线）；</w:t>
            </w:r>
          </w:p>
        </w:tc>
      </w:tr>
      <w:tr w14:paraId="2641E6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70C15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9E38D2">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EFE48CC">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内置扬声器</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36B24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E88EC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A38223">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0C69974">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门锁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455416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2F6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7B0F24">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FB69BD5">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门磁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D3A6AE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BC53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41F7E">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CD2C0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开门按钮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1CD67405">
            <w:pPr>
              <w:widowControl/>
              <w:spacing w:line="240" w:lineRule="auto"/>
              <w:jc w:val="left"/>
              <w:rPr>
                <w:rFonts w:hint="eastAsia" w:ascii="宋体" w:hAnsi="宋体" w:eastAsia="宋体" w:cs="宋体"/>
                <w:kern w:val="0"/>
                <w:sz w:val="21"/>
                <w:szCs w:val="21"/>
                <w:lang w:eastAsia="zh-CN" w:bidi="lo-LA"/>
              </w:rPr>
            </w:pPr>
          </w:p>
        </w:tc>
      </w:tr>
      <w:tr w14:paraId="73D4BD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3061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74C053">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5E1DD5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35C4FB02">
            <w:pPr>
              <w:widowControl/>
              <w:spacing w:line="240" w:lineRule="auto"/>
              <w:jc w:val="left"/>
              <w:rPr>
                <w:rFonts w:hint="eastAsia" w:ascii="宋体" w:hAnsi="宋体" w:eastAsia="宋体" w:cs="宋体"/>
                <w:kern w:val="0"/>
                <w:sz w:val="21"/>
                <w:szCs w:val="21"/>
                <w:lang w:eastAsia="zh-CN" w:bidi="lo-LA"/>
              </w:rPr>
            </w:pPr>
          </w:p>
        </w:tc>
      </w:tr>
      <w:tr w14:paraId="474FB5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3C0E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62D010">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CF185C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报警事件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w:t>
            </w:r>
          </w:p>
          <w:p w14:paraId="4EA76635">
            <w:pPr>
              <w:widowControl/>
              <w:spacing w:line="240" w:lineRule="auto"/>
              <w:jc w:val="left"/>
              <w:rPr>
                <w:rFonts w:hint="eastAsia" w:ascii="宋体" w:hAnsi="宋体" w:eastAsia="宋体" w:cs="宋体"/>
                <w:kern w:val="0"/>
                <w:sz w:val="21"/>
                <w:szCs w:val="21"/>
                <w:lang w:eastAsia="zh-CN" w:bidi="lo-LA"/>
              </w:rPr>
            </w:pPr>
          </w:p>
        </w:tc>
      </w:tr>
      <w:tr w14:paraId="5CB970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AB59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384D67">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31D84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机械防拆开关</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56AAE384">
            <w:pPr>
              <w:widowControl/>
              <w:spacing w:line="240" w:lineRule="auto"/>
              <w:jc w:val="left"/>
              <w:rPr>
                <w:rFonts w:hint="eastAsia" w:ascii="宋体" w:hAnsi="宋体" w:eastAsia="宋体" w:cs="宋体"/>
                <w:kern w:val="0"/>
                <w:sz w:val="21"/>
                <w:szCs w:val="21"/>
                <w:lang w:eastAsia="zh-CN" w:bidi="lo-LA"/>
              </w:rPr>
            </w:pPr>
          </w:p>
        </w:tc>
      </w:tr>
      <w:tr w14:paraId="61B56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D41D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07A8B8">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1C7D496C">
            <w:pPr>
              <w:widowControl/>
              <w:spacing w:line="240" w:lineRule="auto"/>
              <w:jc w:val="left"/>
              <w:rPr>
                <w:rFonts w:hint="default" w:ascii="宋体" w:hAnsi="宋体" w:eastAsia="宋体" w:cs="宋体"/>
                <w:kern w:val="0"/>
                <w:sz w:val="21"/>
                <w:szCs w:val="21"/>
                <w:lang w:val="en-US" w:eastAsia="zh-CN" w:bidi="lo-LA"/>
              </w:rPr>
            </w:pPr>
            <w:r>
              <w:rPr>
                <w:rStyle w:val="21"/>
                <w:rFonts w:hint="eastAsia" w:ascii="宋体" w:hAnsi="宋体" w:eastAsia="宋体" w:cs="宋体"/>
                <w:sz w:val="24"/>
                <w:szCs w:val="24"/>
                <w:lang w:val="en-US" w:eastAsia="zh-CN" w:bidi="ar"/>
              </w:rPr>
              <w:t>支持 3.5mm 音频输出接口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7CB9AB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E88B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369A7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4639C4F5">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micro SD 卡槽扩展；</w:t>
            </w:r>
          </w:p>
        </w:tc>
      </w:tr>
      <w:tr w14:paraId="07B507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5F75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FE244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7EDC7D89">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 音频输入采集。</w:t>
            </w:r>
          </w:p>
        </w:tc>
      </w:tr>
      <w:tr w14:paraId="38C6E5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AE6A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C05F5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03B2EDC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屏幕应为 7 英寸触摸屏；应采用水滴屏全贴合工艺；玻璃屏占比≥90%。屏幕流明度≥600cd/m2；屏幕分辨率应不低于600*1024；屏显下端应具有圆形指示灯，指示灯应支持固定频率的亮起和熄灭（呼吸状态）及识别状态提示。</w:t>
            </w:r>
          </w:p>
        </w:tc>
      </w:tr>
      <w:tr w14:paraId="679B2C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83EF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280FA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0E26B2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应能在 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个人脸同时做人脸验证，并分别输出比对结果；人脸验证垂直及水平区域范围应能设置 ，应支持人脸在上下、左右角度偏转±45°范围内识别；应支持人脸验证角度调节范围 0°～90°自由设置，应支持不低于 5 个人脸比对阈值设置。</w:t>
            </w:r>
          </w:p>
        </w:tc>
      </w:tr>
      <w:tr w14:paraId="2AB407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072B6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F28AD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2E0AD2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TCP/IP 有线网络通信，支持 10M/100M/1000M 网络自适应配置，应支持局域网、互联网环境的网络通信；应支持 TCP/IP 有线网络通信，应支持通过 IPV4 或 IPV6 网络地址登录。</w:t>
            </w:r>
          </w:p>
        </w:tc>
      </w:tr>
      <w:tr w14:paraId="774145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610D8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72B858">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605AC56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 IC 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tc>
      </w:tr>
      <w:tr w14:paraId="03D017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61DBC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696D8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51C53E9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 xml:space="preserve">应采用 200W 像素双目摄像头，帧率应≥25 帧/s；应支持接入 NVR 设备，实现视频监控录像； </w:t>
            </w:r>
          </w:p>
        </w:tc>
      </w:tr>
      <w:tr w14:paraId="65B5BC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E02E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4AD5A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1D680F7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应支持双码流技术，主码流和子码流均为 1280×720@25fps 输出；在 IE 浏览器下，视频编码格式具有 H.265、H.264、MPEG-4、MJPEG 设置选项；可将 H.265、H.264 格式设置为Baseline/Mai n/High Profile。</w:t>
            </w:r>
          </w:p>
        </w:tc>
      </w:tr>
      <w:tr w14:paraId="71455F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BE10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EE58C6">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6B6E8AA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设备离线应支持 10000个用户（用户权限应能配置为管理员）、 10000 张人脸库、 50000 张卡片容量、150000 笔记录存储 、 10000 个密码、10000个掌纹掌静脉特征。</w:t>
            </w:r>
          </w:p>
        </w:tc>
      </w:tr>
      <w:tr w14:paraId="5D8A54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83F2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9BE22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28E762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p>
        </w:tc>
      </w:tr>
      <w:tr w14:paraId="70A629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AAB1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9C308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0F1CA45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tc>
      </w:tr>
      <w:tr w14:paraId="61FD43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7965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BD8E7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71FD2CDD">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p>
        </w:tc>
      </w:tr>
      <w:tr w14:paraId="5C500F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1937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99108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1463C44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tc>
      </w:tr>
      <w:tr w14:paraId="7399F13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5273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1ECAA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vAlign w:val="center"/>
          </w:tcPr>
          <w:p w14:paraId="7324E1E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p>
        </w:tc>
      </w:tr>
      <w:tr w14:paraId="732D34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56E4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B5892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vAlign w:val="center"/>
          </w:tcPr>
          <w:p w14:paraId="688B406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人脸比对平均时间应＜120ms （1:1对比方式）；最大人脸验证距离：＞4m；最小人脸验证距离：＜0.2m；认假率（FAR）= 认假总次数/负样本对×100%；拒真率（FRR）= 拒真总次数/正样本对×100%；准确率=（正样本通过次数+负样本拒绝次数）/比对总次数×100%；FAR＜0.0002% ；FRR＜1%；准确率＞99.95%</w:t>
            </w:r>
          </w:p>
        </w:tc>
      </w:tr>
      <w:tr w14:paraId="007A45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1F5F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DBF0DC">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vAlign w:val="center"/>
          </w:tcPr>
          <w:p w14:paraId="7FBEF0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r>
      <w:tr w14:paraId="6AABC1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EACB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A7A6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vAlign w:val="center"/>
          </w:tcPr>
          <w:p w14:paraId="1C2BC60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p>
        </w:tc>
      </w:tr>
      <w:tr w14:paraId="37A04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5E6B3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BCDFF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vAlign w:val="center"/>
          </w:tcPr>
          <w:p w14:paraId="0698A72A">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应支持在没有用户使用时自动切换到屏保或息屏待机状态，人员靠近自动唤醒待机设备，唤醒距离应能调节；应采用软硬件低功耗管理模式，设备待机运行功耗应不超过 6W。</w:t>
            </w:r>
          </w:p>
        </w:tc>
      </w:tr>
      <w:tr w14:paraId="0027DC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C393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8066A3">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vAlign w:val="center"/>
          </w:tcPr>
          <w:p w14:paraId="63FF080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tc>
      </w:tr>
      <w:tr w14:paraId="1744DD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3125DA">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BA1413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vAlign w:val="center"/>
          </w:tcPr>
          <w:p w14:paraId="7D691F6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p>
        </w:tc>
      </w:tr>
      <w:tr w14:paraId="6C8C3F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B884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187C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vAlign w:val="center"/>
          </w:tcPr>
          <w:p w14:paraId="4022106D">
            <w:pPr>
              <w:keepNext w:val="0"/>
              <w:keepLines w:val="0"/>
              <w:widowControl/>
              <w:numPr>
                <w:ilvl w:val="0"/>
                <w:numId w:val="0"/>
              </w:numPr>
              <w:suppressLineNumbers w:val="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r>
      <w:tr w14:paraId="1301AD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4AD6C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81198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vAlign w:val="center"/>
          </w:tcPr>
          <w:p w14:paraId="5E16504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高温（80±2）℃、2h，试验期间及试验后样品应能正常工作；低温（-40±3）℃、2h，试验期间及试验后样品应能正常工作；恒定湿热（+40℃±2）℃、RH(93</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3+2)%,48h，试验期间及试验后样品应能正常工作。</w:t>
            </w:r>
          </w:p>
        </w:tc>
      </w:tr>
      <w:tr w14:paraId="5B990C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EDA8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BC146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vAlign w:val="center"/>
          </w:tcPr>
          <w:p w14:paraId="534E62F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产品供应商应具有符合ISO/IEC 27701：2019要求的隐私信息管理体系认证。</w:t>
            </w:r>
          </w:p>
        </w:tc>
      </w:tr>
      <w:tr w14:paraId="65256B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46FE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35A80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vAlign w:val="center"/>
          </w:tcPr>
          <w:p w14:paraId="146E6EA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应具有拓展GPS定位模块能力，应能通过事件方式定时上报设备位置信息</w:t>
            </w:r>
          </w:p>
        </w:tc>
      </w:tr>
      <w:tr w14:paraId="2A77C298">
        <w:tblPrEx>
          <w:tblCellMar>
            <w:top w:w="0" w:type="dxa"/>
            <w:left w:w="108" w:type="dxa"/>
            <w:bottom w:w="0" w:type="dxa"/>
            <w:right w:w="108" w:type="dxa"/>
          </w:tblCellMar>
        </w:tblPrEx>
        <w:trPr>
          <w:trHeight w:val="599" w:hRule="atLeast"/>
        </w:trPr>
        <w:tc>
          <w:tcPr>
            <w:tcW w:w="692" w:type="dxa"/>
            <w:tcBorders>
              <w:top w:val="single" w:color="auto" w:sz="4" w:space="0"/>
              <w:left w:val="single" w:color="auto" w:sz="4" w:space="0"/>
              <w:bottom w:val="single" w:color="auto" w:sz="4" w:space="0"/>
              <w:right w:val="single" w:color="auto" w:sz="4" w:space="0"/>
            </w:tcBorders>
            <w:vAlign w:val="center"/>
          </w:tcPr>
          <w:p w14:paraId="5795B3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70955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37</w:t>
            </w:r>
          </w:p>
        </w:tc>
        <w:tc>
          <w:tcPr>
            <w:tcW w:w="7061" w:type="dxa"/>
            <w:tcBorders>
              <w:top w:val="single" w:color="auto" w:sz="4" w:space="0"/>
              <w:left w:val="nil"/>
              <w:bottom w:val="single" w:color="auto" w:sz="4" w:space="0"/>
              <w:right w:val="single" w:color="auto" w:sz="4" w:space="0"/>
            </w:tcBorders>
            <w:vAlign w:val="center"/>
          </w:tcPr>
          <w:p w14:paraId="53C5B9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符合GB/T24021-2001idt ISO14021:1999《环境管理环境标志与声明自我环境声明(Ⅱ型环境标志)》的要求</w:t>
            </w:r>
          </w:p>
        </w:tc>
      </w:tr>
      <w:tr w14:paraId="383096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4D3A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0D794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38</w:t>
            </w:r>
          </w:p>
        </w:tc>
        <w:tc>
          <w:tcPr>
            <w:tcW w:w="7061" w:type="dxa"/>
            <w:tcBorders>
              <w:top w:val="single" w:color="auto" w:sz="4" w:space="0"/>
              <w:left w:val="nil"/>
              <w:bottom w:val="single" w:color="auto" w:sz="4" w:space="0"/>
              <w:right w:val="single" w:color="auto" w:sz="4" w:space="0"/>
            </w:tcBorders>
            <w:vAlign w:val="center"/>
          </w:tcPr>
          <w:p w14:paraId="561705D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设备应支持掌纹掌静脉识别功能。应具有掌纹掌静脉防假功能，应能抵御视频、电子照片、打印照片、3D模型等类型的掌纹呈现攻击，活体检测准确率应≥99.5%。</w:t>
            </w:r>
          </w:p>
        </w:tc>
      </w:tr>
      <w:tr w14:paraId="3301A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3F70C7">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2CA83D4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39</w:t>
            </w:r>
          </w:p>
        </w:tc>
        <w:tc>
          <w:tcPr>
            <w:tcW w:w="7061" w:type="dxa"/>
            <w:tcBorders>
              <w:top w:val="single" w:color="auto" w:sz="4" w:space="0"/>
              <w:left w:val="nil"/>
              <w:bottom w:val="single" w:color="auto" w:sz="4" w:space="0"/>
              <w:right w:val="single" w:color="auto" w:sz="4" w:space="0"/>
            </w:tcBorders>
            <w:vAlign w:val="center"/>
          </w:tcPr>
          <w:p w14:paraId="017B807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设备掌纹掌静脉比对时间应＜200ms，准确率应＞99.95%，识别距离在5cm~12cm范围内。</w:t>
            </w:r>
            <w:r>
              <w:rPr>
                <w:rStyle w:val="21"/>
                <w:rFonts w:hint="eastAsia" w:ascii="宋体" w:hAnsi="宋体" w:eastAsia="宋体" w:cs="宋体"/>
                <w:sz w:val="24"/>
                <w:szCs w:val="24"/>
                <w:lang w:val="en-US" w:eastAsia="zh-CN" w:bidi="ar"/>
              </w:rPr>
              <w:br w:type="textWrapping"/>
            </w:r>
          </w:p>
        </w:tc>
      </w:tr>
      <w:tr w14:paraId="758512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DF811C">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0D73884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40</w:t>
            </w:r>
          </w:p>
        </w:tc>
        <w:tc>
          <w:tcPr>
            <w:tcW w:w="7061" w:type="dxa"/>
            <w:tcBorders>
              <w:top w:val="single" w:color="auto" w:sz="4" w:space="0"/>
              <w:left w:val="nil"/>
              <w:bottom w:val="single" w:color="auto" w:sz="4" w:space="0"/>
              <w:right w:val="single" w:color="auto" w:sz="4" w:space="0"/>
            </w:tcBorders>
            <w:vAlign w:val="center"/>
          </w:tcPr>
          <w:p w14:paraId="234E74A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r>
      <w:tr w14:paraId="382209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CD41D5">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1AB05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41</w:t>
            </w:r>
          </w:p>
        </w:tc>
        <w:tc>
          <w:tcPr>
            <w:tcW w:w="7061" w:type="dxa"/>
            <w:tcBorders>
              <w:top w:val="single" w:color="auto" w:sz="4" w:space="0"/>
              <w:left w:val="nil"/>
              <w:bottom w:val="single" w:color="auto" w:sz="4" w:space="0"/>
              <w:right w:val="single" w:color="auto" w:sz="4" w:space="0"/>
            </w:tcBorders>
            <w:vAlign w:val="center"/>
          </w:tcPr>
          <w:p w14:paraId="1F6CAD3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highlight w:val="none"/>
                <w:lang w:val="en-US" w:eastAsia="zh-CN" w:bidi="ar"/>
              </w:rPr>
              <w:t>以上标“★”参数为主要技术参数，需提供第三方权威检测报告并加盖原厂公章。</w:t>
            </w:r>
          </w:p>
        </w:tc>
      </w:tr>
      <w:tr w14:paraId="285934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B2D57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BB8C3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42</w:t>
            </w:r>
          </w:p>
        </w:tc>
        <w:tc>
          <w:tcPr>
            <w:tcW w:w="7061" w:type="dxa"/>
            <w:tcBorders>
              <w:top w:val="single" w:color="auto" w:sz="4" w:space="0"/>
              <w:left w:val="nil"/>
              <w:bottom w:val="single" w:color="auto" w:sz="4" w:space="0"/>
              <w:right w:val="single" w:color="auto" w:sz="4" w:space="0"/>
            </w:tcBorders>
            <w:vAlign w:val="center"/>
          </w:tcPr>
          <w:p w14:paraId="2DB29E7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包含实施安装、包含门禁授权</w:t>
            </w:r>
          </w:p>
        </w:tc>
      </w:tr>
      <w:tr w14:paraId="05A870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E810A0">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2077C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43</w:t>
            </w:r>
          </w:p>
        </w:tc>
        <w:tc>
          <w:tcPr>
            <w:tcW w:w="7061" w:type="dxa"/>
            <w:tcBorders>
              <w:top w:val="single" w:color="auto" w:sz="4" w:space="0"/>
              <w:left w:val="nil"/>
              <w:bottom w:val="single" w:color="auto" w:sz="4" w:space="0"/>
              <w:right w:val="single" w:color="auto" w:sz="4" w:space="0"/>
            </w:tcBorders>
            <w:vAlign w:val="center"/>
          </w:tcPr>
          <w:p w14:paraId="1C49A1A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本次采购的门禁主机，须包含实现其基本门禁控制功能所需的全部配套组件及安装辅材，以确保设备到场后可完成基础功能的安装与调试。</w:t>
            </w:r>
          </w:p>
        </w:tc>
      </w:tr>
      <w:tr w14:paraId="2E2D068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58E6E7">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79F3A1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44</w:t>
            </w:r>
          </w:p>
        </w:tc>
        <w:tc>
          <w:tcPr>
            <w:tcW w:w="7061" w:type="dxa"/>
            <w:tcBorders>
              <w:top w:val="single" w:color="auto" w:sz="4" w:space="0"/>
              <w:left w:val="nil"/>
              <w:bottom w:val="single" w:color="auto" w:sz="4" w:space="0"/>
              <w:right w:val="single" w:color="auto" w:sz="4" w:space="0"/>
            </w:tcBorders>
            <w:vAlign w:val="center"/>
          </w:tcPr>
          <w:p w14:paraId="4BF2EB2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支持远程开门。</w:t>
            </w:r>
          </w:p>
        </w:tc>
      </w:tr>
      <w:tr w14:paraId="3B8C87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A19711">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8DEB5D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45</w:t>
            </w:r>
          </w:p>
        </w:tc>
        <w:tc>
          <w:tcPr>
            <w:tcW w:w="7061" w:type="dxa"/>
            <w:tcBorders>
              <w:top w:val="single" w:color="auto" w:sz="4" w:space="0"/>
              <w:left w:val="nil"/>
              <w:bottom w:val="single" w:color="auto" w:sz="4" w:space="0"/>
              <w:right w:val="single" w:color="auto" w:sz="4" w:space="0"/>
            </w:tcBorders>
            <w:vAlign w:val="center"/>
          </w:tcPr>
          <w:p w14:paraId="0317CB2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项目实施与验收：投标人须在投标文件中提供详细的项目实施计划、验收方案及培训计划。中标后，须在设备到场后7个工作日内完成单台设备的安装与基础功能调试</w:t>
            </w:r>
          </w:p>
        </w:tc>
      </w:tr>
      <w:tr w14:paraId="1206BF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DC148">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0E9B6D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46</w:t>
            </w:r>
          </w:p>
        </w:tc>
        <w:tc>
          <w:tcPr>
            <w:tcW w:w="7061" w:type="dxa"/>
            <w:tcBorders>
              <w:top w:val="single" w:color="auto" w:sz="4" w:space="0"/>
              <w:left w:val="nil"/>
              <w:bottom w:val="single" w:color="auto" w:sz="4" w:space="0"/>
              <w:right w:val="single" w:color="auto" w:sz="4" w:space="0"/>
            </w:tcBorders>
            <w:vAlign w:val="center"/>
          </w:tcPr>
          <w:p w14:paraId="4E6EDB4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协议开放性：设备需提供完整的二次开发SDK包及API接口文档，明确支持ONVIF Profile S &amp; T标准协议，以确保与现有安防平台无缝对接，并可以无损任何功能接入现有软件。</w:t>
            </w:r>
          </w:p>
        </w:tc>
      </w:tr>
      <w:tr w14:paraId="0A48BD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1A35B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29D4720F">
            <w:pPr>
              <w:pStyle w:val="15"/>
              <w:widowControl/>
              <w:numPr>
                <w:ilvl w:val="0"/>
                <w:numId w:val="0"/>
              </w:numPr>
              <w:spacing w:line="240" w:lineRule="auto"/>
              <w:ind w:leftChars="0"/>
              <w:jc w:val="center"/>
              <w:rPr>
                <w:rFonts w:hint="eastAsia" w:ascii="宋体" w:hAnsi="宋体" w:cs="宋体"/>
                <w:b/>
                <w:bCs/>
                <w:kern w:val="0"/>
                <w:sz w:val="21"/>
                <w:szCs w:val="21"/>
                <w:lang w:val="en-US" w:eastAsia="zh-CN" w:bidi="lo-LA"/>
              </w:rPr>
            </w:pPr>
            <w:r>
              <w:rPr>
                <w:rStyle w:val="21"/>
                <w:rFonts w:hint="eastAsia" w:ascii="宋体" w:hAnsi="宋体" w:eastAsia="宋体" w:cs="宋体"/>
                <w:sz w:val="24"/>
                <w:szCs w:val="24"/>
                <w:lang w:val="en-US" w:eastAsia="zh-CN" w:bidi="ar"/>
              </w:rPr>
              <w:t>交换机</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5793EF">
            <w:pPr>
              <w:keepNext w:val="0"/>
              <w:keepLines w:val="0"/>
              <w:widowControl/>
              <w:suppressLineNumbers w:val="0"/>
              <w:jc w:val="left"/>
              <w:textAlignment w:val="center"/>
              <w:rPr>
                <w:rFonts w:hint="eastAsia" w:ascii="宋体" w:hAnsi="宋体" w:eastAsia="宋体" w:cs="宋体"/>
                <w:kern w:val="2"/>
                <w:sz w:val="52"/>
                <w:szCs w:val="52"/>
                <w:lang w:val="en-US" w:eastAsia="zh-CN" w:bidi="ar-SA"/>
              </w:rPr>
            </w:pPr>
            <w:r>
              <w:rPr>
                <w:rFonts w:hint="eastAsia" w:ascii="宋体" w:hAnsi="宋体" w:eastAsia="宋体" w:cs="宋体"/>
                <w:i w:val="0"/>
                <w:iCs w:val="0"/>
                <w:color w:val="000000"/>
                <w:kern w:val="0"/>
                <w:sz w:val="24"/>
                <w:szCs w:val="24"/>
                <w:u w:val="none"/>
                <w:lang w:val="en-US" w:eastAsia="zh-CN" w:bidi="ar"/>
              </w:rPr>
              <w:t>10口千兆/支持 IEEE 802.3af/at 标准/支持6KV防浪涌/全金属外壳。</w:t>
            </w:r>
          </w:p>
        </w:tc>
      </w:tr>
      <w:tr w14:paraId="7FE1C5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2851B6">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249863">
            <w:pPr>
              <w:pStyle w:val="15"/>
              <w:widowControl/>
              <w:numPr>
                <w:ilvl w:val="0"/>
                <w:numId w:val="0"/>
              </w:numPr>
              <w:spacing w:line="240" w:lineRule="auto"/>
              <w:ind w:leftChars="0"/>
              <w:jc w:val="center"/>
              <w:rPr>
                <w:rStyle w:val="21"/>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PDU</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D8AB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防雷击、防浪涌、4000w、分控、10位</w:t>
            </w:r>
          </w:p>
        </w:tc>
      </w:tr>
      <w:tr w14:paraId="03E99D3A">
        <w:tblPrEx>
          <w:tblCellMar>
            <w:top w:w="0" w:type="dxa"/>
            <w:left w:w="108" w:type="dxa"/>
            <w:bottom w:w="0" w:type="dxa"/>
            <w:right w:w="108" w:type="dxa"/>
          </w:tblCellMar>
        </w:tblPrEx>
        <w:trPr>
          <w:trHeight w:val="93" w:hRule="atLeast"/>
        </w:trPr>
        <w:tc>
          <w:tcPr>
            <w:tcW w:w="692" w:type="dxa"/>
            <w:vMerge w:val="restart"/>
            <w:tcBorders>
              <w:top w:val="single" w:color="auto" w:sz="4" w:space="0"/>
              <w:left w:val="single" w:color="auto" w:sz="4" w:space="0"/>
              <w:right w:val="single" w:color="auto" w:sz="4" w:space="0"/>
            </w:tcBorders>
            <w:vAlign w:val="center"/>
          </w:tcPr>
          <w:p w14:paraId="646D9837">
            <w:pPr>
              <w:widowControl/>
              <w:spacing w:line="240" w:lineRule="auto"/>
              <w:jc w:val="center"/>
              <w:rPr>
                <w:rStyle w:val="21"/>
                <w:rFonts w:hint="eastAsia" w:ascii="宋体" w:hAnsi="宋体" w:eastAsia="宋体" w:cs="宋体"/>
                <w:sz w:val="24"/>
                <w:szCs w:val="24"/>
                <w:lang w:val="en-US" w:eastAsia="zh-CN" w:bidi="ar"/>
              </w:rPr>
            </w:pPr>
          </w:p>
        </w:tc>
        <w:tc>
          <w:tcPr>
            <w:tcW w:w="750" w:type="dxa"/>
            <w:vMerge w:val="restart"/>
            <w:tcBorders>
              <w:top w:val="single" w:color="auto" w:sz="4" w:space="0"/>
              <w:left w:val="nil"/>
              <w:right w:val="single" w:color="auto" w:sz="4" w:space="0"/>
            </w:tcBorders>
            <w:vAlign w:val="center"/>
          </w:tcPr>
          <w:p w14:paraId="00E73ED2">
            <w:pPr>
              <w:pStyle w:val="15"/>
              <w:widowControl/>
              <w:numPr>
                <w:ilvl w:val="0"/>
                <w:numId w:val="0"/>
              </w:numPr>
              <w:spacing w:line="240" w:lineRule="auto"/>
              <w:ind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规范化连接</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ED28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1、剥离导线绝缘层时，不得损伤线芯。使用专用工具将接头处氧化层彻底清除，确保金属导体暴露原有光泽。</w:t>
            </w:r>
          </w:p>
        </w:tc>
      </w:tr>
      <w:tr w14:paraId="0C22B2B5">
        <w:tblPrEx>
          <w:tblCellMar>
            <w:top w:w="0" w:type="dxa"/>
            <w:left w:w="108" w:type="dxa"/>
            <w:bottom w:w="0" w:type="dxa"/>
            <w:right w:w="108" w:type="dxa"/>
          </w:tblCellMar>
        </w:tblPrEx>
        <w:trPr>
          <w:trHeight w:val="93" w:hRule="atLeast"/>
        </w:trPr>
        <w:tc>
          <w:tcPr>
            <w:tcW w:w="692" w:type="dxa"/>
            <w:vMerge w:val="continue"/>
            <w:tcBorders>
              <w:left w:val="single" w:color="auto" w:sz="4" w:space="0"/>
              <w:bottom w:val="single" w:color="auto" w:sz="4" w:space="0"/>
              <w:right w:val="single" w:color="auto" w:sz="4" w:space="0"/>
            </w:tcBorders>
            <w:vAlign w:val="center"/>
          </w:tcPr>
          <w:p w14:paraId="7177AF5A">
            <w:pPr>
              <w:keepNext w:val="0"/>
              <w:keepLines w:val="0"/>
              <w:widowControl/>
              <w:suppressLineNumbers w:val="0"/>
              <w:jc w:val="left"/>
              <w:textAlignment w:val="center"/>
            </w:pPr>
          </w:p>
        </w:tc>
        <w:tc>
          <w:tcPr>
            <w:tcW w:w="750" w:type="dxa"/>
            <w:vMerge w:val="continue"/>
            <w:tcBorders>
              <w:left w:val="nil"/>
              <w:bottom w:val="single" w:color="auto" w:sz="4" w:space="0"/>
              <w:right w:val="single" w:color="auto" w:sz="4" w:space="0"/>
            </w:tcBorders>
            <w:vAlign w:val="center"/>
          </w:tcPr>
          <w:p w14:paraId="59E7FF37">
            <w:pPr>
              <w:keepNext w:val="0"/>
              <w:keepLines w:val="0"/>
              <w:widowControl/>
              <w:suppressLineNumbers w:val="0"/>
              <w:jc w:val="left"/>
              <w:textAlignment w:val="center"/>
            </w:pPr>
          </w:p>
        </w:tc>
        <w:tc>
          <w:tcPr>
            <w:tcW w:w="7061" w:type="dxa"/>
            <w:tcBorders>
              <w:top w:val="single" w:color="auto" w:sz="4" w:space="0"/>
              <w:left w:val="nil"/>
              <w:bottom w:val="single" w:color="auto" w:sz="4" w:space="0"/>
              <w:right w:val="single" w:color="auto" w:sz="4" w:space="0"/>
            </w:tcBorders>
            <w:shd w:val="clear" w:color="auto" w:fill="auto"/>
            <w:vAlign w:val="center"/>
          </w:tcPr>
          <w:p w14:paraId="68AB5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2、必须对所有重新连接的导线接头进行搪锡（焊锡）处理。 焊料应均匀覆盖整个接头，形成光亮、圆滑的焊点，无虚焊、假焊、夹渣现象。</w:t>
            </w:r>
          </w:p>
        </w:tc>
      </w:tr>
      <w:tr w14:paraId="766DAA3C">
        <w:tblPrEx>
          <w:tblCellMar>
            <w:top w:w="0" w:type="dxa"/>
            <w:left w:w="108" w:type="dxa"/>
            <w:bottom w:w="0" w:type="dxa"/>
            <w:right w:w="108" w:type="dxa"/>
          </w:tblCellMar>
        </w:tblPrEx>
        <w:trPr>
          <w:trHeight w:val="93" w:hRule="atLeast"/>
        </w:trPr>
        <w:tc>
          <w:tcPr>
            <w:tcW w:w="692" w:type="dxa"/>
            <w:vMerge w:val="continue"/>
            <w:tcBorders>
              <w:top w:val="single" w:color="auto" w:sz="4" w:space="0"/>
              <w:left w:val="single" w:color="auto" w:sz="4" w:space="0"/>
              <w:right w:val="single" w:color="auto" w:sz="4" w:space="0"/>
            </w:tcBorders>
            <w:vAlign w:val="center"/>
          </w:tcPr>
          <w:p w14:paraId="00BEE9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top w:val="single" w:color="auto" w:sz="4" w:space="0"/>
              <w:left w:val="nil"/>
              <w:right w:val="single" w:color="auto" w:sz="4" w:space="0"/>
            </w:tcBorders>
            <w:vAlign w:val="center"/>
          </w:tcPr>
          <w:p w14:paraId="4709C5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5B8DC3A1">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3外观检验：接头光滑、饱满；绝缘层平整、无气泡、无裸露。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机械强度检验：轻微拉扯无松动、脱落。</w:t>
            </w:r>
          </w:p>
        </w:tc>
      </w:tr>
      <w:tr w14:paraId="74422991">
        <w:tblPrEx>
          <w:tblCellMar>
            <w:top w:w="0" w:type="dxa"/>
            <w:left w:w="108" w:type="dxa"/>
            <w:bottom w:w="0" w:type="dxa"/>
            <w:right w:w="108" w:type="dxa"/>
          </w:tblCellMar>
        </w:tblPrEx>
        <w:trPr>
          <w:trHeight w:val="93" w:hRule="atLeast"/>
        </w:trPr>
        <w:tc>
          <w:tcPr>
            <w:tcW w:w="692" w:type="dxa"/>
            <w:vMerge w:val="continue"/>
            <w:tcBorders>
              <w:left w:val="single" w:color="auto" w:sz="4" w:space="0"/>
              <w:right w:val="single" w:color="auto" w:sz="4" w:space="0"/>
            </w:tcBorders>
            <w:vAlign w:val="center"/>
          </w:tcPr>
          <w:p w14:paraId="437754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left w:val="nil"/>
              <w:right w:val="single" w:color="auto" w:sz="4" w:space="0"/>
            </w:tcBorders>
            <w:vAlign w:val="center"/>
          </w:tcPr>
          <w:p w14:paraId="0D41DF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2476791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4.电气性能检验：修复后，需使用绝缘电阻测试仪对线路进行测试，绝缘电阻值必须符合《建筑电气工程施工质量验收规范》（GB 50303）的相关规定（通常要求不低于0.5MΩ）。</w:t>
            </w:r>
          </w:p>
        </w:tc>
      </w:tr>
      <w:tr w14:paraId="78CD6304">
        <w:tblPrEx>
          <w:tblCellMar>
            <w:top w:w="0" w:type="dxa"/>
            <w:left w:w="108" w:type="dxa"/>
            <w:bottom w:w="0" w:type="dxa"/>
            <w:right w:w="108" w:type="dxa"/>
          </w:tblCellMar>
        </w:tblPrEx>
        <w:trPr>
          <w:trHeight w:val="813" w:hRule="atLeast"/>
        </w:trPr>
        <w:tc>
          <w:tcPr>
            <w:tcW w:w="8503" w:type="dxa"/>
            <w:gridSpan w:val="3"/>
            <w:tcBorders>
              <w:left w:val="single" w:color="auto" w:sz="4" w:space="0"/>
              <w:right w:val="single" w:color="auto" w:sz="4" w:space="0"/>
            </w:tcBorders>
            <w:vAlign w:val="center"/>
          </w:tcPr>
          <w:p w14:paraId="7C4AB0E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注：以上所有参数标“</w:t>
            </w:r>
            <w:r>
              <w:rPr>
                <w:rStyle w:val="21"/>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”项为主要技术参数，任意一条不满足则导致响应无效</w:t>
            </w:r>
          </w:p>
        </w:tc>
      </w:tr>
    </w:tbl>
    <w:p w14:paraId="03CFE9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5442E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C2E0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DB511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7F33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hint="default" w:ascii="宋体" w:hAnsi="宋体" w:eastAsia="宋体" w:cs="宋体"/>
          <w:b w:val="0"/>
          <w:bCs/>
          <w:color w:val="000000"/>
          <w:sz w:val="24"/>
          <w:szCs w:val="24"/>
          <w:lang w:val="en-US" w:eastAsia="zh-CN"/>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其他</w:t>
      </w:r>
      <w:r>
        <w:rPr>
          <w:rFonts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17FA791">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十七、其它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AD76B"/>
    <w:multiLevelType w:val="singleLevel"/>
    <w:tmpl w:val="DCDAD76B"/>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720FBE"/>
    <w:rsid w:val="11AB1717"/>
    <w:rsid w:val="11EF4694"/>
    <w:rsid w:val="14E761BD"/>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7E6C9B"/>
    <w:rsid w:val="64A55108"/>
    <w:rsid w:val="64E47B74"/>
    <w:rsid w:val="65724AA6"/>
    <w:rsid w:val="6585763E"/>
    <w:rsid w:val="661108EC"/>
    <w:rsid w:val="665F0BE6"/>
    <w:rsid w:val="669049D8"/>
    <w:rsid w:val="67486B9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9783</Words>
  <Characters>11113</Characters>
  <Lines>0</Lines>
  <Paragraphs>0</Paragraphs>
  <TotalTime>4</TotalTime>
  <ScaleCrop>false</ScaleCrop>
  <LinksUpToDate>false</LinksUpToDate>
  <CharactersWithSpaces>11806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2025-12-05T08:16:46Z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76FBA3201762418C9C013B0CC51CAF17_13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