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0AC9AD42">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感觉神经定量检查仪项目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2025年12月11日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63C85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591B374B">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2865" w:type="dxa"/>
            <w:vAlign w:val="center"/>
          </w:tcPr>
          <w:p w14:paraId="2A29D2D2">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903" w:type="dxa"/>
            <w:vAlign w:val="center"/>
          </w:tcPr>
          <w:p w14:paraId="72A9E1C7">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826" w:type="dxa"/>
            <w:vAlign w:val="center"/>
          </w:tcPr>
          <w:p w14:paraId="11B0CF0E">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1338" w:type="dxa"/>
            <w:vAlign w:val="center"/>
          </w:tcPr>
          <w:p w14:paraId="416F4CFA">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596" w:type="dxa"/>
            <w:vAlign w:val="center"/>
          </w:tcPr>
          <w:p w14:paraId="275F2F3D">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6C823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4125CBBD">
            <w:pPr>
              <w:jc w:val="left"/>
              <w:rPr>
                <w:rFonts w:hint="eastAsia" w:ascii="宋体" w:hAnsi="宋体" w:eastAsia="宋体" w:cs="宋体"/>
                <w:sz w:val="20"/>
                <w:szCs w:val="20"/>
              </w:rPr>
            </w:pPr>
            <w:r>
              <w:rPr>
                <w:rFonts w:hint="eastAsia" w:ascii="宋体" w:hAnsi="宋体" w:eastAsia="宋体" w:cs="宋体"/>
                <w:kern w:val="0"/>
                <w:sz w:val="24"/>
                <w:szCs w:val="24"/>
              </w:rPr>
              <w:t>1</w:t>
            </w:r>
          </w:p>
        </w:tc>
        <w:tc>
          <w:tcPr>
            <w:tcW w:w="2865" w:type="dxa"/>
            <w:vAlign w:val="center"/>
          </w:tcPr>
          <w:p w14:paraId="6B874574">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4"/>
                <w:szCs w:val="24"/>
                <w:lang w:val="en-US" w:eastAsia="zh-CN"/>
              </w:rPr>
              <w:t>感觉神经定量检查仪</w:t>
            </w:r>
          </w:p>
        </w:tc>
        <w:tc>
          <w:tcPr>
            <w:tcW w:w="903" w:type="dxa"/>
            <w:vAlign w:val="center"/>
          </w:tcPr>
          <w:p w14:paraId="0B561508">
            <w:pPr>
              <w:widowControl/>
              <w:ind w:firstLine="240" w:firstLineChars="100"/>
              <w:jc w:val="left"/>
              <w:textAlignment w:val="center"/>
              <w:rPr>
                <w:rFonts w:hint="default" w:ascii="宋体" w:hAnsi="宋体" w:eastAsia="宋体" w:cs="宋体"/>
                <w:sz w:val="13"/>
                <w:szCs w:val="13"/>
                <w:lang w:val="en-US" w:eastAsia="zh-CN"/>
              </w:rPr>
            </w:pPr>
            <w:r>
              <w:rPr>
                <w:rFonts w:hint="eastAsia" w:ascii="宋体" w:hAnsi="宋体" w:eastAsia="宋体" w:cs="宋体"/>
                <w:kern w:val="0"/>
                <w:sz w:val="24"/>
                <w:szCs w:val="24"/>
                <w:lang w:val="en-US" w:eastAsia="zh-CN"/>
              </w:rPr>
              <w:t>台</w:t>
            </w:r>
          </w:p>
        </w:tc>
        <w:tc>
          <w:tcPr>
            <w:tcW w:w="826" w:type="dxa"/>
            <w:vAlign w:val="center"/>
          </w:tcPr>
          <w:p w14:paraId="5A48B699">
            <w:pPr>
              <w:widowControl/>
              <w:jc w:val="left"/>
              <w:textAlignment w:val="center"/>
              <w:rPr>
                <w:rFonts w:hint="default" w:ascii="宋体" w:hAnsi="宋体" w:eastAsia="宋体" w:cs="宋体"/>
                <w:sz w:val="13"/>
                <w:szCs w:val="13"/>
                <w:lang w:val="en-US" w:eastAsia="zh-CN"/>
              </w:rPr>
            </w:pPr>
            <w:r>
              <w:rPr>
                <w:rFonts w:hint="eastAsia" w:ascii="宋体" w:hAnsi="宋体" w:eastAsia="宋体" w:cs="宋体"/>
                <w:kern w:val="0"/>
                <w:sz w:val="24"/>
                <w:szCs w:val="24"/>
                <w:lang w:val="en-US" w:eastAsia="zh-CN"/>
              </w:rPr>
              <w:t>1</w:t>
            </w:r>
          </w:p>
        </w:tc>
        <w:tc>
          <w:tcPr>
            <w:tcW w:w="1338" w:type="dxa"/>
            <w:vAlign w:val="center"/>
          </w:tcPr>
          <w:p w14:paraId="4EAB02E3">
            <w:pPr>
              <w:widowControl/>
              <w:jc w:val="left"/>
              <w:textAlignment w:val="center"/>
              <w:rPr>
                <w:rFonts w:hint="default" w:ascii="宋体" w:hAnsi="宋体" w:eastAsia="宋体" w:cs="宋体"/>
                <w:sz w:val="13"/>
                <w:szCs w:val="13"/>
                <w:lang w:val="en-US" w:eastAsia="zh-CN"/>
              </w:rPr>
            </w:pPr>
            <w:r>
              <w:rPr>
                <w:rFonts w:hint="eastAsia" w:ascii="宋体" w:hAnsi="宋体" w:eastAsia="宋体" w:cs="宋体"/>
                <w:kern w:val="0"/>
                <w:sz w:val="24"/>
                <w:szCs w:val="24"/>
                <w:lang w:val="en-US" w:eastAsia="zh-CN"/>
              </w:rPr>
              <w:t>300000</w:t>
            </w:r>
          </w:p>
        </w:tc>
        <w:tc>
          <w:tcPr>
            <w:tcW w:w="1596" w:type="dxa"/>
            <w:vAlign w:val="center"/>
          </w:tcPr>
          <w:p w14:paraId="32255602">
            <w:pPr>
              <w:widowControl/>
              <w:jc w:val="left"/>
              <w:textAlignment w:val="center"/>
              <w:rPr>
                <w:rFonts w:hint="default" w:ascii="宋体" w:hAnsi="宋体" w:eastAsia="宋体" w:cs="宋体"/>
                <w:sz w:val="13"/>
                <w:szCs w:val="13"/>
                <w:lang w:val="en-US"/>
              </w:rPr>
            </w:pPr>
            <w:r>
              <w:rPr>
                <w:rFonts w:hint="eastAsia" w:ascii="宋体" w:hAnsi="宋体" w:eastAsia="宋体" w:cs="宋体"/>
                <w:kern w:val="0"/>
                <w:sz w:val="24"/>
                <w:szCs w:val="24"/>
                <w:lang w:val="en-US" w:eastAsia="zh-CN"/>
              </w:rPr>
              <w:t>300000</w:t>
            </w:r>
          </w:p>
        </w:tc>
      </w:tr>
      <w:tr w14:paraId="4E1DC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55A939E3">
            <w:pPr>
              <w:jc w:val="left"/>
              <w:rPr>
                <w:rFonts w:hint="eastAsia" w:ascii="宋体" w:hAnsi="宋体" w:eastAsia="宋体" w:cs="宋体"/>
                <w:kern w:val="0"/>
                <w:sz w:val="24"/>
                <w:szCs w:val="24"/>
                <w:lang w:val="en-US" w:eastAsia="zh-CN"/>
              </w:rPr>
            </w:pPr>
          </w:p>
        </w:tc>
        <w:tc>
          <w:tcPr>
            <w:tcW w:w="5932" w:type="dxa"/>
            <w:gridSpan w:val="4"/>
            <w:vAlign w:val="center"/>
          </w:tcPr>
          <w:p w14:paraId="1281F501">
            <w:pPr>
              <w:ind w:firstLine="2160" w:firstLineChars="9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596" w:type="dxa"/>
            <w:vAlign w:val="center"/>
          </w:tcPr>
          <w:p w14:paraId="4C99C6EE">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300000</w:t>
            </w:r>
          </w:p>
        </w:tc>
      </w:tr>
      <w:tr w14:paraId="6D85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0153B4C">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2865" w:type="dxa"/>
            <w:vAlign w:val="center"/>
          </w:tcPr>
          <w:p w14:paraId="5357DC75">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交付使用时间</w:t>
            </w:r>
          </w:p>
        </w:tc>
        <w:tc>
          <w:tcPr>
            <w:tcW w:w="4663" w:type="dxa"/>
            <w:gridSpan w:val="4"/>
            <w:vAlign w:val="center"/>
          </w:tcPr>
          <w:p w14:paraId="46667B43">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合同签订后30日内到货。</w:t>
            </w:r>
          </w:p>
        </w:tc>
      </w:tr>
      <w:tr w14:paraId="1649B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1925F350">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2865" w:type="dxa"/>
            <w:vAlign w:val="center"/>
          </w:tcPr>
          <w:p w14:paraId="5F5734EE">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4663" w:type="dxa"/>
            <w:gridSpan w:val="4"/>
            <w:vAlign w:val="center"/>
          </w:tcPr>
          <w:p w14:paraId="4A9EF288">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3年，整机全保</w:t>
            </w:r>
          </w:p>
        </w:tc>
      </w:tr>
      <w:tr w14:paraId="6AA12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9292CAE">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2865" w:type="dxa"/>
            <w:vAlign w:val="center"/>
          </w:tcPr>
          <w:p w14:paraId="21A9AD47">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4663" w:type="dxa"/>
            <w:gridSpan w:val="4"/>
            <w:vAlign w:val="center"/>
          </w:tcPr>
          <w:p w14:paraId="65B51E53">
            <w:pPr>
              <w:jc w:val="left"/>
              <w:rPr>
                <w:rFonts w:hint="default" w:ascii="宋体" w:hAnsi="宋体" w:eastAsia="宋体" w:cs="宋体"/>
                <w:kern w:val="0"/>
                <w:sz w:val="24"/>
                <w:szCs w:val="24"/>
                <w:lang w:val="en-US" w:eastAsia="zh-CN"/>
              </w:rPr>
            </w:pPr>
            <w:r>
              <w:rPr>
                <w:rFonts w:hint="eastAsia" w:ascii="宋体" w:hAnsi="宋体" w:eastAsia="宋体" w:cs="宋体"/>
                <w:color w:val="auto"/>
                <w:kern w:val="0"/>
                <w:sz w:val="22"/>
                <w:szCs w:val="22"/>
                <w:lang w:val="en-US" w:eastAsia="zh-CN"/>
              </w:rPr>
              <w:t>设备验收通过后支付总货款的</w:t>
            </w:r>
            <w:r>
              <w:rPr>
                <w:rFonts w:hint="eastAsia" w:ascii="宋体" w:hAnsi="宋体" w:eastAsia="宋体" w:cs="宋体"/>
                <w:color w:val="auto"/>
                <w:kern w:val="0"/>
                <w:sz w:val="22"/>
                <w:szCs w:val="22"/>
                <w:u w:val="single"/>
                <w:lang w:val="en-US" w:eastAsia="zh-CN"/>
              </w:rPr>
              <w:t xml:space="preserve"> </w:t>
            </w:r>
            <w:r>
              <w:rPr>
                <w:rFonts w:hint="eastAsia" w:ascii="宋体" w:hAnsi="宋体" w:eastAsia="宋体" w:cs="宋体"/>
                <w:color w:val="auto"/>
                <w:kern w:val="0"/>
                <w:sz w:val="22"/>
                <w:szCs w:val="22"/>
                <w:u w:val="none"/>
                <w:lang w:val="en-US" w:eastAsia="zh-CN"/>
              </w:rPr>
              <w:t>90% ，验收通过使用1年后支付总货款的10%。</w:t>
            </w:r>
          </w:p>
        </w:tc>
      </w:tr>
      <w:tr w14:paraId="75425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5EBAC5B4">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2865" w:type="dxa"/>
            <w:vAlign w:val="center"/>
          </w:tcPr>
          <w:p w14:paraId="4698702B">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交付地点</w:t>
            </w:r>
          </w:p>
        </w:tc>
        <w:tc>
          <w:tcPr>
            <w:tcW w:w="4663" w:type="dxa"/>
            <w:gridSpan w:val="4"/>
            <w:vAlign w:val="center"/>
          </w:tcPr>
          <w:p w14:paraId="650E3983">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60E09339">
      <w:pPr>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w:t>
      </w:r>
      <w:r>
        <w:rPr>
          <w:rFonts w:hint="eastAsia" w:ascii="宋体" w:hAnsi="宋体" w:eastAsia="宋体" w:cs="宋体"/>
          <w:sz w:val="24"/>
          <w:szCs w:val="24"/>
          <w:lang w:val="en-US" w:eastAsia="zh-CN"/>
        </w:rPr>
        <w:t>一</w:t>
      </w:r>
      <w:r>
        <w:rPr>
          <w:rFonts w:hint="eastAsia" w:ascii="宋体" w:hAnsi="宋体" w:eastAsia="宋体" w:cs="宋体"/>
          <w:sz w:val="24"/>
          <w:szCs w:val="24"/>
        </w:rPr>
        <w:t>）项目基本情况介绍：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本项目包含1台感觉神经定量检查仪，用于对糖尿病等慢病患者的筛查诊断、药物监控和科学研究。</w:t>
      </w:r>
    </w:p>
    <w:p w14:paraId="49015B8C">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）技术参数和要求（功能和质量）</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2FAAF2E0">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6B8578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37A008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7D816AF">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0CDB028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BBB8EC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3599071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5D6958D1">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color w:val="auto"/>
                <w:sz w:val="21"/>
                <w:szCs w:val="21"/>
              </w:rPr>
              <w:t>输入短路噪声：≤0.4µV rms（1Hz～5kHz，两输入端对患者地短路）</w:t>
            </w:r>
            <w:r>
              <w:rPr>
                <w:rFonts w:hint="eastAsia" w:ascii="宋体" w:hAnsi="宋体" w:eastAsia="宋体" w:cs="宋体"/>
                <w:color w:val="auto"/>
                <w:sz w:val="21"/>
                <w:szCs w:val="21"/>
                <w:lang w:eastAsia="zh-CN"/>
              </w:rPr>
              <w:t>。</w:t>
            </w:r>
          </w:p>
        </w:tc>
      </w:tr>
      <w:tr w14:paraId="4EB2EC5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742D0F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3280D0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53BEF93D">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color w:val="auto"/>
                <w:sz w:val="21"/>
                <w:szCs w:val="21"/>
              </w:rPr>
              <w:t>差模输入阻抗：≥1100MΩ</w:t>
            </w:r>
            <w:r>
              <w:rPr>
                <w:rFonts w:hint="eastAsia" w:ascii="宋体" w:hAnsi="宋体" w:eastAsia="宋体" w:cs="宋体"/>
                <w:color w:val="auto"/>
                <w:sz w:val="21"/>
                <w:szCs w:val="21"/>
                <w:lang w:eastAsia="zh-CN"/>
              </w:rPr>
              <w:t>。</w:t>
            </w:r>
          </w:p>
        </w:tc>
      </w:tr>
      <w:tr w14:paraId="4EC8BF2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AB9F1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50A22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73AB6D54">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color w:val="auto"/>
                <w:sz w:val="21"/>
                <w:szCs w:val="21"/>
              </w:rPr>
              <w:t>输入信号范围：峰峰值：≤10</w:t>
            </w:r>
            <w:r>
              <w:rPr>
                <w:rFonts w:hint="eastAsia" w:ascii="宋体" w:hAnsi="宋体" w:eastAsia="宋体" w:cs="宋体"/>
                <w:color w:val="auto"/>
                <w:kern w:val="0"/>
                <w:sz w:val="21"/>
                <w:szCs w:val="21"/>
              </w:rPr>
              <w:t>mV</w:t>
            </w:r>
            <w:r>
              <w:rPr>
                <w:rFonts w:hint="eastAsia" w:ascii="宋体" w:hAnsi="宋体" w:eastAsia="宋体" w:cs="宋体"/>
                <w:color w:val="auto"/>
                <w:sz w:val="21"/>
                <w:szCs w:val="21"/>
                <w:lang w:eastAsia="zh-CN"/>
              </w:rPr>
              <w:t>。</w:t>
            </w:r>
          </w:p>
        </w:tc>
      </w:tr>
      <w:tr w14:paraId="0E22A66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5C334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447FBF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1CF3BC36">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color w:val="auto"/>
                <w:sz w:val="21"/>
                <w:szCs w:val="21"/>
              </w:rPr>
              <w:t>最高分辨率： 0.1µV</w:t>
            </w:r>
            <w:r>
              <w:rPr>
                <w:rFonts w:hint="eastAsia" w:ascii="宋体" w:hAnsi="宋体" w:eastAsia="宋体" w:cs="宋体"/>
                <w:color w:val="auto"/>
                <w:sz w:val="21"/>
                <w:szCs w:val="21"/>
                <w:lang w:val="en-US" w:eastAsia="zh-CN"/>
              </w:rPr>
              <w:t>。</w:t>
            </w:r>
          </w:p>
        </w:tc>
      </w:tr>
      <w:tr w14:paraId="0F80A16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F03CBE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27562B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6B4C5B32">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color w:val="auto"/>
                <w:sz w:val="21"/>
                <w:szCs w:val="21"/>
              </w:rPr>
              <w:t>共模抑制比：≥115 dB</w:t>
            </w:r>
            <w:r>
              <w:rPr>
                <w:rFonts w:hint="eastAsia" w:ascii="宋体" w:hAnsi="宋体" w:eastAsia="宋体" w:cs="宋体"/>
                <w:color w:val="auto"/>
                <w:sz w:val="21"/>
                <w:szCs w:val="21"/>
                <w:lang w:eastAsia="zh-CN"/>
              </w:rPr>
              <w:t>。</w:t>
            </w:r>
          </w:p>
        </w:tc>
      </w:tr>
      <w:tr w14:paraId="753C080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A54C90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F071EA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4D5829CF">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color w:val="auto"/>
                <w:sz w:val="21"/>
                <w:szCs w:val="21"/>
              </w:rPr>
              <w:t>通道增益可通过软件设定为：100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500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1000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5000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10000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20000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50000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100000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允差±10%。</w:t>
            </w:r>
          </w:p>
        </w:tc>
      </w:tr>
      <w:tr w14:paraId="5BDD1A0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7E145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66D99B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7A59ED56">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color w:val="auto"/>
                <w:sz w:val="21"/>
                <w:szCs w:val="21"/>
              </w:rPr>
              <w:t>机内校准信号为50</w:t>
            </w:r>
            <w:r>
              <w:rPr>
                <w:rFonts w:hint="eastAsia" w:ascii="宋体" w:hAnsi="宋体" w:eastAsia="宋体" w:cs="宋体"/>
                <w:color w:val="auto"/>
                <w:kern w:val="0"/>
                <w:sz w:val="21"/>
                <w:szCs w:val="21"/>
              </w:rPr>
              <w:t>µV</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频率200</w:t>
            </w:r>
            <w:r>
              <w:rPr>
                <w:rFonts w:hint="eastAsia" w:ascii="宋体" w:hAnsi="宋体" w:eastAsia="宋体" w:cs="宋体"/>
                <w:color w:val="auto"/>
                <w:kern w:val="0"/>
                <w:sz w:val="21"/>
                <w:szCs w:val="21"/>
              </w:rPr>
              <w:t>Hz</w:t>
            </w:r>
            <w:r>
              <w:rPr>
                <w:rFonts w:hint="eastAsia" w:ascii="宋体" w:hAnsi="宋体" w:eastAsia="宋体" w:cs="宋体"/>
                <w:color w:val="auto"/>
                <w:sz w:val="21"/>
                <w:szCs w:val="21"/>
              </w:rPr>
              <w:t>的方波，幅度允差±5%。</w:t>
            </w:r>
          </w:p>
        </w:tc>
      </w:tr>
      <w:tr w14:paraId="55601DA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A7BE0B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24DBD1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0BCE90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color w:val="auto"/>
                <w:sz w:val="21"/>
                <w:szCs w:val="21"/>
              </w:rPr>
              <w:t>输出脉冲幅度:（0～100）</w:t>
            </w:r>
            <w:r>
              <w:rPr>
                <w:rFonts w:hint="eastAsia" w:ascii="宋体" w:hAnsi="宋体" w:eastAsia="宋体" w:cs="宋体"/>
                <w:color w:val="auto"/>
                <w:kern w:val="0"/>
                <w:sz w:val="21"/>
                <w:szCs w:val="21"/>
              </w:rPr>
              <w:t>mA</w:t>
            </w:r>
            <w:r>
              <w:rPr>
                <w:rFonts w:hint="eastAsia" w:ascii="宋体" w:hAnsi="宋体" w:eastAsia="宋体" w:cs="宋体"/>
                <w:color w:val="auto"/>
                <w:sz w:val="21"/>
                <w:szCs w:val="21"/>
              </w:rPr>
              <w:t>，步进0.1</w:t>
            </w:r>
            <w:r>
              <w:rPr>
                <w:rFonts w:hint="eastAsia" w:ascii="宋体" w:hAnsi="宋体" w:eastAsia="宋体" w:cs="宋体"/>
                <w:color w:val="auto"/>
                <w:kern w:val="0"/>
                <w:sz w:val="21"/>
                <w:szCs w:val="21"/>
              </w:rPr>
              <w:t>mA</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允差±</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p>
        </w:tc>
      </w:tr>
      <w:tr w14:paraId="668BE8A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8DE5D1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F2AAAD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5F761C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color w:val="auto"/>
                <w:sz w:val="21"/>
                <w:szCs w:val="21"/>
              </w:rPr>
              <w:t>输出脉冲宽度:（50～1000）</w:t>
            </w:r>
            <w:r>
              <w:rPr>
                <w:rFonts w:hint="eastAsia" w:ascii="宋体" w:hAnsi="宋体" w:eastAsia="宋体" w:cs="宋体"/>
                <w:color w:val="auto"/>
                <w:kern w:val="0"/>
                <w:sz w:val="21"/>
                <w:szCs w:val="21"/>
              </w:rPr>
              <w:t>µs</w:t>
            </w:r>
            <w:r>
              <w:rPr>
                <w:rFonts w:hint="eastAsia" w:ascii="宋体" w:hAnsi="宋体" w:eastAsia="宋体" w:cs="宋体"/>
                <w:color w:val="auto"/>
                <w:sz w:val="21"/>
                <w:szCs w:val="21"/>
              </w:rPr>
              <w:t>，允差±10%</w:t>
            </w:r>
            <w:r>
              <w:rPr>
                <w:rFonts w:hint="eastAsia" w:ascii="宋体" w:hAnsi="宋体" w:eastAsia="宋体" w:cs="宋体"/>
                <w:color w:val="auto"/>
                <w:sz w:val="21"/>
                <w:szCs w:val="21"/>
                <w:lang w:eastAsia="zh-CN"/>
              </w:rPr>
              <w:t>。</w:t>
            </w:r>
          </w:p>
        </w:tc>
      </w:tr>
      <w:tr w14:paraId="13BF3AB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5B70F8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5C045B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20493F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color w:val="auto"/>
                <w:sz w:val="21"/>
                <w:szCs w:val="21"/>
              </w:rPr>
              <w:t>最大输出电压：≤350</w:t>
            </w:r>
            <w:r>
              <w:rPr>
                <w:rFonts w:hint="eastAsia" w:ascii="宋体" w:hAnsi="宋体" w:eastAsia="宋体" w:cs="宋体"/>
                <w:color w:val="auto"/>
                <w:kern w:val="0"/>
                <w:sz w:val="21"/>
                <w:szCs w:val="21"/>
              </w:rPr>
              <w:t>V</w:t>
            </w:r>
            <w:r>
              <w:rPr>
                <w:rFonts w:hint="eastAsia" w:ascii="宋体" w:hAnsi="宋体" w:eastAsia="宋体" w:cs="宋体"/>
                <w:color w:val="auto"/>
                <w:kern w:val="0"/>
                <w:sz w:val="21"/>
                <w:szCs w:val="21"/>
                <w:lang w:eastAsia="zh-CN"/>
              </w:rPr>
              <w:t>。</w:t>
            </w:r>
          </w:p>
        </w:tc>
      </w:tr>
      <w:tr w14:paraId="36647CE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AE099D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A2404E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241054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color w:val="auto"/>
                <w:sz w:val="21"/>
                <w:szCs w:val="21"/>
              </w:rPr>
              <w:t>刺激频率：0.1</w:t>
            </w:r>
            <w:r>
              <w:rPr>
                <w:rFonts w:hint="eastAsia" w:ascii="宋体" w:hAnsi="宋体" w:eastAsia="宋体" w:cs="宋体"/>
                <w:color w:val="auto"/>
                <w:kern w:val="0"/>
                <w:sz w:val="21"/>
                <w:szCs w:val="21"/>
              </w:rPr>
              <w:t>Hz</w:t>
            </w:r>
            <w:r>
              <w:rPr>
                <w:rFonts w:hint="eastAsia" w:ascii="宋体" w:hAnsi="宋体" w:eastAsia="宋体" w:cs="宋体"/>
                <w:color w:val="auto"/>
                <w:sz w:val="21"/>
                <w:szCs w:val="21"/>
              </w:rPr>
              <w:t>～50</w:t>
            </w:r>
            <w:r>
              <w:rPr>
                <w:rFonts w:hint="eastAsia" w:ascii="宋体" w:hAnsi="宋体" w:eastAsia="宋体" w:cs="宋体"/>
                <w:color w:val="auto"/>
                <w:kern w:val="0"/>
                <w:sz w:val="21"/>
                <w:szCs w:val="21"/>
              </w:rPr>
              <w:t>Hz</w:t>
            </w:r>
            <w:r>
              <w:rPr>
                <w:rFonts w:hint="eastAsia" w:ascii="宋体" w:hAnsi="宋体" w:eastAsia="宋体" w:cs="宋体"/>
                <w:color w:val="auto"/>
                <w:sz w:val="21"/>
                <w:szCs w:val="21"/>
              </w:rPr>
              <w:t>，允差±5%</w:t>
            </w:r>
            <w:r>
              <w:rPr>
                <w:rFonts w:hint="eastAsia" w:ascii="宋体" w:hAnsi="宋体" w:eastAsia="宋体" w:cs="宋体"/>
                <w:color w:val="auto"/>
                <w:sz w:val="21"/>
                <w:szCs w:val="21"/>
                <w:lang w:eastAsia="zh-CN"/>
              </w:rPr>
              <w:t>。</w:t>
            </w:r>
          </w:p>
        </w:tc>
      </w:tr>
      <w:tr w14:paraId="3E37E7B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E63AEB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AA274A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729A2D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color w:val="auto"/>
                <w:sz w:val="21"/>
                <w:szCs w:val="21"/>
                <w:lang w:val="en-US" w:eastAsia="zh-CN"/>
              </w:rPr>
              <w:t>电压灵敏度：0.05uV/div-20mV/div分档控制</w:t>
            </w:r>
            <w:r>
              <w:rPr>
                <w:rFonts w:hint="eastAsia" w:ascii="宋体" w:hAnsi="宋体" w:eastAsia="宋体" w:cs="宋体"/>
                <w:sz w:val="21"/>
                <w:szCs w:val="21"/>
                <w:lang w:eastAsia="zh-CN"/>
              </w:rPr>
              <w:t>。</w:t>
            </w:r>
          </w:p>
        </w:tc>
      </w:tr>
      <w:tr w14:paraId="052644B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661315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3A0888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3A72C61A">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color w:val="auto"/>
                <w:kern w:val="0"/>
                <w:sz w:val="21"/>
                <w:szCs w:val="21"/>
              </w:rPr>
              <w:t>患者信息录入模块：对患者信息</w:t>
            </w:r>
            <w:r>
              <w:rPr>
                <w:rFonts w:hint="eastAsia" w:ascii="宋体" w:hAnsi="宋体" w:eastAsia="宋体" w:cs="宋体"/>
                <w:color w:val="auto"/>
                <w:kern w:val="0"/>
                <w:sz w:val="21"/>
                <w:szCs w:val="21"/>
                <w:lang w:val="en-US" w:eastAsia="zh-CN"/>
              </w:rPr>
              <w:t>可</w:t>
            </w:r>
            <w:r>
              <w:rPr>
                <w:rFonts w:hint="eastAsia" w:ascii="宋体" w:hAnsi="宋体" w:eastAsia="宋体" w:cs="宋体"/>
                <w:color w:val="auto"/>
                <w:kern w:val="0"/>
                <w:sz w:val="21"/>
                <w:szCs w:val="21"/>
              </w:rPr>
              <w:t>进行录入并保存</w:t>
            </w:r>
            <w:r>
              <w:rPr>
                <w:rFonts w:hint="eastAsia" w:ascii="宋体" w:hAnsi="宋体" w:eastAsia="宋体" w:cs="宋体"/>
                <w:color w:val="auto"/>
                <w:kern w:val="0"/>
                <w:sz w:val="21"/>
                <w:szCs w:val="21"/>
                <w:lang w:eastAsia="zh-CN"/>
              </w:rPr>
              <w:t>。</w:t>
            </w:r>
          </w:p>
        </w:tc>
      </w:tr>
      <w:tr w14:paraId="504348C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4216D3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64AEA1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58B729F4">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color w:val="auto"/>
                <w:kern w:val="0"/>
                <w:sz w:val="21"/>
                <w:szCs w:val="21"/>
              </w:rPr>
              <w:t>波形处理软件模块：</w:t>
            </w:r>
            <w:r>
              <w:rPr>
                <w:rFonts w:hint="eastAsia" w:ascii="宋体" w:hAnsi="宋体" w:eastAsia="宋体" w:cs="宋体"/>
                <w:color w:val="auto"/>
                <w:kern w:val="0"/>
                <w:sz w:val="21"/>
                <w:szCs w:val="21"/>
                <w:lang w:val="en-US" w:eastAsia="zh-CN"/>
              </w:rPr>
              <w:t>可</w:t>
            </w:r>
            <w:r>
              <w:rPr>
                <w:rFonts w:hint="eastAsia" w:ascii="宋体" w:hAnsi="宋体" w:eastAsia="宋体" w:cs="宋体"/>
                <w:color w:val="auto"/>
                <w:kern w:val="0"/>
                <w:sz w:val="21"/>
                <w:szCs w:val="21"/>
              </w:rPr>
              <w:t>实时采集波形并储存于计算机中</w:t>
            </w:r>
            <w:r>
              <w:rPr>
                <w:rFonts w:hint="eastAsia" w:ascii="宋体" w:hAnsi="宋体" w:eastAsia="宋体" w:cs="宋体"/>
                <w:color w:val="auto"/>
                <w:kern w:val="0"/>
                <w:sz w:val="21"/>
                <w:szCs w:val="21"/>
                <w:lang w:eastAsia="zh-CN"/>
              </w:rPr>
              <w:t>。</w:t>
            </w:r>
          </w:p>
        </w:tc>
      </w:tr>
      <w:tr w14:paraId="6DFFD44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985552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8F719C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2D7B4EF2">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color w:val="auto"/>
                <w:kern w:val="0"/>
                <w:sz w:val="21"/>
                <w:szCs w:val="21"/>
                <w:lang w:val="en-US" w:eastAsia="zh-CN"/>
              </w:rPr>
              <w:t>具备</w:t>
            </w:r>
            <w:r>
              <w:rPr>
                <w:rFonts w:hint="eastAsia" w:ascii="宋体" w:hAnsi="宋体" w:eastAsia="宋体" w:cs="宋体"/>
                <w:color w:val="auto"/>
                <w:kern w:val="0"/>
                <w:sz w:val="21"/>
                <w:szCs w:val="21"/>
              </w:rPr>
              <w:t>文件管理模块：</w:t>
            </w:r>
            <w:r>
              <w:rPr>
                <w:rFonts w:hint="eastAsia" w:ascii="宋体" w:hAnsi="宋体" w:eastAsia="宋体" w:cs="宋体"/>
                <w:color w:val="auto"/>
                <w:kern w:val="0"/>
                <w:sz w:val="21"/>
                <w:szCs w:val="21"/>
                <w:lang w:val="en-US" w:eastAsia="zh-CN"/>
              </w:rPr>
              <w:t>可</w:t>
            </w:r>
            <w:r>
              <w:rPr>
                <w:rFonts w:hint="eastAsia" w:ascii="宋体" w:hAnsi="宋体" w:eastAsia="宋体" w:cs="宋体"/>
                <w:color w:val="auto"/>
                <w:kern w:val="0"/>
                <w:sz w:val="21"/>
                <w:szCs w:val="21"/>
              </w:rPr>
              <w:t>对波形处理、检查报告、结果的数据</w:t>
            </w:r>
            <w:r>
              <w:rPr>
                <w:rFonts w:hint="eastAsia" w:ascii="宋体" w:hAnsi="宋体" w:eastAsia="宋体" w:cs="宋体"/>
                <w:color w:val="auto"/>
                <w:kern w:val="0"/>
                <w:sz w:val="21"/>
                <w:szCs w:val="21"/>
                <w:lang w:val="en-US" w:eastAsia="zh-CN"/>
              </w:rPr>
              <w:t>进行</w:t>
            </w:r>
            <w:r>
              <w:rPr>
                <w:rFonts w:hint="eastAsia" w:ascii="宋体" w:hAnsi="宋体" w:eastAsia="宋体" w:cs="宋体"/>
                <w:color w:val="auto"/>
                <w:kern w:val="0"/>
                <w:sz w:val="21"/>
                <w:szCs w:val="21"/>
              </w:rPr>
              <w:t>检索管理</w:t>
            </w:r>
            <w:r>
              <w:rPr>
                <w:rFonts w:hint="eastAsia" w:ascii="宋体" w:hAnsi="宋体" w:eastAsia="宋体" w:cs="宋体"/>
                <w:color w:val="auto"/>
                <w:kern w:val="0"/>
                <w:sz w:val="21"/>
                <w:szCs w:val="21"/>
                <w:lang w:eastAsia="zh-CN"/>
              </w:rPr>
              <w:t>。</w:t>
            </w:r>
          </w:p>
        </w:tc>
      </w:tr>
      <w:tr w14:paraId="4646B71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1FD1E5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AE7465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7DB5AF6E">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color w:val="auto"/>
                <w:kern w:val="0"/>
                <w:sz w:val="21"/>
                <w:szCs w:val="21"/>
                <w:lang w:val="en-US" w:eastAsia="zh-CN"/>
              </w:rPr>
              <w:t>支持</w:t>
            </w:r>
            <w:r>
              <w:rPr>
                <w:rFonts w:hint="eastAsia" w:ascii="宋体" w:hAnsi="宋体" w:eastAsia="宋体" w:cs="宋体"/>
                <w:color w:val="auto"/>
                <w:kern w:val="0"/>
                <w:sz w:val="21"/>
                <w:szCs w:val="21"/>
              </w:rPr>
              <w:t>Word模板打印模块：建立患者信息、波形文件、数据文件、报告打印</w:t>
            </w:r>
            <w:r>
              <w:rPr>
                <w:rFonts w:hint="eastAsia" w:ascii="宋体" w:hAnsi="宋体" w:eastAsia="宋体" w:cs="宋体"/>
                <w:color w:val="auto"/>
                <w:kern w:val="0"/>
                <w:sz w:val="21"/>
                <w:szCs w:val="21"/>
                <w:lang w:val="en-US" w:eastAsia="zh-CN"/>
              </w:rPr>
              <w:t>等</w:t>
            </w:r>
            <w:r>
              <w:rPr>
                <w:rFonts w:hint="eastAsia" w:ascii="宋体" w:hAnsi="宋体" w:eastAsia="宋体" w:cs="宋体"/>
                <w:color w:val="auto"/>
                <w:kern w:val="0"/>
                <w:sz w:val="21"/>
                <w:szCs w:val="21"/>
              </w:rPr>
              <w:t>。</w:t>
            </w:r>
          </w:p>
        </w:tc>
      </w:tr>
      <w:tr w14:paraId="033DA10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48CE74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5D20F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0E8EE2F0">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color w:val="auto"/>
                <w:kern w:val="0"/>
                <w:sz w:val="21"/>
                <w:szCs w:val="21"/>
              </w:rPr>
              <w:t>主机软件内</w:t>
            </w:r>
            <w:r>
              <w:rPr>
                <w:rFonts w:hint="eastAsia" w:ascii="宋体" w:hAnsi="宋体" w:eastAsia="宋体" w:cs="宋体"/>
                <w:color w:val="auto"/>
                <w:kern w:val="0"/>
                <w:sz w:val="21"/>
                <w:szCs w:val="21"/>
                <w:lang w:val="en-US" w:eastAsia="zh-CN"/>
              </w:rPr>
              <w:t>应</w:t>
            </w:r>
            <w:r>
              <w:rPr>
                <w:rFonts w:hint="eastAsia" w:ascii="宋体" w:hAnsi="宋体" w:eastAsia="宋体" w:cs="宋体"/>
                <w:color w:val="auto"/>
                <w:kern w:val="0"/>
                <w:sz w:val="21"/>
                <w:szCs w:val="21"/>
              </w:rPr>
              <w:t>具备自动校准功能。</w:t>
            </w:r>
          </w:p>
        </w:tc>
      </w:tr>
      <w:tr w14:paraId="78E5DEA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D1871B">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222115D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6E4AF7F3">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color w:val="auto"/>
                <w:kern w:val="0"/>
                <w:sz w:val="21"/>
                <w:szCs w:val="21"/>
              </w:rPr>
              <w:t>测量结果</w:t>
            </w:r>
            <w:r>
              <w:rPr>
                <w:rFonts w:hint="eastAsia" w:ascii="宋体" w:hAnsi="宋体" w:eastAsia="宋体" w:cs="宋体"/>
                <w:color w:val="auto"/>
                <w:kern w:val="0"/>
                <w:sz w:val="21"/>
                <w:szCs w:val="21"/>
                <w:lang w:val="en-US" w:eastAsia="zh-CN"/>
              </w:rPr>
              <w:t>可</w:t>
            </w:r>
            <w:r>
              <w:rPr>
                <w:rFonts w:hint="eastAsia" w:ascii="宋体" w:hAnsi="宋体" w:eastAsia="宋体" w:cs="宋体"/>
                <w:color w:val="auto"/>
                <w:kern w:val="0"/>
                <w:sz w:val="21"/>
                <w:szCs w:val="21"/>
              </w:rPr>
              <w:t>显示传导速度百分比</w:t>
            </w:r>
            <w:r>
              <w:rPr>
                <w:rFonts w:hint="eastAsia" w:ascii="宋体" w:hAnsi="宋体" w:eastAsia="宋体" w:cs="宋体"/>
                <w:color w:val="auto"/>
                <w:kern w:val="0"/>
                <w:sz w:val="21"/>
                <w:szCs w:val="21"/>
                <w:lang w:eastAsia="zh-CN"/>
              </w:rPr>
              <w:t>。</w:t>
            </w:r>
          </w:p>
        </w:tc>
      </w:tr>
      <w:tr w14:paraId="66DA865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FAC9B0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57D6E0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vAlign w:val="center"/>
          </w:tcPr>
          <w:p w14:paraId="22F1CED3">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color w:val="auto"/>
                <w:kern w:val="0"/>
                <w:sz w:val="21"/>
                <w:szCs w:val="21"/>
              </w:rPr>
              <w:t>检测项目</w:t>
            </w:r>
            <w:r>
              <w:rPr>
                <w:rFonts w:hint="eastAsia" w:ascii="宋体" w:hAnsi="宋体" w:eastAsia="宋体" w:cs="宋体"/>
                <w:color w:val="auto"/>
                <w:kern w:val="0"/>
                <w:sz w:val="21"/>
                <w:szCs w:val="21"/>
                <w:lang w:val="en-US" w:eastAsia="zh-CN"/>
              </w:rPr>
              <w:t>应包</w:t>
            </w:r>
            <w:r>
              <w:rPr>
                <w:rFonts w:hint="eastAsia" w:ascii="宋体" w:hAnsi="宋体" w:eastAsia="宋体" w:cs="宋体"/>
                <w:color w:val="auto"/>
                <w:kern w:val="0"/>
                <w:sz w:val="21"/>
                <w:szCs w:val="21"/>
              </w:rPr>
              <w:t>含运动传导速度、感觉传导速度</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皮肤交感反应等</w:t>
            </w:r>
            <w:r>
              <w:rPr>
                <w:rFonts w:hint="eastAsia" w:ascii="宋体" w:hAnsi="宋体" w:eastAsia="宋体" w:cs="宋体"/>
                <w:color w:val="auto"/>
                <w:kern w:val="0"/>
                <w:sz w:val="21"/>
                <w:szCs w:val="21"/>
              </w:rPr>
              <w:t>。</w:t>
            </w:r>
          </w:p>
        </w:tc>
      </w:tr>
      <w:tr w14:paraId="0929CFA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8EF771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FD2E64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vAlign w:val="center"/>
          </w:tcPr>
          <w:p w14:paraId="19DAAB9C">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color w:val="auto"/>
                <w:kern w:val="0"/>
                <w:sz w:val="21"/>
                <w:szCs w:val="21"/>
                <w:lang w:val="en-US" w:eastAsia="zh-CN"/>
              </w:rPr>
              <w:t>可升级同品牌超声多普勒血流检测仪软件。</w:t>
            </w:r>
          </w:p>
        </w:tc>
      </w:tr>
      <w:tr w14:paraId="22F0A6E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265F91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DC79CC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vAlign w:val="center"/>
          </w:tcPr>
          <w:p w14:paraId="42E4FDE3">
            <w:pPr>
              <w:pStyle w:val="24"/>
              <w:keepNext w:val="0"/>
              <w:keepLines w:val="0"/>
              <w:pageBreakBefore w:val="0"/>
              <w:widowControl/>
              <w:numPr>
                <w:ilvl w:val="0"/>
                <w:numId w:val="0"/>
              </w:numPr>
              <w:tabs>
                <w:tab w:val="left" w:pos="1138"/>
              </w:tabs>
              <w:kinsoku/>
              <w:wordWrap/>
              <w:overflowPunct/>
              <w:topLinePunct w:val="0"/>
              <w:bidi w:val="0"/>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color w:val="auto"/>
                <w:sz w:val="21"/>
                <w:szCs w:val="21"/>
              </w:rPr>
              <w:t>网络安全接口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与计算机的通信接口</w:t>
            </w:r>
            <w:r>
              <w:rPr>
                <w:rFonts w:hint="eastAsia" w:ascii="宋体" w:hAnsi="宋体" w:eastAsia="宋体" w:cs="宋体"/>
                <w:color w:val="auto"/>
                <w:sz w:val="21"/>
                <w:szCs w:val="21"/>
                <w:lang w:val="en-US" w:eastAsia="zh-CN"/>
              </w:rPr>
              <w:t>可</w:t>
            </w:r>
            <w:r>
              <w:rPr>
                <w:rFonts w:hint="eastAsia" w:ascii="宋体" w:hAnsi="宋体" w:eastAsia="宋体" w:cs="宋体"/>
                <w:color w:val="auto"/>
                <w:sz w:val="21"/>
                <w:szCs w:val="21"/>
              </w:rPr>
              <w:t>采用usb通用串行总线协议</w:t>
            </w:r>
            <w:r>
              <w:rPr>
                <w:rFonts w:hint="eastAsia" w:ascii="宋体" w:hAnsi="宋体" w:eastAsia="宋体" w:cs="宋体"/>
                <w:color w:val="auto"/>
                <w:sz w:val="21"/>
                <w:szCs w:val="21"/>
                <w:lang w:eastAsia="zh-CN"/>
              </w:rPr>
              <w:t>。</w:t>
            </w:r>
          </w:p>
        </w:tc>
      </w:tr>
      <w:tr w14:paraId="6D4CEFD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1A0A90">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37EE719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vAlign w:val="center"/>
          </w:tcPr>
          <w:p w14:paraId="5D560001">
            <w:pPr>
              <w:pStyle w:val="24"/>
              <w:keepNext w:val="0"/>
              <w:keepLines w:val="0"/>
              <w:pageBreakBefore w:val="0"/>
              <w:widowControl/>
              <w:numPr>
                <w:ilvl w:val="0"/>
                <w:numId w:val="0"/>
              </w:numPr>
              <w:tabs>
                <w:tab w:val="left" w:pos="1138"/>
              </w:tabs>
              <w:kinsoku/>
              <w:wordWrap/>
              <w:overflowPunct/>
              <w:topLinePunct w:val="0"/>
              <w:bidi w:val="0"/>
              <w:spacing w:line="240" w:lineRule="auto"/>
              <w:ind w:left="0" w:leftChars="0" w:firstLine="0" w:firstLineChars="0"/>
              <w:jc w:val="left"/>
              <w:textAlignment w:val="auto"/>
              <w:rPr>
                <w:rFonts w:hint="eastAsia" w:ascii="宋体" w:hAnsi="宋体" w:eastAsia="宋体" w:cs="宋体"/>
                <w:kern w:val="0"/>
                <w:sz w:val="21"/>
                <w:szCs w:val="21"/>
                <w:lang w:bidi="lo-LA"/>
              </w:rPr>
            </w:pPr>
            <w:r>
              <w:rPr>
                <w:rFonts w:hint="eastAsia" w:ascii="宋体" w:hAnsi="宋体" w:eastAsia="宋体" w:cs="宋体"/>
                <w:bCs/>
                <w:sz w:val="21"/>
                <w:szCs w:val="21"/>
                <w:lang w:val="en-US" w:eastAsia="zh-CN"/>
              </w:rPr>
              <w:t>设备应</w:t>
            </w:r>
            <w:r>
              <w:rPr>
                <w:rFonts w:hint="eastAsia" w:ascii="宋体" w:hAnsi="宋体" w:eastAsia="宋体" w:cs="宋体"/>
                <w:bCs/>
                <w:sz w:val="21"/>
                <w:szCs w:val="21"/>
              </w:rPr>
              <w:t>仅用于无创检测</w:t>
            </w:r>
            <w:r>
              <w:rPr>
                <w:rFonts w:hint="eastAsia" w:ascii="宋体" w:hAnsi="宋体" w:eastAsia="宋体" w:cs="宋体"/>
                <w:spacing w:val="20"/>
                <w:sz w:val="21"/>
                <w:szCs w:val="21"/>
              </w:rPr>
              <w:t>。</w:t>
            </w:r>
          </w:p>
        </w:tc>
      </w:tr>
      <w:tr w14:paraId="63FEE09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345C51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6FDCA7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vAlign w:val="center"/>
          </w:tcPr>
          <w:p w14:paraId="3858B9E9">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color w:val="auto"/>
                <w:sz w:val="21"/>
                <w:szCs w:val="21"/>
                <w:lang w:val="en-US" w:eastAsia="zh-CN"/>
              </w:rPr>
              <w:t>可配置同品牌刺激电极，确保采集最佳检测波形和最准确数据。</w:t>
            </w:r>
          </w:p>
        </w:tc>
      </w:tr>
      <w:tr w14:paraId="053F511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0247F5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D7E339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vAlign w:val="center"/>
          </w:tcPr>
          <w:p w14:paraId="3BDD2D05">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color w:val="auto"/>
                <w:sz w:val="21"/>
                <w:szCs w:val="21"/>
                <w:lang w:val="en-US" w:eastAsia="zh-CN"/>
              </w:rPr>
              <w:t>可配置同品牌一次性电极片，确保获取最佳检测波形和最准确数据。</w:t>
            </w:r>
          </w:p>
        </w:tc>
      </w:tr>
      <w:tr w14:paraId="4F75497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DA1E32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8B8581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61" w:type="dxa"/>
            <w:tcBorders>
              <w:top w:val="single" w:color="auto" w:sz="4" w:space="0"/>
              <w:left w:val="nil"/>
              <w:bottom w:val="single" w:color="auto" w:sz="4" w:space="0"/>
              <w:right w:val="single" w:color="auto" w:sz="4" w:space="0"/>
            </w:tcBorders>
            <w:vAlign w:val="center"/>
          </w:tcPr>
          <w:p w14:paraId="6C9498C9">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color w:val="auto"/>
                <w:sz w:val="21"/>
                <w:szCs w:val="21"/>
              </w:rPr>
              <w:t>通用要求符合GB</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9706.1-20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中规定的要求</w:t>
            </w:r>
            <w:r>
              <w:rPr>
                <w:rFonts w:hint="eastAsia" w:ascii="宋体" w:hAnsi="宋体" w:eastAsia="宋体" w:cs="宋体"/>
                <w:color w:val="auto"/>
                <w:sz w:val="21"/>
                <w:szCs w:val="21"/>
                <w:lang w:eastAsia="zh-CN"/>
              </w:rPr>
              <w:t>。</w:t>
            </w:r>
          </w:p>
        </w:tc>
      </w:tr>
      <w:tr w14:paraId="06A4F35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7CADD6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7B803A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061" w:type="dxa"/>
            <w:tcBorders>
              <w:top w:val="single" w:color="auto" w:sz="4" w:space="0"/>
              <w:left w:val="nil"/>
              <w:bottom w:val="single" w:color="auto" w:sz="4" w:space="0"/>
              <w:right w:val="single" w:color="auto" w:sz="4" w:space="0"/>
            </w:tcBorders>
            <w:vAlign w:val="center"/>
          </w:tcPr>
          <w:p w14:paraId="4348FE27">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color w:val="auto"/>
                <w:sz w:val="21"/>
                <w:szCs w:val="21"/>
              </w:rPr>
              <w:t>专用要求符合YY</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9706.</w:t>
            </w:r>
            <w:r>
              <w:rPr>
                <w:rFonts w:hint="eastAsia" w:ascii="宋体" w:hAnsi="宋体" w:eastAsia="宋体" w:cs="宋体"/>
                <w:color w:val="auto"/>
                <w:sz w:val="21"/>
                <w:szCs w:val="21"/>
                <w:lang w:val="en-US" w:eastAsia="zh-CN"/>
              </w:rPr>
              <w:t>240</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中规定的要求。</w:t>
            </w:r>
          </w:p>
        </w:tc>
      </w:tr>
      <w:tr w14:paraId="10A5F86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670853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128EAB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061" w:type="dxa"/>
            <w:tcBorders>
              <w:top w:val="single" w:color="auto" w:sz="4" w:space="0"/>
              <w:left w:val="nil"/>
              <w:bottom w:val="single" w:color="auto" w:sz="4" w:space="0"/>
              <w:right w:val="single" w:color="auto" w:sz="4" w:space="0"/>
            </w:tcBorders>
            <w:vAlign w:val="center"/>
          </w:tcPr>
          <w:p w14:paraId="5E014666">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color w:val="auto"/>
                <w:sz w:val="21"/>
                <w:szCs w:val="21"/>
              </w:rPr>
              <w:t>电磁兼容性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符合YY</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9706.</w:t>
            </w:r>
            <w:r>
              <w:rPr>
                <w:rFonts w:hint="eastAsia" w:ascii="宋体" w:hAnsi="宋体" w:eastAsia="宋体" w:cs="宋体"/>
                <w:color w:val="auto"/>
                <w:sz w:val="21"/>
                <w:szCs w:val="21"/>
                <w:lang w:val="en-US" w:eastAsia="zh-CN"/>
              </w:rPr>
              <w:t>102</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和YY</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9706.</w:t>
            </w:r>
            <w:r>
              <w:rPr>
                <w:rFonts w:hint="eastAsia" w:ascii="宋体" w:hAnsi="宋体" w:eastAsia="宋体" w:cs="宋体"/>
                <w:color w:val="auto"/>
                <w:sz w:val="21"/>
                <w:szCs w:val="21"/>
                <w:lang w:val="en-US" w:eastAsia="zh-CN"/>
              </w:rPr>
              <w:t>240</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中规定的要求。</w:t>
            </w:r>
            <w:r>
              <w:rPr>
                <w:rFonts w:hint="eastAsia" w:ascii="宋体" w:hAnsi="宋体" w:eastAsia="宋体" w:cs="宋体"/>
                <w:color w:val="0000FF"/>
                <w:sz w:val="21"/>
                <w:szCs w:val="21"/>
              </w:rPr>
              <w:t xml:space="preserve"> </w:t>
            </w:r>
          </w:p>
        </w:tc>
      </w:tr>
      <w:tr w14:paraId="40E653B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3AF385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A3D0E0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28</w:t>
            </w:r>
          </w:p>
        </w:tc>
        <w:tc>
          <w:tcPr>
            <w:tcW w:w="7061" w:type="dxa"/>
            <w:tcBorders>
              <w:top w:val="single" w:color="auto" w:sz="4" w:space="0"/>
              <w:left w:val="nil"/>
              <w:bottom w:val="single" w:color="auto" w:sz="4" w:space="0"/>
              <w:right w:val="single" w:color="auto" w:sz="4" w:space="0"/>
            </w:tcBorders>
            <w:vAlign w:val="center"/>
          </w:tcPr>
          <w:p w14:paraId="5AB34A91">
            <w:pPr>
              <w:pStyle w:val="24"/>
              <w:widowControl/>
              <w:tabs>
                <w:tab w:val="left" w:pos="1138"/>
              </w:tabs>
              <w:spacing w:line="240" w:lineRule="auto"/>
              <w:ind w:left="0" w:leftChars="0" w:firstLine="0" w:firstLineChars="0"/>
              <w:jc w:val="left"/>
              <w:rPr>
                <w:rFonts w:hint="eastAsia" w:ascii="宋体" w:hAnsi="宋体" w:eastAsia="宋体" w:cs="宋体"/>
                <w:kern w:val="0"/>
                <w:sz w:val="21"/>
                <w:szCs w:val="21"/>
                <w:lang w:bidi="lo-LA"/>
              </w:rPr>
            </w:pPr>
            <w:r>
              <w:rPr>
                <w:rFonts w:hint="eastAsia" w:ascii="宋体" w:hAnsi="宋体" w:eastAsia="宋体" w:cs="宋体"/>
                <w:color w:val="000000"/>
                <w:sz w:val="21"/>
                <w:szCs w:val="21"/>
                <w:lang w:val="en-US" w:eastAsia="zh-CN"/>
              </w:rPr>
              <w:t>使用年限</w:t>
            </w: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val="en-US" w:eastAsia="zh-CN"/>
              </w:rPr>
              <w:t>10年。</w:t>
            </w:r>
          </w:p>
        </w:tc>
      </w:tr>
      <w:tr w14:paraId="5FBE0FE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48CE361">
            <w:pPr>
              <w:widowControl/>
              <w:spacing w:line="240" w:lineRule="auto"/>
              <w:jc w:val="center"/>
              <w:rPr>
                <w:rFonts w:hint="eastAsia" w:ascii="宋体" w:hAnsi="宋体" w:eastAsia="宋体" w:cs="宋体"/>
                <w:kern w:val="2"/>
                <w:sz w:val="21"/>
                <w:szCs w:val="21"/>
                <w:lang w:val="en-US" w:eastAsia="zh-CN"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A3465E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29</w:t>
            </w:r>
          </w:p>
        </w:tc>
        <w:tc>
          <w:tcPr>
            <w:tcW w:w="7061" w:type="dxa"/>
            <w:tcBorders>
              <w:top w:val="single" w:color="auto" w:sz="4" w:space="0"/>
              <w:left w:val="nil"/>
              <w:bottom w:val="single" w:color="auto" w:sz="4" w:space="0"/>
              <w:right w:val="single" w:color="auto" w:sz="4" w:space="0"/>
            </w:tcBorders>
            <w:shd w:val="clear" w:color="auto" w:fill="auto"/>
            <w:vAlign w:val="center"/>
          </w:tcPr>
          <w:p w14:paraId="4FB2ED0D">
            <w:pPr>
              <w:widowControl/>
              <w:spacing w:line="240"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959F66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D3219AE">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3D9F13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30</w:t>
            </w:r>
          </w:p>
        </w:tc>
        <w:tc>
          <w:tcPr>
            <w:tcW w:w="7061" w:type="dxa"/>
            <w:tcBorders>
              <w:top w:val="single" w:color="auto" w:sz="4" w:space="0"/>
              <w:left w:val="nil"/>
              <w:bottom w:val="single" w:color="auto" w:sz="4" w:space="0"/>
              <w:right w:val="single" w:color="auto" w:sz="4" w:space="0"/>
            </w:tcBorders>
            <w:shd w:val="clear" w:color="auto" w:fill="auto"/>
            <w:vAlign w:val="center"/>
          </w:tcPr>
          <w:p w14:paraId="1E1363BB">
            <w:pPr>
              <w:widowControl/>
              <w:spacing w:line="240" w:lineRule="auto"/>
              <w:jc w:val="left"/>
              <w:rPr>
                <w:rFonts w:hint="default"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中标人所供设备的设备日期应距合同签订日期3个月以内。</w:t>
            </w:r>
          </w:p>
        </w:tc>
      </w:tr>
      <w:tr w14:paraId="793C0D0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9FB3A22">
            <w:pPr>
              <w:widowControl/>
              <w:spacing w:line="240" w:lineRule="auto"/>
              <w:jc w:val="center"/>
              <w:rPr>
                <w:rFonts w:hint="eastAsia" w:ascii="宋体" w:hAnsi="宋体" w:eastAsia="宋体" w:cs="宋体"/>
                <w:kern w:val="2"/>
                <w:sz w:val="21"/>
                <w:szCs w:val="21"/>
                <w:lang w:val="en-US" w:eastAsia="zh-CN"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FB2E76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w:t>
            </w:r>
          </w:p>
        </w:tc>
        <w:tc>
          <w:tcPr>
            <w:tcW w:w="7061" w:type="dxa"/>
            <w:tcBorders>
              <w:top w:val="single" w:color="auto" w:sz="4" w:space="0"/>
              <w:left w:val="nil"/>
              <w:bottom w:val="single" w:color="auto" w:sz="4" w:space="0"/>
              <w:right w:val="single" w:color="auto" w:sz="4" w:space="0"/>
            </w:tcBorders>
            <w:shd w:val="clear" w:color="auto" w:fill="auto"/>
            <w:vAlign w:val="center"/>
          </w:tcPr>
          <w:p w14:paraId="16526F41">
            <w:pPr>
              <w:pStyle w:val="5"/>
              <w:spacing w:line="240" w:lineRule="auto"/>
              <w:rPr>
                <w:rFonts w:hint="eastAsia" w:ascii="宋体" w:hAnsi="宋体" w:eastAsia="宋体" w:cs="宋体"/>
                <w:bCs/>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1B51487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EFB19EF">
            <w:pPr>
              <w:widowControl/>
              <w:spacing w:line="240" w:lineRule="auto"/>
              <w:jc w:val="center"/>
              <w:rPr>
                <w:rFonts w:hint="eastAsia" w:ascii="宋体" w:hAnsi="宋体" w:eastAsia="宋体" w:cs="宋体"/>
                <w:kern w:val="2"/>
                <w:sz w:val="21"/>
                <w:szCs w:val="21"/>
                <w:lang w:val="en-US" w:eastAsia="zh-CN"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564ED7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w:t>
            </w:r>
          </w:p>
        </w:tc>
        <w:tc>
          <w:tcPr>
            <w:tcW w:w="7061" w:type="dxa"/>
            <w:tcBorders>
              <w:top w:val="single" w:color="auto" w:sz="4" w:space="0"/>
              <w:left w:val="nil"/>
              <w:bottom w:val="single" w:color="auto" w:sz="4" w:space="0"/>
              <w:right w:val="single" w:color="auto" w:sz="4" w:space="0"/>
            </w:tcBorders>
            <w:shd w:val="clear" w:color="auto" w:fill="auto"/>
            <w:vAlign w:val="center"/>
          </w:tcPr>
          <w:p w14:paraId="5EFDC8D2">
            <w:pPr>
              <w:tabs>
                <w:tab w:val="left" w:pos="1850"/>
              </w:tabs>
              <w:spacing w:line="240"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145DB0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61BF5E8">
            <w:pPr>
              <w:widowControl/>
              <w:spacing w:line="240" w:lineRule="auto"/>
              <w:jc w:val="center"/>
              <w:rPr>
                <w:rFonts w:hint="eastAsia" w:ascii="宋体" w:hAnsi="宋体" w:eastAsia="宋体" w:cs="宋体"/>
                <w:kern w:val="2"/>
                <w:sz w:val="21"/>
                <w:szCs w:val="21"/>
                <w:lang w:val="en-US" w:eastAsia="zh-CN"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633E11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33</w:t>
            </w:r>
          </w:p>
        </w:tc>
        <w:tc>
          <w:tcPr>
            <w:tcW w:w="7061" w:type="dxa"/>
            <w:tcBorders>
              <w:top w:val="single" w:color="auto" w:sz="4" w:space="0"/>
              <w:left w:val="nil"/>
              <w:bottom w:val="single" w:color="auto" w:sz="4" w:space="0"/>
              <w:right w:val="single" w:color="auto" w:sz="4" w:space="0"/>
            </w:tcBorders>
            <w:shd w:val="clear" w:color="auto" w:fill="auto"/>
            <w:vAlign w:val="center"/>
          </w:tcPr>
          <w:p w14:paraId="11C742FE">
            <w:pPr>
              <w:pStyle w:val="5"/>
              <w:spacing w:line="240" w:lineRule="auto"/>
              <w:rPr>
                <w:rFonts w:hint="eastAsia" w:ascii="宋体" w:hAnsi="宋体" w:eastAsia="宋体" w:cs="宋体"/>
                <w:bCs/>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75FCCAC">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7A69EB9D">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28D97CA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48FA36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3462EA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32376B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41D788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DD7D96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314A50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3CA2D3B"/>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7537</Words>
  <Characters>8566</Characters>
  <Lines>0</Lines>
  <Paragraphs>0</Paragraphs>
  <TotalTime>0</TotalTime>
  <ScaleCrop>false</ScaleCrop>
  <LinksUpToDate>false</LinksUpToDate>
  <CharactersWithSpaces>9113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2025-12-11T02:06:09Z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FE69F03D8D404ACD85D115CEA03229B3_13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