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0AC9AD42">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康巴什部核医学科SPECT油箱更换项目（二次）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2025年12月31日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0168147D">
      <w:pPr>
        <w:numPr>
          <w:ilvl w:val="0"/>
          <w:numId w:val="0"/>
        </w:numPr>
        <w:rPr>
          <w:rFonts w:hint="eastAsia" w:ascii="宋体" w:hAnsi="宋体" w:eastAsia="宋体" w:cs="宋体"/>
          <w:b/>
          <w:bCs/>
          <w:sz w:val="28"/>
          <w:szCs w:val="28"/>
          <w:lang w:val="en-US" w:eastAsia="zh-CN"/>
        </w:rPr>
      </w:pPr>
    </w:p>
    <w:p w14:paraId="15512FAF">
      <w:pPr>
        <w:numPr>
          <w:ilvl w:val="0"/>
          <w:numId w:val="0"/>
        </w:numPr>
        <w:rPr>
          <w:rFonts w:hint="eastAsia" w:ascii="宋体" w:hAnsi="宋体" w:eastAsia="宋体" w:cs="宋体"/>
          <w:b/>
          <w:bCs/>
          <w:sz w:val="28"/>
          <w:szCs w:val="28"/>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87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910"/>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39" w:type="dxa"/>
            <w:vAlign w:val="center"/>
          </w:tcPr>
          <w:p w14:paraId="5A0A37CE">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2865" w:type="dxa"/>
            <w:vAlign w:val="center"/>
          </w:tcPr>
          <w:p w14:paraId="3E37CC33">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名称</w:t>
            </w:r>
          </w:p>
        </w:tc>
        <w:tc>
          <w:tcPr>
            <w:tcW w:w="903" w:type="dxa"/>
            <w:vAlign w:val="center"/>
          </w:tcPr>
          <w:p w14:paraId="07310B12">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c>
          <w:tcPr>
            <w:tcW w:w="826" w:type="dxa"/>
            <w:vAlign w:val="center"/>
          </w:tcPr>
          <w:p w14:paraId="20208E75">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数量</w:t>
            </w:r>
          </w:p>
        </w:tc>
        <w:tc>
          <w:tcPr>
            <w:tcW w:w="1338" w:type="dxa"/>
            <w:vAlign w:val="center"/>
          </w:tcPr>
          <w:p w14:paraId="4C60CD53">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预算单价</w:t>
            </w:r>
          </w:p>
        </w:tc>
        <w:tc>
          <w:tcPr>
            <w:tcW w:w="1910" w:type="dxa"/>
            <w:vAlign w:val="center"/>
          </w:tcPr>
          <w:p w14:paraId="14356791">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jc w:val="left"/>
              <w:rPr>
                <w:rFonts w:hint="eastAsia" w:ascii="宋体" w:hAnsi="宋体" w:eastAsia="宋体" w:cs="宋体"/>
                <w:sz w:val="20"/>
                <w:szCs w:val="20"/>
              </w:rPr>
            </w:pPr>
            <w:r>
              <w:rPr>
                <w:rFonts w:hint="eastAsia" w:ascii="宋体" w:hAnsi="宋体" w:eastAsia="宋体" w:cs="宋体"/>
                <w:kern w:val="0"/>
                <w:sz w:val="24"/>
                <w:szCs w:val="24"/>
              </w:rPr>
              <w:t>1</w:t>
            </w:r>
          </w:p>
        </w:tc>
        <w:tc>
          <w:tcPr>
            <w:tcW w:w="2865" w:type="dxa"/>
            <w:vAlign w:val="center"/>
          </w:tcPr>
          <w:p w14:paraId="76F16622">
            <w:pPr>
              <w:widowControl/>
              <w:jc w:val="center"/>
              <w:textAlignment w:val="center"/>
              <w:rPr>
                <w:rFonts w:hint="default" w:ascii="宋体" w:hAnsi="宋体" w:eastAsia="宋体" w:cs="宋体"/>
                <w:sz w:val="15"/>
                <w:szCs w:val="15"/>
                <w:lang w:val="en-US" w:eastAsia="zh-CN"/>
              </w:rPr>
            </w:pPr>
            <w:r>
              <w:rPr>
                <w:rFonts w:hint="eastAsia" w:ascii="宋体" w:hAnsi="宋体" w:eastAsia="宋体" w:cs="宋体"/>
                <w:kern w:val="0"/>
                <w:sz w:val="22"/>
                <w:szCs w:val="22"/>
                <w:lang w:val="en-US" w:eastAsia="zh-CN"/>
              </w:rPr>
              <w:t>Discovery NM/CT 670油箱更换</w:t>
            </w:r>
          </w:p>
        </w:tc>
        <w:tc>
          <w:tcPr>
            <w:tcW w:w="903" w:type="dxa"/>
            <w:vAlign w:val="center"/>
          </w:tcPr>
          <w:p w14:paraId="569A970B">
            <w:pPr>
              <w:widowControl/>
              <w:jc w:val="center"/>
              <w:textAlignment w:val="center"/>
              <w:rPr>
                <w:rFonts w:hint="default" w:ascii="宋体" w:hAnsi="宋体" w:eastAsia="宋体" w:cs="宋体"/>
                <w:sz w:val="13"/>
                <w:szCs w:val="13"/>
                <w:lang w:val="en-US" w:eastAsia="zh-CN"/>
              </w:rPr>
            </w:pPr>
            <w:r>
              <w:rPr>
                <w:rFonts w:hint="eastAsia" w:ascii="宋体" w:hAnsi="宋体" w:eastAsia="宋体" w:cs="宋体"/>
                <w:kern w:val="0"/>
                <w:sz w:val="28"/>
                <w:szCs w:val="28"/>
                <w:lang w:val="en-US" w:eastAsia="zh-CN"/>
              </w:rPr>
              <w:t>台</w:t>
            </w:r>
          </w:p>
        </w:tc>
        <w:tc>
          <w:tcPr>
            <w:tcW w:w="826" w:type="dxa"/>
            <w:vAlign w:val="center"/>
          </w:tcPr>
          <w:p w14:paraId="535899AF">
            <w:pPr>
              <w:widowControl/>
              <w:jc w:val="center"/>
              <w:textAlignment w:val="center"/>
              <w:rPr>
                <w:rFonts w:hint="default" w:ascii="宋体" w:hAnsi="宋体" w:eastAsia="宋体" w:cs="宋体"/>
                <w:sz w:val="13"/>
                <w:szCs w:val="13"/>
                <w:lang w:val="en-US" w:eastAsia="zh-CN"/>
              </w:rPr>
            </w:pPr>
            <w:r>
              <w:rPr>
                <w:rFonts w:hint="eastAsia" w:ascii="宋体" w:hAnsi="宋体" w:eastAsia="宋体" w:cs="宋体"/>
                <w:kern w:val="0"/>
                <w:sz w:val="28"/>
                <w:szCs w:val="28"/>
                <w:lang w:val="en-US" w:eastAsia="zh-CN"/>
              </w:rPr>
              <w:t>1</w:t>
            </w:r>
          </w:p>
        </w:tc>
        <w:tc>
          <w:tcPr>
            <w:tcW w:w="1338" w:type="dxa"/>
            <w:vAlign w:val="center"/>
          </w:tcPr>
          <w:p w14:paraId="70A9229F">
            <w:pPr>
              <w:widowControl/>
              <w:jc w:val="center"/>
              <w:textAlignment w:val="center"/>
              <w:rPr>
                <w:rFonts w:hint="default" w:ascii="宋体" w:hAnsi="宋体" w:eastAsia="宋体" w:cs="宋体"/>
                <w:sz w:val="13"/>
                <w:szCs w:val="13"/>
                <w:lang w:val="en-US" w:eastAsia="zh-CN"/>
              </w:rPr>
            </w:pPr>
            <w:r>
              <w:rPr>
                <w:rFonts w:hint="eastAsia" w:ascii="宋体" w:hAnsi="宋体" w:eastAsia="宋体" w:cs="宋体"/>
                <w:kern w:val="0"/>
                <w:sz w:val="28"/>
                <w:szCs w:val="28"/>
                <w:lang w:val="en-US" w:eastAsia="zh-CN"/>
              </w:rPr>
              <w:t>155587</w:t>
            </w:r>
          </w:p>
        </w:tc>
        <w:tc>
          <w:tcPr>
            <w:tcW w:w="1910" w:type="dxa"/>
            <w:vAlign w:val="center"/>
          </w:tcPr>
          <w:p w14:paraId="1D45D755">
            <w:pPr>
              <w:widowControl/>
              <w:jc w:val="center"/>
              <w:textAlignment w:val="center"/>
              <w:rPr>
                <w:rFonts w:hint="default" w:ascii="宋体" w:hAnsi="宋体" w:eastAsia="宋体" w:cs="宋体"/>
                <w:sz w:val="13"/>
                <w:szCs w:val="13"/>
                <w:lang w:val="en-US"/>
              </w:rPr>
            </w:pPr>
            <w:r>
              <w:rPr>
                <w:rFonts w:hint="eastAsia" w:ascii="宋体" w:hAnsi="宋体" w:eastAsia="宋体" w:cs="宋体"/>
                <w:kern w:val="0"/>
                <w:sz w:val="28"/>
                <w:szCs w:val="28"/>
                <w:lang w:val="en-US" w:eastAsia="zh-CN"/>
              </w:rPr>
              <w:t>155587</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169BE4F5">
            <w:pPr>
              <w:jc w:val="left"/>
              <w:rPr>
                <w:rFonts w:hint="eastAsia" w:ascii="宋体" w:hAnsi="宋体" w:eastAsia="宋体" w:cs="宋体"/>
                <w:kern w:val="0"/>
                <w:sz w:val="24"/>
                <w:szCs w:val="24"/>
                <w:lang w:val="en-US" w:eastAsia="zh-CN"/>
              </w:rPr>
            </w:pPr>
          </w:p>
        </w:tc>
        <w:tc>
          <w:tcPr>
            <w:tcW w:w="5932" w:type="dxa"/>
            <w:gridSpan w:val="4"/>
            <w:vAlign w:val="center"/>
          </w:tcPr>
          <w:p w14:paraId="1341120E">
            <w:pPr>
              <w:ind w:firstLine="2160" w:firstLineChars="9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总价合计</w:t>
            </w:r>
          </w:p>
        </w:tc>
        <w:tc>
          <w:tcPr>
            <w:tcW w:w="1910" w:type="dxa"/>
            <w:vAlign w:val="center"/>
          </w:tcPr>
          <w:p w14:paraId="1CE8AE64">
            <w:pPr>
              <w:ind w:firstLine="280" w:firstLineChars="100"/>
              <w:jc w:val="left"/>
              <w:rPr>
                <w:rFonts w:hint="default" w:ascii="宋体" w:hAnsi="宋体" w:eastAsia="宋体" w:cs="宋体"/>
                <w:kern w:val="0"/>
                <w:sz w:val="24"/>
                <w:szCs w:val="24"/>
                <w:lang w:val="en-US" w:eastAsia="zh-CN"/>
              </w:rPr>
            </w:pPr>
            <w:r>
              <w:rPr>
                <w:rFonts w:hint="eastAsia" w:ascii="宋体" w:hAnsi="宋体" w:eastAsia="宋体" w:cs="宋体"/>
                <w:kern w:val="0"/>
                <w:sz w:val="28"/>
                <w:szCs w:val="28"/>
                <w:lang w:val="en-US" w:eastAsia="zh-CN"/>
              </w:rPr>
              <w:t>155587</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2865" w:type="dxa"/>
            <w:vAlign w:val="center"/>
          </w:tcPr>
          <w:p w14:paraId="22284404">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交付使用时间</w:t>
            </w:r>
          </w:p>
        </w:tc>
        <w:tc>
          <w:tcPr>
            <w:tcW w:w="4977" w:type="dxa"/>
            <w:gridSpan w:val="4"/>
            <w:vAlign w:val="center"/>
          </w:tcPr>
          <w:p w14:paraId="72174209">
            <w:pPr>
              <w:ind w:firstLine="240" w:firstLineChars="1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2026年1月</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2865" w:type="dxa"/>
            <w:vAlign w:val="center"/>
          </w:tcPr>
          <w:p w14:paraId="794A2943">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服务期期</w:t>
            </w:r>
          </w:p>
        </w:tc>
        <w:tc>
          <w:tcPr>
            <w:tcW w:w="4977" w:type="dxa"/>
            <w:gridSpan w:val="4"/>
            <w:vAlign w:val="center"/>
          </w:tcPr>
          <w:p w14:paraId="56B9AF71">
            <w:pPr>
              <w:ind w:firstLine="240" w:firstLineChars="1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6个月</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2865" w:type="dxa"/>
            <w:vAlign w:val="center"/>
          </w:tcPr>
          <w:p w14:paraId="01AB15DF">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4977" w:type="dxa"/>
            <w:gridSpan w:val="4"/>
            <w:vAlign w:val="center"/>
          </w:tcPr>
          <w:p w14:paraId="06580548">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维修完成院方验收合格后一次性付清</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4C4A9400">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2865" w:type="dxa"/>
            <w:vAlign w:val="center"/>
          </w:tcPr>
          <w:p w14:paraId="2FD57B8A">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交付地点</w:t>
            </w:r>
          </w:p>
        </w:tc>
        <w:tc>
          <w:tcPr>
            <w:tcW w:w="4977" w:type="dxa"/>
            <w:gridSpan w:val="4"/>
            <w:vAlign w:val="center"/>
          </w:tcPr>
          <w:p w14:paraId="4B29C0FC">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鄂尔多斯市中心医院（康巴什部）</w:t>
            </w:r>
          </w:p>
        </w:tc>
      </w:tr>
    </w:tbl>
    <w:p w14:paraId="6E4C0A80">
      <w:pPr>
        <w:rPr>
          <w:rFonts w:hint="eastAsia" w:hAnsi="宋体"/>
          <w:sz w:val="22"/>
          <w:szCs w:val="22"/>
          <w:lang w:val="en-US" w:eastAsia="zh-CN"/>
        </w:rPr>
      </w:pPr>
      <w:r>
        <w:rPr>
          <w:rFonts w:hint="eastAsia" w:hAnsi="宋体"/>
          <w:sz w:val="22"/>
          <w:szCs w:val="22"/>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项目概况</w:t>
      </w:r>
    </w:p>
    <w:p w14:paraId="4DD7D96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eastAsia="宋体" w:asciiTheme="minorEastAsia" w:hAnsiTheme="minorEastAsia"/>
          <w:b/>
          <w:sz w:val="28"/>
          <w:szCs w:val="28"/>
          <w:lang w:val="en-US" w:eastAsia="zh-CN"/>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eastAsia="zh-CN"/>
        </w:rPr>
        <w:t>康部核医学科</w:t>
      </w:r>
      <w:r>
        <w:rPr>
          <w:rFonts w:hint="eastAsia" w:ascii="宋体" w:hAnsi="宋体" w:eastAsia="宋体"/>
          <w:sz w:val="28"/>
          <w:szCs w:val="28"/>
          <w:u w:val="single"/>
          <w:lang w:val="en-US" w:eastAsia="zh-CN"/>
        </w:rPr>
        <w:t>SPECT旋转阳极故障，需更换油箱，预算为155587元。</w:t>
      </w:r>
      <w:r>
        <w:rPr>
          <w:rFonts w:hint="eastAsia" w:ascii="宋体" w:hAnsi="宋体" w:eastAsia="宋体"/>
          <w:sz w:val="28"/>
          <w:szCs w:val="28"/>
          <w:u w:val="single"/>
        </w:rPr>
        <w:t xml:space="preserve">               </w:t>
      </w:r>
      <w:r>
        <w:rPr>
          <w:rFonts w:hint="eastAsia" w:ascii="宋体" w:hAnsi="宋体" w:eastAsia="宋体"/>
          <w:sz w:val="32"/>
          <w:szCs w:val="32"/>
          <w:u w:val="single"/>
        </w:rPr>
        <w:t xml:space="preserve">    </w:t>
      </w:r>
    </w:p>
    <w:p w14:paraId="75CA7EFA">
      <w:pPr>
        <w:spacing w:line="360" w:lineRule="auto"/>
        <w:jc w:val="left"/>
        <w:rPr>
          <w:rFonts w:ascii="宋体" w:hAnsi="宋体" w:eastAsia="宋体"/>
          <w:sz w:val="24"/>
          <w:szCs w:val="24"/>
          <w:u w:val="single"/>
        </w:rPr>
      </w:pPr>
      <w:r>
        <w:rPr>
          <w:rFonts w:hint="eastAsia" w:ascii="宋体" w:hAnsi="宋体" w:eastAsia="宋体" w:cs="宋体"/>
          <w:sz w:val="24"/>
          <w:szCs w:val="24"/>
        </w:rPr>
        <w:t>（2）技术参数和要求（功能和质量）</w:t>
      </w:r>
    </w:p>
    <w:tbl>
      <w:tblPr>
        <w:tblStyle w:val="11"/>
        <w:tblW w:w="8783" w:type="dxa"/>
        <w:jc w:val="center"/>
        <w:tblLayout w:type="fixed"/>
        <w:tblCellMar>
          <w:top w:w="0" w:type="dxa"/>
          <w:left w:w="108" w:type="dxa"/>
          <w:bottom w:w="0" w:type="dxa"/>
          <w:right w:w="108" w:type="dxa"/>
        </w:tblCellMar>
      </w:tblPr>
      <w:tblGrid>
        <w:gridCol w:w="1555"/>
        <w:gridCol w:w="1134"/>
        <w:gridCol w:w="6094"/>
      </w:tblGrid>
      <w:tr w14:paraId="7E759BF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ascii="宋体" w:hAnsi="宋体" w:eastAsia="宋体" w:cs="宋体"/>
                <w:sz w:val="24"/>
                <w:szCs w:val="24"/>
              </w:rPr>
            </w:pPr>
            <w:r>
              <w:rPr>
                <w:rFonts w:hint="eastAsia" w:ascii="宋体" w:hAnsi="宋体" w:eastAsia="宋体" w:cs="宋体"/>
                <w:sz w:val="24"/>
                <w:szCs w:val="24"/>
              </w:rPr>
              <w:t>参数性质</w:t>
            </w:r>
          </w:p>
        </w:tc>
        <w:tc>
          <w:tcPr>
            <w:tcW w:w="1134" w:type="dxa"/>
            <w:tcBorders>
              <w:top w:val="single" w:color="auto" w:sz="4" w:space="0"/>
              <w:left w:val="nil"/>
              <w:bottom w:val="single" w:color="auto" w:sz="4" w:space="0"/>
              <w:right w:val="single" w:color="auto" w:sz="4" w:space="0"/>
            </w:tcBorders>
            <w:vAlign w:val="center"/>
          </w:tcPr>
          <w:p w14:paraId="247E3B3A">
            <w:pPr>
              <w:widowControl/>
              <w:jc w:val="center"/>
              <w:rPr>
                <w:rFonts w:ascii="宋体" w:hAnsi="宋体" w:eastAsia="宋体" w:cs="宋体"/>
                <w:sz w:val="24"/>
                <w:szCs w:val="24"/>
              </w:rPr>
            </w:pPr>
            <w:r>
              <w:rPr>
                <w:rFonts w:hint="eastAsia" w:ascii="宋体" w:hAnsi="宋体" w:eastAsia="宋体" w:cs="宋体"/>
                <w:sz w:val="24"/>
                <w:szCs w:val="24"/>
              </w:rPr>
              <w:t>编号</w:t>
            </w:r>
          </w:p>
        </w:tc>
        <w:tc>
          <w:tcPr>
            <w:tcW w:w="6094" w:type="dxa"/>
            <w:tcBorders>
              <w:top w:val="single" w:color="auto" w:sz="4" w:space="0"/>
              <w:left w:val="nil"/>
              <w:bottom w:val="single" w:color="auto" w:sz="4" w:space="0"/>
              <w:right w:val="single" w:color="auto" w:sz="4" w:space="0"/>
            </w:tcBorders>
            <w:vAlign w:val="center"/>
          </w:tcPr>
          <w:p w14:paraId="19B2E130">
            <w:pPr>
              <w:widowControl/>
              <w:jc w:val="center"/>
              <w:rPr>
                <w:rFonts w:ascii="宋体" w:hAnsi="宋体" w:eastAsia="宋体" w:cs="宋体"/>
                <w:sz w:val="24"/>
                <w:szCs w:val="24"/>
              </w:rPr>
            </w:pPr>
            <w:r>
              <w:rPr>
                <w:rFonts w:hint="eastAsia" w:ascii="宋体" w:hAnsi="宋体" w:eastAsia="宋体" w:cs="宋体"/>
                <w:sz w:val="24"/>
                <w:szCs w:val="24"/>
              </w:rPr>
              <w:t>技术参数和要求</w:t>
            </w:r>
          </w:p>
        </w:tc>
      </w:tr>
      <w:tr w14:paraId="3766A3F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传递方式</w:t>
            </w:r>
          </w:p>
        </w:tc>
        <w:tc>
          <w:tcPr>
            <w:tcW w:w="1134" w:type="dxa"/>
            <w:tcBorders>
              <w:top w:val="single" w:color="auto" w:sz="4" w:space="0"/>
              <w:left w:val="nil"/>
              <w:bottom w:val="single" w:color="auto" w:sz="4" w:space="0"/>
              <w:right w:val="single" w:color="auto" w:sz="4" w:space="0"/>
            </w:tcBorders>
            <w:vAlign w:val="center"/>
          </w:tcPr>
          <w:p w14:paraId="5095C250">
            <w:pPr>
              <w:widowControl/>
              <w:jc w:val="center"/>
              <w:rPr>
                <w:rFonts w:ascii="宋体" w:hAnsi="宋体" w:eastAsia="宋体" w:cs="宋体"/>
                <w:sz w:val="24"/>
                <w:szCs w:val="24"/>
              </w:rPr>
            </w:pPr>
            <w:r>
              <w:rPr>
                <w:rFonts w:hint="eastAsia" w:ascii="宋体" w:hAnsi="宋体" w:eastAsia="宋体" w:cs="宋体"/>
                <w:sz w:val="24"/>
                <w:szCs w:val="24"/>
              </w:rPr>
              <w:t>1</w:t>
            </w:r>
          </w:p>
        </w:tc>
        <w:tc>
          <w:tcPr>
            <w:tcW w:w="6094" w:type="dxa"/>
            <w:tcBorders>
              <w:top w:val="single" w:color="auto" w:sz="4" w:space="0"/>
              <w:left w:val="nil"/>
              <w:bottom w:val="single" w:color="auto" w:sz="4" w:space="0"/>
              <w:right w:val="single" w:color="auto" w:sz="4" w:space="0"/>
            </w:tcBorders>
            <w:vAlign w:val="center"/>
          </w:tcPr>
          <w:p w14:paraId="1C4C5507">
            <w:pPr>
              <w:widowControl/>
              <w:jc w:val="center"/>
              <w:rPr>
                <w:rFonts w:ascii="宋体" w:hAnsi="宋体" w:eastAsia="宋体" w:cs="宋体"/>
                <w:sz w:val="24"/>
                <w:szCs w:val="24"/>
              </w:rPr>
            </w:pPr>
            <w:r>
              <w:rPr>
                <w:rFonts w:hint="eastAsia" w:ascii="宋体" w:hAnsi="宋体" w:eastAsia="宋体" w:cs="宋体"/>
                <w:sz w:val="24"/>
                <w:szCs w:val="24"/>
              </w:rPr>
              <w:t>满足三相连接传递给变压器</w:t>
            </w:r>
          </w:p>
        </w:tc>
      </w:tr>
      <w:tr w14:paraId="4387962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AC2971">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连接主体</w:t>
            </w:r>
          </w:p>
        </w:tc>
        <w:tc>
          <w:tcPr>
            <w:tcW w:w="1134" w:type="dxa"/>
            <w:tcBorders>
              <w:top w:val="single" w:color="auto" w:sz="4" w:space="0"/>
              <w:left w:val="nil"/>
              <w:bottom w:val="single" w:color="auto" w:sz="4" w:space="0"/>
              <w:right w:val="single" w:color="auto" w:sz="4" w:space="0"/>
            </w:tcBorders>
            <w:vAlign w:val="center"/>
          </w:tcPr>
          <w:p w14:paraId="22BECC8A">
            <w:pPr>
              <w:widowControl/>
              <w:jc w:val="center"/>
              <w:rPr>
                <w:rFonts w:ascii="宋体" w:hAnsi="宋体" w:eastAsia="宋体" w:cs="宋体"/>
                <w:sz w:val="24"/>
                <w:szCs w:val="24"/>
              </w:rPr>
            </w:pPr>
            <w:r>
              <w:rPr>
                <w:rFonts w:hint="eastAsia" w:ascii="宋体" w:hAnsi="宋体" w:eastAsia="宋体" w:cs="宋体"/>
                <w:sz w:val="24"/>
                <w:szCs w:val="24"/>
              </w:rPr>
              <w:t>2</w:t>
            </w:r>
          </w:p>
        </w:tc>
        <w:tc>
          <w:tcPr>
            <w:tcW w:w="6094" w:type="dxa"/>
            <w:tcBorders>
              <w:top w:val="single" w:color="auto" w:sz="4" w:space="0"/>
              <w:left w:val="nil"/>
              <w:bottom w:val="single" w:color="auto" w:sz="4" w:space="0"/>
              <w:right w:val="single" w:color="auto" w:sz="4" w:space="0"/>
            </w:tcBorders>
            <w:vAlign w:val="center"/>
          </w:tcPr>
          <w:p w14:paraId="0CB9809C">
            <w:pPr>
              <w:jc w:val="center"/>
              <w:rPr>
                <w:rFonts w:ascii="宋体" w:hAnsi="宋体" w:eastAsia="宋体" w:cs="宋体"/>
                <w:sz w:val="24"/>
                <w:szCs w:val="24"/>
              </w:rPr>
            </w:pPr>
            <w:r>
              <w:rPr>
                <w:rFonts w:hint="eastAsia" w:ascii="宋体" w:hAnsi="宋体" w:eastAsia="宋体" w:cs="宋体"/>
                <w:sz w:val="24"/>
                <w:szCs w:val="24"/>
              </w:rPr>
              <w:t>满足高压连接到单个定子相</w:t>
            </w:r>
          </w:p>
        </w:tc>
      </w:tr>
      <w:tr w14:paraId="013FD3B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70DEE2">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电压要求</w:t>
            </w:r>
          </w:p>
        </w:tc>
        <w:tc>
          <w:tcPr>
            <w:tcW w:w="1134" w:type="dxa"/>
            <w:tcBorders>
              <w:top w:val="single" w:color="auto" w:sz="4" w:space="0"/>
              <w:left w:val="nil"/>
              <w:bottom w:val="single" w:color="auto" w:sz="4" w:space="0"/>
              <w:right w:val="single" w:color="auto" w:sz="4" w:space="0"/>
            </w:tcBorders>
            <w:vAlign w:val="center"/>
          </w:tcPr>
          <w:p w14:paraId="402381C2">
            <w:pPr>
              <w:widowControl/>
              <w:jc w:val="center"/>
              <w:rPr>
                <w:rFonts w:ascii="宋体" w:hAnsi="宋体" w:eastAsia="宋体" w:cs="宋体"/>
                <w:sz w:val="24"/>
                <w:szCs w:val="24"/>
              </w:rPr>
            </w:pPr>
            <w:r>
              <w:rPr>
                <w:rFonts w:hint="eastAsia" w:ascii="宋体" w:hAnsi="宋体" w:eastAsia="宋体" w:cs="宋体"/>
                <w:sz w:val="24"/>
                <w:szCs w:val="24"/>
              </w:rPr>
              <w:t>3</w:t>
            </w:r>
          </w:p>
        </w:tc>
        <w:tc>
          <w:tcPr>
            <w:tcW w:w="6094" w:type="dxa"/>
            <w:tcBorders>
              <w:top w:val="single" w:color="auto" w:sz="4" w:space="0"/>
              <w:left w:val="nil"/>
              <w:bottom w:val="single" w:color="auto" w:sz="4" w:space="0"/>
              <w:right w:val="single" w:color="auto" w:sz="4" w:space="0"/>
            </w:tcBorders>
            <w:vAlign w:val="center"/>
          </w:tcPr>
          <w:p w14:paraId="2D35BA7B">
            <w:pPr>
              <w:jc w:val="center"/>
              <w:rPr>
                <w:rFonts w:ascii="宋体" w:hAnsi="宋体" w:eastAsia="宋体" w:cs="宋体"/>
                <w:sz w:val="24"/>
                <w:szCs w:val="24"/>
              </w:rPr>
            </w:pPr>
            <w:r>
              <w:rPr>
                <w:rFonts w:hint="eastAsia" w:ascii="宋体" w:hAnsi="宋体" w:eastAsia="宋体" w:cs="宋体"/>
                <w:sz w:val="24"/>
                <w:szCs w:val="24"/>
              </w:rPr>
              <w:t xml:space="preserve">满足初级绕组和次级绕组之间提供75 kV绝缘 </w:t>
            </w:r>
          </w:p>
        </w:tc>
      </w:tr>
      <w:tr w14:paraId="1480205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59B5394">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配件型号</w:t>
            </w:r>
          </w:p>
        </w:tc>
        <w:tc>
          <w:tcPr>
            <w:tcW w:w="1134" w:type="dxa"/>
            <w:tcBorders>
              <w:top w:val="single" w:color="auto" w:sz="4" w:space="0"/>
              <w:left w:val="nil"/>
              <w:bottom w:val="single" w:color="auto" w:sz="4" w:space="0"/>
              <w:right w:val="single" w:color="auto" w:sz="4" w:space="0"/>
            </w:tcBorders>
            <w:vAlign w:val="center"/>
          </w:tcPr>
          <w:p w14:paraId="0792A7D9">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6094" w:type="dxa"/>
            <w:tcBorders>
              <w:top w:val="single" w:color="auto" w:sz="4" w:space="0"/>
              <w:left w:val="nil"/>
              <w:bottom w:val="single" w:color="auto" w:sz="4" w:space="0"/>
              <w:right w:val="single" w:color="auto" w:sz="4" w:space="0"/>
            </w:tcBorders>
            <w:vAlign w:val="center"/>
          </w:tcPr>
          <w:p w14:paraId="7AB067B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HEMIT 2.0 Tank-FRU</w:t>
            </w:r>
          </w:p>
        </w:tc>
      </w:tr>
    </w:tbl>
    <w:p w14:paraId="62F1478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9BAF1D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55D58AC">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bookmarkStart w:id="1" w:name="_GoBack"/>
      <w:bookmarkEnd w:id="1"/>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0FE0033A"/>
    <w:rsid w:val="10D60D02"/>
    <w:rsid w:val="114A4798"/>
    <w:rsid w:val="11AB1717"/>
    <w:rsid w:val="11EF4694"/>
    <w:rsid w:val="13CA2D3B"/>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5EC1E85"/>
    <w:rsid w:val="56866800"/>
    <w:rsid w:val="571E5CB6"/>
    <w:rsid w:val="576C6B11"/>
    <w:rsid w:val="57863DB7"/>
    <w:rsid w:val="58156ACB"/>
    <w:rsid w:val="58677144"/>
    <w:rsid w:val="59137211"/>
    <w:rsid w:val="5A17370E"/>
    <w:rsid w:val="5A7C4904"/>
    <w:rsid w:val="5C344BB6"/>
    <w:rsid w:val="5DBA5A8E"/>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6086</Words>
  <Characters>6968</Characters>
  <Lines>0</Lines>
  <Paragraphs>0</Paragraphs>
  <TotalTime>10</TotalTime>
  <ScaleCrop>false</ScaleCrop>
  <LinksUpToDate>false</LinksUpToDate>
  <CharactersWithSpaces>7535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朵妙</cp:lastModifiedBy>
  <dcterms:modified xsi:type="dcterms:W3CDTF">2025-12-31T02:46:35Z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9DFC8FDB68C04366B1B3FB45C2B9F295_13</vt:lpwstr>
  </property>
  <property fmtid="{D5CDD505-2E9C-101B-9397-08002B2CF9AE}" pid="4" name="commondata">
    <vt:lpwstr>eyJoZGlkIjoiM2I5YmQyM2VlMzIyNzg3MTM0MjMzMjczYWU0N2U3MTcifQ==</vt:lpwstr>
  </property>
  <property fmtid="{D5CDD505-2E9C-101B-9397-08002B2CF9AE}" pid="5" name="KSOTemplateDocerSaveRecord">
    <vt:lpwstr>eyJoZGlkIjoiOGUwZTkxNzBjMTU4ZmMyZjI2Y2Y1NWU2MTQ1OGIwMzUiLCJ1c2VySWQiOiI3MDM3OTc0MTQifQ==</vt:lpwstr>
  </property>
</Properties>
</file>