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9F15173">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生化免疫流水线项目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2026年4月7日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01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8"/>
        <w:gridCol w:w="3296"/>
        <w:gridCol w:w="903"/>
        <w:gridCol w:w="1018"/>
        <w:gridCol w:w="1746"/>
        <w:gridCol w:w="197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258" w:type="dxa"/>
            <w:vAlign w:val="center"/>
          </w:tcPr>
          <w:p w14:paraId="5A0A37C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296"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18"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746" w:type="dxa"/>
            <w:vAlign w:val="center"/>
          </w:tcPr>
          <w:p w14:paraId="4C60CD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970" w:type="dxa"/>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258" w:type="dxa"/>
            <w:vAlign w:val="center"/>
          </w:tcPr>
          <w:p w14:paraId="6CB3372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3296" w:type="dxa"/>
            <w:vAlign w:val="center"/>
          </w:tcPr>
          <w:p w14:paraId="76F16622">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生化免疫流水线项目</w:t>
            </w:r>
          </w:p>
        </w:tc>
        <w:tc>
          <w:tcPr>
            <w:tcW w:w="903" w:type="dxa"/>
            <w:vAlign w:val="center"/>
          </w:tcPr>
          <w:p w14:paraId="569A970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1018" w:type="dxa"/>
            <w:vAlign w:val="center"/>
          </w:tcPr>
          <w:p w14:paraId="535899A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746" w:type="dxa"/>
            <w:vAlign w:val="center"/>
          </w:tcPr>
          <w:p w14:paraId="70A9229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700000</w:t>
            </w:r>
          </w:p>
        </w:tc>
        <w:tc>
          <w:tcPr>
            <w:tcW w:w="1970" w:type="dxa"/>
            <w:vAlign w:val="center"/>
          </w:tcPr>
          <w:p w14:paraId="1D45D75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700000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258" w:type="dxa"/>
            <w:vAlign w:val="center"/>
          </w:tcPr>
          <w:p w14:paraId="169BE4F5">
            <w:pPr>
              <w:widowControl/>
              <w:jc w:val="center"/>
              <w:textAlignment w:val="center"/>
              <w:rPr>
                <w:rFonts w:hint="eastAsia" w:ascii="宋体" w:hAnsi="宋体" w:eastAsia="宋体" w:cs="宋体"/>
                <w:kern w:val="0"/>
                <w:sz w:val="28"/>
                <w:szCs w:val="28"/>
                <w:lang w:val="en-US" w:eastAsia="zh-CN"/>
              </w:rPr>
            </w:pPr>
          </w:p>
        </w:tc>
        <w:tc>
          <w:tcPr>
            <w:tcW w:w="6963" w:type="dxa"/>
            <w:gridSpan w:val="4"/>
            <w:vAlign w:val="center"/>
          </w:tcPr>
          <w:p w14:paraId="1341120E">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970" w:type="dxa"/>
            <w:vAlign w:val="center"/>
          </w:tcPr>
          <w:p w14:paraId="1CE8AE64">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700000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258" w:type="dxa"/>
            <w:vAlign w:val="center"/>
          </w:tcPr>
          <w:p w14:paraId="65EAF23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296"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37" w:type="dxa"/>
            <w:gridSpan w:val="4"/>
            <w:vAlign w:val="center"/>
          </w:tcPr>
          <w:p w14:paraId="72174209">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258" w:type="dxa"/>
            <w:vAlign w:val="center"/>
          </w:tcPr>
          <w:p w14:paraId="3260D9B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296"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637" w:type="dxa"/>
            <w:gridSpan w:val="4"/>
            <w:vAlign w:val="center"/>
          </w:tcPr>
          <w:p w14:paraId="56B9AF71">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258" w:type="dxa"/>
            <w:vAlign w:val="center"/>
          </w:tcPr>
          <w:p w14:paraId="4F6EE91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296"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37" w:type="dxa"/>
            <w:gridSpan w:val="4"/>
            <w:vAlign w:val="center"/>
          </w:tcPr>
          <w:p w14:paraId="06580548">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58" w:type="dxa"/>
            <w:vAlign w:val="center"/>
          </w:tcPr>
          <w:p w14:paraId="4C4A940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296" w:type="dxa"/>
            <w:vAlign w:val="center"/>
          </w:tcPr>
          <w:p w14:paraId="2FD57B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37" w:type="dxa"/>
            <w:gridSpan w:val="4"/>
            <w:vAlign w:val="center"/>
          </w:tcPr>
          <w:p w14:paraId="4B29C0F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本项目包含1套生化免疫流水线，包括流水线轨道、生化模块和凝血模块，用于我院检验科常规生化、凝血检验。</w:t>
      </w:r>
    </w:p>
    <w:p w14:paraId="75CA7EFA">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p w14:paraId="7F276B5E">
      <w:pPr>
        <w:spacing w:line="360" w:lineRule="auto"/>
        <w:jc w:val="left"/>
        <w:rPr>
          <w:rFonts w:hint="eastAsia" w:ascii="宋体" w:hAnsi="宋体" w:eastAsia="宋体" w:cs="宋体"/>
          <w:kern w:val="0"/>
          <w:sz w:val="28"/>
          <w:szCs w:val="28"/>
          <w:u w:val="none"/>
          <w:lang w:val="en-US" w:eastAsia="zh-CN"/>
        </w:rPr>
      </w:pPr>
      <w:r>
        <w:rPr>
          <w:rFonts w:hint="eastAsia" w:ascii="宋体" w:hAnsi="宋体" w:eastAsia="宋体" w:cs="宋体"/>
          <w:sz w:val="28"/>
          <w:szCs w:val="28"/>
          <w:lang w:val="en-US" w:eastAsia="zh-CN"/>
        </w:rPr>
        <w:t>附表1 设备名称：</w:t>
      </w:r>
      <w:r>
        <w:rPr>
          <w:rFonts w:hint="eastAsia" w:ascii="宋体" w:hAnsi="宋体" w:eastAsia="宋体" w:cs="宋体"/>
          <w:sz w:val="28"/>
          <w:szCs w:val="28"/>
          <w:u w:val="single"/>
          <w:lang w:val="en-US" w:eastAsia="zh-CN"/>
        </w:rPr>
        <w:t xml:space="preserve"> 生化免疫流水线</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9330" w:type="dxa"/>
        <w:tblInd w:w="-486" w:type="dxa"/>
        <w:tblLayout w:type="fixed"/>
        <w:tblCellMar>
          <w:top w:w="0" w:type="dxa"/>
          <w:left w:w="108" w:type="dxa"/>
          <w:bottom w:w="0" w:type="dxa"/>
          <w:right w:w="108" w:type="dxa"/>
        </w:tblCellMar>
      </w:tblPr>
      <w:tblGrid>
        <w:gridCol w:w="1178"/>
        <w:gridCol w:w="750"/>
        <w:gridCol w:w="7402"/>
      </w:tblGrid>
      <w:tr w14:paraId="4E146CB9">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5DF8FC8C">
            <w:pPr>
              <w:widowControl/>
              <w:spacing w:line="240" w:lineRule="auto"/>
              <w:jc w:val="center"/>
              <w:rPr>
                <w:rFonts w:hint="eastAsia" w:ascii="宋体" w:hAnsi="宋体" w:eastAsia="宋体" w:cs="宋体"/>
                <w:b/>
                <w:sz w:val="21"/>
                <w:szCs w:val="21"/>
                <w:lang w:bidi="lo-LA"/>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noWrap w:val="0"/>
            <w:vAlign w:val="center"/>
          </w:tcPr>
          <w:p w14:paraId="6E899C6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sz w:val="21"/>
                <w:szCs w:val="21"/>
              </w:rPr>
              <w:t>编号</w:t>
            </w:r>
          </w:p>
        </w:tc>
        <w:tc>
          <w:tcPr>
            <w:tcW w:w="7402" w:type="dxa"/>
            <w:tcBorders>
              <w:top w:val="single" w:color="auto" w:sz="4" w:space="0"/>
              <w:left w:val="nil"/>
              <w:bottom w:val="single" w:color="auto" w:sz="4" w:space="0"/>
              <w:right w:val="single" w:color="auto" w:sz="4" w:space="0"/>
            </w:tcBorders>
            <w:noWrap w:val="0"/>
            <w:vAlign w:val="center"/>
          </w:tcPr>
          <w:p w14:paraId="7810C6AF">
            <w:pPr>
              <w:widowControl/>
              <w:spacing w:line="240" w:lineRule="auto"/>
              <w:jc w:val="center"/>
              <w:rPr>
                <w:rFonts w:hint="eastAsia" w:ascii="宋体" w:hAnsi="宋体" w:eastAsia="宋体" w:cs="宋体"/>
                <w:b/>
                <w:sz w:val="21"/>
                <w:szCs w:val="21"/>
              </w:rPr>
            </w:pPr>
            <w:r>
              <w:rPr>
                <w:rFonts w:hint="eastAsia" w:ascii="宋体" w:hAnsi="宋体" w:eastAsia="宋体" w:cs="宋体"/>
                <w:sz w:val="21"/>
                <w:szCs w:val="21"/>
              </w:rPr>
              <w:t>技术参数和性能指标</w:t>
            </w:r>
          </w:p>
        </w:tc>
      </w:tr>
      <w:tr w14:paraId="276D5FD2">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2CCF0195">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0909B9F8">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1</w:t>
            </w:r>
          </w:p>
        </w:tc>
        <w:tc>
          <w:tcPr>
            <w:tcW w:w="7402" w:type="dxa"/>
            <w:tcBorders>
              <w:top w:val="single" w:color="auto" w:sz="4" w:space="0"/>
              <w:left w:val="nil"/>
              <w:bottom w:val="single" w:color="auto" w:sz="4" w:space="0"/>
              <w:right w:val="single" w:color="auto" w:sz="4" w:space="0"/>
            </w:tcBorders>
            <w:noWrap w:val="0"/>
            <w:vAlign w:val="center"/>
          </w:tcPr>
          <w:p w14:paraId="55D918CC">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lo-LA"/>
              </w:rPr>
              <w:t>整体设备可实现：以空气压力为动力，实现血液标本实时、自动、快速地从标本采集点、分拣点等位置传输至指定标本接收点或检验流水线，点对点全流程密闭管道传输，保证标本质量安全。</w:t>
            </w:r>
          </w:p>
        </w:tc>
      </w:tr>
      <w:tr w14:paraId="42135B55">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3B82285F">
            <w:pPr>
              <w:widowControl/>
              <w:spacing w:line="240" w:lineRule="auto"/>
              <w:jc w:val="center"/>
              <w:rPr>
                <w:rFonts w:hint="eastAsia" w:ascii="宋体" w:hAnsi="宋体" w:eastAsia="宋体" w:cs="宋体"/>
                <w:b/>
                <w:sz w:val="21"/>
                <w:szCs w:val="21"/>
                <w:lang w:bidi="lo-LA"/>
              </w:rPr>
            </w:pPr>
            <w:r>
              <w:rPr>
                <w:rFonts w:hint="eastAsia" w:ascii="仿宋" w:hAnsi="仿宋" w:eastAsia="仿宋" w:cs="仿宋"/>
                <w:kern w:val="2"/>
                <w:sz w:val="21"/>
                <w:szCs w:val="21"/>
                <w:lang w:val="en-US" w:eastAsia="zh-CN" w:bidi="ar-SA"/>
              </w:rPr>
              <w:t>★</w:t>
            </w:r>
          </w:p>
        </w:tc>
        <w:tc>
          <w:tcPr>
            <w:tcW w:w="750" w:type="dxa"/>
            <w:tcBorders>
              <w:top w:val="single" w:color="auto" w:sz="4" w:space="0"/>
              <w:left w:val="nil"/>
              <w:bottom w:val="single" w:color="auto" w:sz="4" w:space="0"/>
              <w:right w:val="single" w:color="auto" w:sz="4" w:space="0"/>
            </w:tcBorders>
            <w:noWrap w:val="0"/>
            <w:vAlign w:val="center"/>
          </w:tcPr>
          <w:p w14:paraId="6353170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402" w:type="dxa"/>
            <w:tcBorders>
              <w:top w:val="single" w:color="auto" w:sz="4" w:space="0"/>
              <w:left w:val="nil"/>
              <w:bottom w:val="single" w:color="auto" w:sz="4" w:space="0"/>
              <w:right w:val="single" w:color="auto" w:sz="4" w:space="0"/>
            </w:tcBorders>
            <w:noWrap w:val="0"/>
            <w:vAlign w:val="center"/>
          </w:tcPr>
          <w:p w14:paraId="77320825">
            <w:pPr>
              <w:widowControl/>
              <w:spacing w:line="240" w:lineRule="auto"/>
              <w:jc w:val="both"/>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具备多管道传输功能，单个发送端同时可接驳≥4条标本传输管道，可实现单个发送端向多个不同目的地同时发送标本。</w:t>
            </w:r>
          </w:p>
        </w:tc>
      </w:tr>
      <w:tr w14:paraId="2A7E8034">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573077BF">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FFEB34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402" w:type="dxa"/>
            <w:tcBorders>
              <w:top w:val="single" w:color="auto" w:sz="4" w:space="0"/>
              <w:left w:val="nil"/>
              <w:bottom w:val="single" w:color="auto" w:sz="4" w:space="0"/>
              <w:right w:val="single" w:color="auto" w:sz="4" w:space="0"/>
            </w:tcBorders>
            <w:noWrap w:val="0"/>
            <w:vAlign w:val="center"/>
          </w:tcPr>
          <w:p w14:paraId="26D47E78">
            <w:pPr>
              <w:widowControl/>
              <w:spacing w:line="240" w:lineRule="auto"/>
              <w:jc w:val="both"/>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传送效率：≥1000支/小时，支持24小时不间断运行。</w:t>
            </w:r>
          </w:p>
        </w:tc>
      </w:tr>
      <w:tr w14:paraId="3A2D7659">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4C26844C">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82B033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402" w:type="dxa"/>
            <w:tcBorders>
              <w:top w:val="single" w:color="auto" w:sz="4" w:space="0"/>
              <w:left w:val="nil"/>
              <w:bottom w:val="single" w:color="auto" w:sz="4" w:space="0"/>
              <w:right w:val="single" w:color="auto" w:sz="4" w:space="0"/>
            </w:tcBorders>
            <w:noWrap w:val="0"/>
            <w:vAlign w:val="center"/>
          </w:tcPr>
          <w:p w14:paraId="1EBB67CA">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具备气动传输模块的标本信息扫描功能，发送端配备条码扫描器，可实时自动扫描标本信息，满足标本记录、追溯、查询的需要。</w:t>
            </w:r>
          </w:p>
        </w:tc>
      </w:tr>
      <w:tr w14:paraId="4E6731DF">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23711743">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648CB9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402" w:type="dxa"/>
            <w:tcBorders>
              <w:top w:val="single" w:color="auto" w:sz="4" w:space="0"/>
              <w:left w:val="nil"/>
              <w:bottom w:val="single" w:color="auto" w:sz="4" w:space="0"/>
              <w:right w:val="single" w:color="auto" w:sz="4" w:space="0"/>
            </w:tcBorders>
            <w:noWrap w:val="0"/>
            <w:vAlign w:val="center"/>
          </w:tcPr>
          <w:p w14:paraId="2AB7905C">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气动传输发送端内包含标本智能分拣模块，可自动识别标本，将无需发送的标本自动排出，实现标本预分拣功能。</w:t>
            </w:r>
          </w:p>
        </w:tc>
      </w:tr>
      <w:tr w14:paraId="1C8D72EC">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5A143E0C">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E32A93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402" w:type="dxa"/>
            <w:tcBorders>
              <w:top w:val="single" w:color="auto" w:sz="4" w:space="0"/>
              <w:left w:val="nil"/>
              <w:bottom w:val="single" w:color="auto" w:sz="4" w:space="0"/>
              <w:right w:val="single" w:color="auto" w:sz="4" w:space="0"/>
            </w:tcBorders>
            <w:noWrap w:val="0"/>
            <w:vAlign w:val="center"/>
          </w:tcPr>
          <w:p w14:paraId="789C6036">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具备试管自动换向功能，所有试管自动识别并自动换向，统一管帽方向，确保管帽朝前发射，避免管帽脱落，同时对试管缓冲减震，降低溶血概率，须提供试管自动换向模块实物照片。</w:t>
            </w:r>
          </w:p>
        </w:tc>
      </w:tr>
      <w:tr w14:paraId="53F572EA">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459EE436">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CDB200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402" w:type="dxa"/>
            <w:tcBorders>
              <w:top w:val="single" w:color="auto" w:sz="4" w:space="0"/>
              <w:left w:val="nil"/>
              <w:bottom w:val="single" w:color="auto" w:sz="4" w:space="0"/>
              <w:right w:val="single" w:color="auto" w:sz="4" w:space="0"/>
            </w:tcBorders>
            <w:noWrap w:val="0"/>
            <w:vAlign w:val="center"/>
          </w:tcPr>
          <w:p w14:paraId="20238BAC">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气动传输设备可靠性：要求系统不会造成气体泄漏，不引发气体、噪音和水、油污染，设备应具有完善的自检和故障报警功。</w:t>
            </w:r>
          </w:p>
        </w:tc>
      </w:tr>
      <w:tr w14:paraId="2FB9119F">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5541ACF7">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08062D9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402" w:type="dxa"/>
            <w:tcBorders>
              <w:top w:val="single" w:color="auto" w:sz="4" w:space="0"/>
              <w:left w:val="nil"/>
              <w:bottom w:val="single" w:color="auto" w:sz="4" w:space="0"/>
              <w:right w:val="single" w:color="auto" w:sz="4" w:space="0"/>
            </w:tcBorders>
            <w:noWrap w:val="0"/>
            <w:vAlign w:val="center"/>
          </w:tcPr>
          <w:p w14:paraId="4E3BFCE7">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流水线应能实现样本自动扫码、自动签收、自动拍照、自动传送、自动检测功能，可与样本传输系统进行连接，实现样本自动传输检测。</w:t>
            </w:r>
          </w:p>
        </w:tc>
      </w:tr>
      <w:tr w14:paraId="4F73D162">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3F0BA060">
            <w:pPr>
              <w:widowControl/>
              <w:spacing w:line="240" w:lineRule="auto"/>
              <w:jc w:val="center"/>
              <w:rPr>
                <w:rFonts w:hint="eastAsia" w:ascii="宋体" w:hAnsi="宋体" w:eastAsia="宋体" w:cs="宋体"/>
                <w:b/>
                <w:sz w:val="21"/>
                <w:szCs w:val="21"/>
                <w:lang w:bidi="lo-LA"/>
              </w:rPr>
            </w:pPr>
            <w:r>
              <w:rPr>
                <w:rFonts w:hint="eastAsia" w:ascii="仿宋" w:hAnsi="仿宋" w:eastAsia="仿宋" w:cs="仿宋"/>
                <w:kern w:val="2"/>
                <w:sz w:val="21"/>
                <w:szCs w:val="21"/>
                <w:lang w:val="en-US" w:eastAsia="zh-CN" w:bidi="ar-SA"/>
              </w:rPr>
              <w:t>★</w:t>
            </w:r>
          </w:p>
        </w:tc>
        <w:tc>
          <w:tcPr>
            <w:tcW w:w="750" w:type="dxa"/>
            <w:tcBorders>
              <w:top w:val="single" w:color="auto" w:sz="4" w:space="0"/>
              <w:left w:val="nil"/>
              <w:bottom w:val="single" w:color="auto" w:sz="4" w:space="0"/>
              <w:right w:val="single" w:color="auto" w:sz="4" w:space="0"/>
            </w:tcBorders>
            <w:noWrap w:val="0"/>
            <w:vAlign w:val="center"/>
          </w:tcPr>
          <w:p w14:paraId="05C657B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402" w:type="dxa"/>
            <w:tcBorders>
              <w:top w:val="single" w:color="auto" w:sz="4" w:space="0"/>
              <w:left w:val="nil"/>
              <w:bottom w:val="single" w:color="auto" w:sz="4" w:space="0"/>
              <w:right w:val="single" w:color="auto" w:sz="4" w:space="0"/>
            </w:tcBorders>
            <w:noWrap w:val="0"/>
            <w:vAlign w:val="center"/>
          </w:tcPr>
          <w:p w14:paraId="65055410">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流水线应具备进样模块、离心模块、去盖模块、轨道、全自动生化模块、全自动化学发光分析模块、全自动凝血模块、加盖/封膜模块、低温储存模块，数据大屏等。</w:t>
            </w:r>
          </w:p>
        </w:tc>
      </w:tr>
      <w:tr w14:paraId="7CA5C845">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06353395">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BC921A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402" w:type="dxa"/>
            <w:tcBorders>
              <w:top w:val="single" w:color="auto" w:sz="4" w:space="0"/>
              <w:left w:val="nil"/>
              <w:bottom w:val="single" w:color="auto" w:sz="4" w:space="0"/>
              <w:right w:val="single" w:color="auto" w:sz="4" w:space="0"/>
            </w:tcBorders>
            <w:noWrap w:val="0"/>
            <w:vAlign w:val="center"/>
          </w:tcPr>
          <w:p w14:paraId="2E0C0BCB">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生化模块、凝血模块应为同一品牌，便于同标准统一管理。</w:t>
            </w:r>
          </w:p>
        </w:tc>
      </w:tr>
      <w:tr w14:paraId="175A134D">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59C4C404">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88AD8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402" w:type="dxa"/>
            <w:tcBorders>
              <w:top w:val="single" w:color="auto" w:sz="4" w:space="0"/>
              <w:left w:val="nil"/>
              <w:bottom w:val="single" w:color="auto" w:sz="4" w:space="0"/>
              <w:right w:val="single" w:color="auto" w:sz="4" w:space="0"/>
            </w:tcBorders>
            <w:noWrap w:val="0"/>
            <w:vAlign w:val="center"/>
          </w:tcPr>
          <w:p w14:paraId="7E32D25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进出样模块：进样容量≥700管，处理速度≥800管/小时。</w:t>
            </w:r>
          </w:p>
        </w:tc>
      </w:tr>
      <w:tr w14:paraId="5EF033EC">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5E946CD0">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5D04B58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402" w:type="dxa"/>
            <w:tcBorders>
              <w:top w:val="single" w:color="auto" w:sz="4" w:space="0"/>
              <w:left w:val="nil"/>
              <w:bottom w:val="single" w:color="auto" w:sz="4" w:space="0"/>
              <w:right w:val="single" w:color="auto" w:sz="4" w:space="0"/>
            </w:tcBorders>
            <w:noWrap w:val="0"/>
            <w:vAlign w:val="center"/>
          </w:tcPr>
          <w:p w14:paraId="1F6D2402">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可识别急诊样本，急诊样本优先处理。</w:t>
            </w:r>
          </w:p>
        </w:tc>
      </w:tr>
      <w:tr w14:paraId="03143940">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6B2438F9">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7FDC2F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402" w:type="dxa"/>
            <w:tcBorders>
              <w:top w:val="single" w:color="auto" w:sz="4" w:space="0"/>
              <w:left w:val="nil"/>
              <w:bottom w:val="single" w:color="auto" w:sz="4" w:space="0"/>
              <w:right w:val="single" w:color="auto" w:sz="4" w:space="0"/>
            </w:tcBorders>
            <w:noWrap w:val="0"/>
            <w:vAlign w:val="center"/>
          </w:tcPr>
          <w:p w14:paraId="4CC20B9C">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具备样本识别功能，可识别样本是否有无管盖、样本量、血清质量信息。</w:t>
            </w:r>
          </w:p>
        </w:tc>
      </w:tr>
      <w:tr w14:paraId="270E8B09">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432BA41E">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1F89CA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402" w:type="dxa"/>
            <w:tcBorders>
              <w:top w:val="single" w:color="auto" w:sz="4" w:space="0"/>
              <w:left w:val="nil"/>
              <w:bottom w:val="single" w:color="auto" w:sz="4" w:space="0"/>
              <w:right w:val="single" w:color="auto" w:sz="4" w:space="0"/>
            </w:tcBorders>
            <w:noWrap w:val="0"/>
            <w:vAlign w:val="center"/>
          </w:tcPr>
          <w:p w14:paraId="355BFF37">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离心模块：≥2台，离心速度≥900管/小时，生化免疫和凝血的离心机应单独配备。</w:t>
            </w:r>
          </w:p>
        </w:tc>
      </w:tr>
      <w:tr w14:paraId="44214056">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615C84EB">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55F6174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402" w:type="dxa"/>
            <w:tcBorders>
              <w:top w:val="single" w:color="auto" w:sz="4" w:space="0"/>
              <w:left w:val="nil"/>
              <w:bottom w:val="single" w:color="auto" w:sz="4" w:space="0"/>
              <w:right w:val="single" w:color="auto" w:sz="4" w:space="0"/>
            </w:tcBorders>
            <w:noWrap w:val="0"/>
            <w:vAlign w:val="center"/>
          </w:tcPr>
          <w:p w14:paraId="175EA2E3">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去盖模块：去盖模块速度≥800管/小时。</w:t>
            </w:r>
          </w:p>
        </w:tc>
      </w:tr>
      <w:tr w14:paraId="654D58AC">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7A72B397">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9ADD43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402" w:type="dxa"/>
            <w:tcBorders>
              <w:top w:val="single" w:color="auto" w:sz="4" w:space="0"/>
              <w:left w:val="nil"/>
              <w:bottom w:val="single" w:color="auto" w:sz="4" w:space="0"/>
              <w:right w:val="single" w:color="auto" w:sz="4" w:space="0"/>
            </w:tcBorders>
            <w:noWrap w:val="0"/>
            <w:vAlign w:val="center"/>
          </w:tcPr>
          <w:p w14:paraId="4BF54AE3">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流水线轨道数量：≥2轨。</w:t>
            </w:r>
          </w:p>
        </w:tc>
      </w:tr>
      <w:tr w14:paraId="1920EC1C">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06F0510B">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CF4415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402" w:type="dxa"/>
            <w:tcBorders>
              <w:top w:val="single" w:color="auto" w:sz="4" w:space="0"/>
              <w:left w:val="nil"/>
              <w:bottom w:val="single" w:color="auto" w:sz="4" w:space="0"/>
              <w:right w:val="single" w:color="auto" w:sz="4" w:space="0"/>
            </w:tcBorders>
            <w:noWrap w:val="0"/>
            <w:vAlign w:val="center"/>
          </w:tcPr>
          <w:p w14:paraId="49C0577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加盖/封膜模块：处理速度≥800管/小时。</w:t>
            </w:r>
          </w:p>
        </w:tc>
      </w:tr>
      <w:tr w14:paraId="2A14FBE5">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56BECBA0">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71A814D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402" w:type="dxa"/>
            <w:tcBorders>
              <w:top w:val="single" w:color="auto" w:sz="4" w:space="0"/>
              <w:left w:val="nil"/>
              <w:bottom w:val="single" w:color="auto" w:sz="4" w:space="0"/>
              <w:right w:val="single" w:color="auto" w:sz="4" w:space="0"/>
            </w:tcBorders>
            <w:noWrap w:val="0"/>
            <w:vAlign w:val="center"/>
          </w:tcPr>
          <w:p w14:paraId="0E8FCD32">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低温储存模块：样本容量≥12000管。</w:t>
            </w:r>
          </w:p>
        </w:tc>
      </w:tr>
      <w:tr w14:paraId="0EB847BC">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4E95C387">
            <w:pPr>
              <w:widowControl/>
              <w:spacing w:line="240" w:lineRule="auto"/>
              <w:jc w:val="center"/>
              <w:rPr>
                <w:rFonts w:hint="eastAsia" w:ascii="宋体" w:hAnsi="宋体" w:eastAsia="宋体" w:cs="宋体"/>
                <w:b/>
                <w:sz w:val="21"/>
                <w:szCs w:val="21"/>
                <w:lang w:bidi="lo-LA"/>
              </w:rPr>
            </w:pPr>
            <w:r>
              <w:rPr>
                <w:rFonts w:hint="eastAsia" w:ascii="仿宋" w:hAnsi="仿宋" w:eastAsia="仿宋" w:cs="仿宋"/>
                <w:kern w:val="2"/>
                <w:sz w:val="21"/>
                <w:szCs w:val="21"/>
                <w:lang w:val="en-US" w:eastAsia="zh-CN" w:bidi="ar-SA"/>
              </w:rPr>
              <w:t>★</w:t>
            </w:r>
          </w:p>
        </w:tc>
        <w:tc>
          <w:tcPr>
            <w:tcW w:w="750" w:type="dxa"/>
            <w:tcBorders>
              <w:top w:val="single" w:color="auto" w:sz="4" w:space="0"/>
              <w:left w:val="nil"/>
              <w:bottom w:val="single" w:color="auto" w:sz="4" w:space="0"/>
              <w:right w:val="single" w:color="auto" w:sz="4" w:space="0"/>
            </w:tcBorders>
            <w:noWrap w:val="0"/>
            <w:vAlign w:val="center"/>
          </w:tcPr>
          <w:p w14:paraId="319EC59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402" w:type="dxa"/>
            <w:tcBorders>
              <w:top w:val="single" w:color="auto" w:sz="4" w:space="0"/>
              <w:left w:val="nil"/>
              <w:bottom w:val="single" w:color="auto" w:sz="4" w:space="0"/>
              <w:right w:val="single" w:color="auto" w:sz="4" w:space="0"/>
            </w:tcBorders>
            <w:noWrap w:val="0"/>
            <w:vAlign w:val="center"/>
          </w:tcPr>
          <w:p w14:paraId="178A64F6">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配套提供至少1套电脑主机（至少i5以上处理器、16G内存）和显示器（至少23寸以上），负责LIS接口。</w:t>
            </w:r>
          </w:p>
        </w:tc>
      </w:tr>
      <w:tr w14:paraId="7957234F">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084255A0">
            <w:pPr>
              <w:widowControl/>
              <w:spacing w:line="240" w:lineRule="auto"/>
              <w:jc w:val="center"/>
              <w:rPr>
                <w:rFonts w:hint="eastAsia" w:ascii="宋体" w:hAnsi="宋体" w:eastAsia="宋体" w:cs="宋体"/>
                <w:b/>
                <w:sz w:val="21"/>
                <w:szCs w:val="21"/>
                <w:lang w:bidi="lo-LA"/>
              </w:rPr>
            </w:pPr>
            <w:r>
              <w:rPr>
                <w:rFonts w:hint="eastAsia" w:ascii="仿宋" w:hAnsi="仿宋" w:eastAsia="仿宋" w:cs="仿宋"/>
                <w:kern w:val="2"/>
                <w:sz w:val="21"/>
                <w:szCs w:val="21"/>
                <w:lang w:val="en-US" w:eastAsia="zh-CN" w:bidi="ar-SA"/>
              </w:rPr>
              <w:t>★</w:t>
            </w:r>
          </w:p>
        </w:tc>
        <w:tc>
          <w:tcPr>
            <w:tcW w:w="750" w:type="dxa"/>
            <w:tcBorders>
              <w:top w:val="single" w:color="auto" w:sz="4" w:space="0"/>
              <w:left w:val="nil"/>
              <w:bottom w:val="single" w:color="auto" w:sz="4" w:space="0"/>
              <w:right w:val="single" w:color="auto" w:sz="4" w:space="0"/>
            </w:tcBorders>
            <w:noWrap w:val="0"/>
            <w:vAlign w:val="center"/>
          </w:tcPr>
          <w:p w14:paraId="3837273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402" w:type="dxa"/>
            <w:tcBorders>
              <w:top w:val="single" w:color="auto" w:sz="4" w:space="0"/>
              <w:left w:val="nil"/>
              <w:bottom w:val="single" w:color="auto" w:sz="4" w:space="0"/>
              <w:right w:val="single" w:color="auto" w:sz="4" w:space="0"/>
            </w:tcBorders>
            <w:noWrap w:val="0"/>
            <w:vAlign w:val="center"/>
          </w:tcPr>
          <w:p w14:paraId="78BBB0F2">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生化分析模块，数量3套，要求：</w:t>
            </w:r>
          </w:p>
        </w:tc>
      </w:tr>
      <w:tr w14:paraId="79E71022">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426917ED">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E66401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20.1</w:t>
            </w:r>
          </w:p>
        </w:tc>
        <w:tc>
          <w:tcPr>
            <w:tcW w:w="7402" w:type="dxa"/>
            <w:tcBorders>
              <w:top w:val="single" w:color="auto" w:sz="4" w:space="0"/>
              <w:left w:val="nil"/>
              <w:bottom w:val="single" w:color="auto" w:sz="4" w:space="0"/>
              <w:right w:val="single" w:color="auto" w:sz="4" w:space="0"/>
            </w:tcBorders>
            <w:noWrap w:val="0"/>
            <w:vAlign w:val="center"/>
          </w:tcPr>
          <w:p w14:paraId="3C5712D7">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单模块比色速度≥2000T/h，整体速度≥4000T/h（不含ISE）。</w:t>
            </w:r>
          </w:p>
        </w:tc>
      </w:tr>
      <w:tr w14:paraId="50A6BB23">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3DCE0B9A">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5CEB342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20.2</w:t>
            </w:r>
          </w:p>
        </w:tc>
        <w:tc>
          <w:tcPr>
            <w:tcW w:w="7402" w:type="dxa"/>
            <w:tcBorders>
              <w:top w:val="single" w:color="auto" w:sz="4" w:space="0"/>
              <w:left w:val="nil"/>
              <w:bottom w:val="single" w:color="auto" w:sz="4" w:space="0"/>
              <w:right w:val="single" w:color="auto" w:sz="4" w:space="0"/>
            </w:tcBorders>
            <w:noWrap w:val="0"/>
            <w:vAlign w:val="center"/>
          </w:tcPr>
          <w:p w14:paraId="49A7D3A9">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单模块试剂位≥140个。</w:t>
            </w:r>
          </w:p>
        </w:tc>
      </w:tr>
      <w:tr w14:paraId="442AE20C">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451B79AF">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3DA5115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20.3</w:t>
            </w:r>
          </w:p>
        </w:tc>
        <w:tc>
          <w:tcPr>
            <w:tcW w:w="7402" w:type="dxa"/>
            <w:tcBorders>
              <w:top w:val="single" w:color="auto" w:sz="4" w:space="0"/>
              <w:left w:val="nil"/>
              <w:bottom w:val="single" w:color="auto" w:sz="4" w:space="0"/>
              <w:right w:val="single" w:color="auto" w:sz="4" w:space="0"/>
            </w:tcBorders>
            <w:noWrap w:val="0"/>
            <w:vAlign w:val="center"/>
          </w:tcPr>
          <w:p w14:paraId="40CA01D4">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光学系统≥16个波长，340～850nm。</w:t>
            </w:r>
          </w:p>
        </w:tc>
      </w:tr>
      <w:tr w14:paraId="696A82CE">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456EA373">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24D9C26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20.4</w:t>
            </w:r>
          </w:p>
        </w:tc>
        <w:tc>
          <w:tcPr>
            <w:tcW w:w="7402" w:type="dxa"/>
            <w:tcBorders>
              <w:top w:val="single" w:color="auto" w:sz="4" w:space="0"/>
              <w:left w:val="nil"/>
              <w:bottom w:val="single" w:color="auto" w:sz="4" w:space="0"/>
              <w:right w:val="single" w:color="auto" w:sz="4" w:space="0"/>
            </w:tcBorders>
            <w:noWrap w:val="0"/>
            <w:vAlign w:val="center"/>
          </w:tcPr>
          <w:p w14:paraId="13701293">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石英或硬质玻璃比色杯。</w:t>
            </w:r>
          </w:p>
        </w:tc>
      </w:tr>
      <w:tr w14:paraId="79FF5B11">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73E9899A">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5A280D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20.5</w:t>
            </w:r>
          </w:p>
        </w:tc>
        <w:tc>
          <w:tcPr>
            <w:tcW w:w="7402" w:type="dxa"/>
            <w:tcBorders>
              <w:top w:val="single" w:color="auto" w:sz="4" w:space="0"/>
              <w:left w:val="nil"/>
              <w:bottom w:val="single" w:color="auto" w:sz="4" w:space="0"/>
              <w:right w:val="single" w:color="auto" w:sz="4" w:space="0"/>
            </w:tcBorders>
            <w:noWrap w:val="0"/>
            <w:vAlign w:val="center"/>
          </w:tcPr>
          <w:p w14:paraId="5B836B16">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采用非水浴加热，减少日常维护保养。</w:t>
            </w:r>
          </w:p>
        </w:tc>
      </w:tr>
      <w:tr w14:paraId="704DA8A7">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06BD895D">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822E9A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20.6</w:t>
            </w:r>
          </w:p>
        </w:tc>
        <w:tc>
          <w:tcPr>
            <w:tcW w:w="7402" w:type="dxa"/>
            <w:tcBorders>
              <w:top w:val="single" w:color="auto" w:sz="4" w:space="0"/>
              <w:left w:val="nil"/>
              <w:bottom w:val="single" w:color="auto" w:sz="4" w:space="0"/>
              <w:right w:val="single" w:color="auto" w:sz="4" w:space="0"/>
            </w:tcBorders>
            <w:noWrap w:val="0"/>
            <w:vAlign w:val="center"/>
          </w:tcPr>
          <w:p w14:paraId="3D4D9DDB">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具有独立急诊、校准、定标等功能的圆盘进样位≥20个。</w:t>
            </w:r>
          </w:p>
        </w:tc>
      </w:tr>
      <w:tr w14:paraId="7BE3CF67">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103B7CF3">
            <w:pPr>
              <w:widowControl/>
              <w:spacing w:line="240" w:lineRule="auto"/>
              <w:jc w:val="center"/>
              <w:rPr>
                <w:rFonts w:hint="eastAsia" w:ascii="宋体" w:hAnsi="宋体" w:eastAsia="宋体" w:cs="宋体"/>
                <w:b/>
                <w:sz w:val="21"/>
                <w:szCs w:val="21"/>
                <w:lang w:bidi="lo-LA"/>
              </w:rPr>
            </w:pPr>
            <w:r>
              <w:rPr>
                <w:rFonts w:hint="eastAsia" w:ascii="仿宋" w:hAnsi="仿宋" w:eastAsia="仿宋" w:cs="仿宋"/>
                <w:kern w:val="2"/>
                <w:sz w:val="21"/>
                <w:szCs w:val="21"/>
                <w:lang w:val="en-US" w:eastAsia="zh-CN" w:bidi="ar-SA"/>
              </w:rPr>
              <w:t>★</w:t>
            </w:r>
          </w:p>
        </w:tc>
        <w:tc>
          <w:tcPr>
            <w:tcW w:w="750" w:type="dxa"/>
            <w:tcBorders>
              <w:top w:val="single" w:color="auto" w:sz="4" w:space="0"/>
              <w:left w:val="nil"/>
              <w:bottom w:val="single" w:color="auto" w:sz="4" w:space="0"/>
              <w:right w:val="single" w:color="auto" w:sz="4" w:space="0"/>
            </w:tcBorders>
            <w:noWrap w:val="0"/>
            <w:vAlign w:val="center"/>
          </w:tcPr>
          <w:p w14:paraId="4F5E27C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20.7</w:t>
            </w:r>
          </w:p>
        </w:tc>
        <w:tc>
          <w:tcPr>
            <w:tcW w:w="7402" w:type="dxa"/>
            <w:tcBorders>
              <w:top w:val="single" w:color="auto" w:sz="4" w:space="0"/>
              <w:left w:val="nil"/>
              <w:bottom w:val="single" w:color="auto" w:sz="4" w:space="0"/>
              <w:right w:val="single" w:color="auto" w:sz="4" w:space="0"/>
            </w:tcBorders>
            <w:noWrap w:val="0"/>
            <w:vAlign w:val="center"/>
          </w:tcPr>
          <w:p w14:paraId="002078AB">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每台生化分析模块配套提供至少1套电脑主机（至少i5以上处理器、16G内存）和显示器（至少23寸以上），负责LIS接口。</w:t>
            </w:r>
          </w:p>
        </w:tc>
      </w:tr>
      <w:tr w14:paraId="1857D228">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5185FA2A">
            <w:pPr>
              <w:widowControl/>
              <w:spacing w:line="240" w:lineRule="auto"/>
              <w:jc w:val="center"/>
              <w:rPr>
                <w:rFonts w:hint="eastAsia" w:ascii="宋体" w:hAnsi="宋体" w:eastAsia="宋体" w:cs="宋体"/>
                <w:b/>
                <w:sz w:val="21"/>
                <w:szCs w:val="21"/>
                <w:lang w:bidi="lo-LA"/>
              </w:rPr>
            </w:pPr>
            <w:r>
              <w:rPr>
                <w:rFonts w:hint="eastAsia" w:ascii="仿宋" w:hAnsi="仿宋" w:eastAsia="仿宋" w:cs="仿宋"/>
                <w:kern w:val="2"/>
                <w:sz w:val="21"/>
                <w:szCs w:val="21"/>
                <w:lang w:val="en-US" w:eastAsia="zh-CN" w:bidi="ar-SA"/>
              </w:rPr>
              <w:t>★</w:t>
            </w:r>
          </w:p>
        </w:tc>
        <w:tc>
          <w:tcPr>
            <w:tcW w:w="750" w:type="dxa"/>
            <w:tcBorders>
              <w:top w:val="single" w:color="auto" w:sz="4" w:space="0"/>
              <w:left w:val="nil"/>
              <w:bottom w:val="single" w:color="auto" w:sz="4" w:space="0"/>
              <w:right w:val="single" w:color="auto" w:sz="4" w:space="0"/>
            </w:tcBorders>
            <w:noWrap w:val="0"/>
            <w:vAlign w:val="center"/>
          </w:tcPr>
          <w:p w14:paraId="4A3833E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402" w:type="dxa"/>
            <w:tcBorders>
              <w:top w:val="single" w:color="auto" w:sz="4" w:space="0"/>
              <w:left w:val="nil"/>
              <w:bottom w:val="single" w:color="auto" w:sz="4" w:space="0"/>
              <w:right w:val="single" w:color="auto" w:sz="4" w:space="0"/>
            </w:tcBorders>
            <w:noWrap w:val="0"/>
            <w:vAlign w:val="center"/>
          </w:tcPr>
          <w:p w14:paraId="1CA8C752">
            <w:pPr>
              <w:widowControl/>
              <w:spacing w:line="240" w:lineRule="auto"/>
              <w:jc w:val="both"/>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凝血分析模块，数量2套，要求：</w:t>
            </w:r>
          </w:p>
        </w:tc>
      </w:tr>
      <w:tr w14:paraId="0353FC35">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2685C872">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78F310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21.1</w:t>
            </w:r>
          </w:p>
        </w:tc>
        <w:tc>
          <w:tcPr>
            <w:tcW w:w="7402" w:type="dxa"/>
            <w:tcBorders>
              <w:top w:val="single" w:color="auto" w:sz="4" w:space="0"/>
              <w:left w:val="nil"/>
              <w:bottom w:val="single" w:color="auto" w:sz="4" w:space="0"/>
              <w:right w:val="single" w:color="auto" w:sz="4" w:space="0"/>
            </w:tcBorders>
            <w:noWrap w:val="0"/>
            <w:vAlign w:val="center"/>
          </w:tcPr>
          <w:p w14:paraId="20091588">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单模块凝血四项总检测速度≥220样本/小时。</w:t>
            </w:r>
          </w:p>
        </w:tc>
      </w:tr>
      <w:tr w14:paraId="0A48EFEE">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331F95C7">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6A384FD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21.2</w:t>
            </w:r>
          </w:p>
        </w:tc>
        <w:tc>
          <w:tcPr>
            <w:tcW w:w="7402" w:type="dxa"/>
            <w:tcBorders>
              <w:top w:val="single" w:color="auto" w:sz="4" w:space="0"/>
              <w:left w:val="nil"/>
              <w:bottom w:val="single" w:color="auto" w:sz="4" w:space="0"/>
              <w:right w:val="single" w:color="auto" w:sz="4" w:space="0"/>
            </w:tcBorders>
            <w:noWrap w:val="0"/>
            <w:vAlign w:val="center"/>
          </w:tcPr>
          <w:p w14:paraId="6381DA6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检测原理：包含凝固法、发色底物法、免疫比浊法等检测方法。</w:t>
            </w:r>
          </w:p>
        </w:tc>
      </w:tr>
      <w:tr w14:paraId="03471AD5">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1080AF58">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4CE48D7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21.3</w:t>
            </w:r>
          </w:p>
        </w:tc>
        <w:tc>
          <w:tcPr>
            <w:tcW w:w="7402" w:type="dxa"/>
            <w:tcBorders>
              <w:top w:val="single" w:color="auto" w:sz="4" w:space="0"/>
              <w:left w:val="nil"/>
              <w:bottom w:val="single" w:color="auto" w:sz="4" w:space="0"/>
              <w:right w:val="single" w:color="auto" w:sz="4" w:space="0"/>
            </w:tcBorders>
            <w:noWrap w:val="0"/>
            <w:vAlign w:val="center"/>
          </w:tcPr>
          <w:p w14:paraId="54DAF69C">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可检测项目：PT、APTT、TT、FIB、DD、FDP、AT Ⅲ。</w:t>
            </w:r>
          </w:p>
        </w:tc>
      </w:tr>
      <w:tr w14:paraId="10B10638">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2509CCDB">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0B6478A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21.4</w:t>
            </w:r>
          </w:p>
        </w:tc>
        <w:tc>
          <w:tcPr>
            <w:tcW w:w="7402" w:type="dxa"/>
            <w:tcBorders>
              <w:top w:val="single" w:color="auto" w:sz="4" w:space="0"/>
              <w:left w:val="nil"/>
              <w:bottom w:val="single" w:color="auto" w:sz="4" w:space="0"/>
              <w:right w:val="single" w:color="auto" w:sz="4" w:space="0"/>
            </w:tcBorders>
            <w:noWrap w:val="0"/>
            <w:vAlign w:val="center"/>
          </w:tcPr>
          <w:p w14:paraId="41280155">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检测通道：总检测通道≥30个。</w:t>
            </w:r>
          </w:p>
        </w:tc>
      </w:tr>
      <w:tr w14:paraId="5523ECA0">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5205E3B1">
            <w:pPr>
              <w:widowControl/>
              <w:spacing w:line="240" w:lineRule="auto"/>
              <w:jc w:val="center"/>
              <w:rPr>
                <w:rFonts w:hint="eastAsia" w:ascii="宋体" w:hAnsi="宋体" w:eastAsia="宋体" w:cs="宋体"/>
                <w:b/>
                <w:sz w:val="21"/>
                <w:szCs w:val="21"/>
                <w:lang w:bidi="lo-LA"/>
              </w:rPr>
            </w:pPr>
          </w:p>
        </w:tc>
        <w:tc>
          <w:tcPr>
            <w:tcW w:w="750" w:type="dxa"/>
            <w:tcBorders>
              <w:top w:val="single" w:color="auto" w:sz="4" w:space="0"/>
              <w:left w:val="nil"/>
              <w:bottom w:val="single" w:color="auto" w:sz="4" w:space="0"/>
              <w:right w:val="single" w:color="auto" w:sz="4" w:space="0"/>
            </w:tcBorders>
            <w:noWrap w:val="0"/>
            <w:vAlign w:val="center"/>
          </w:tcPr>
          <w:p w14:paraId="165EF4C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21.5</w:t>
            </w:r>
          </w:p>
        </w:tc>
        <w:tc>
          <w:tcPr>
            <w:tcW w:w="7402" w:type="dxa"/>
            <w:tcBorders>
              <w:top w:val="single" w:color="auto" w:sz="4" w:space="0"/>
              <w:left w:val="nil"/>
              <w:bottom w:val="single" w:color="auto" w:sz="4" w:space="0"/>
              <w:right w:val="single" w:color="auto" w:sz="4" w:space="0"/>
            </w:tcBorders>
            <w:noWrap w:val="0"/>
            <w:vAlign w:val="center"/>
          </w:tcPr>
          <w:p w14:paraId="3115A0E4">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试剂位：总试剂位≥50个。</w:t>
            </w:r>
          </w:p>
        </w:tc>
      </w:tr>
      <w:tr w14:paraId="52E5BD80">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1FBB5B47">
            <w:pPr>
              <w:widowControl/>
              <w:spacing w:line="240" w:lineRule="auto"/>
              <w:jc w:val="center"/>
              <w:rPr>
                <w:rFonts w:hint="eastAsia" w:ascii="宋体" w:hAnsi="宋体" w:eastAsia="宋体" w:cs="宋体"/>
                <w:b/>
                <w:sz w:val="21"/>
                <w:szCs w:val="21"/>
                <w:lang w:bidi="lo-LA"/>
              </w:rPr>
            </w:pPr>
            <w:r>
              <w:rPr>
                <w:rFonts w:hint="eastAsia" w:ascii="仿宋" w:hAnsi="仿宋" w:eastAsia="仿宋" w:cs="仿宋"/>
                <w:kern w:val="2"/>
                <w:sz w:val="21"/>
                <w:szCs w:val="21"/>
                <w:lang w:val="en-US" w:eastAsia="zh-CN" w:bidi="ar-SA"/>
              </w:rPr>
              <w:t>★</w:t>
            </w:r>
          </w:p>
        </w:tc>
        <w:tc>
          <w:tcPr>
            <w:tcW w:w="750" w:type="dxa"/>
            <w:tcBorders>
              <w:top w:val="single" w:color="auto" w:sz="4" w:space="0"/>
              <w:left w:val="nil"/>
              <w:bottom w:val="single" w:color="auto" w:sz="4" w:space="0"/>
              <w:right w:val="single" w:color="auto" w:sz="4" w:space="0"/>
            </w:tcBorders>
            <w:noWrap w:val="0"/>
            <w:vAlign w:val="center"/>
          </w:tcPr>
          <w:p w14:paraId="7C4F7D7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21.6</w:t>
            </w:r>
          </w:p>
        </w:tc>
        <w:tc>
          <w:tcPr>
            <w:tcW w:w="7402" w:type="dxa"/>
            <w:tcBorders>
              <w:top w:val="single" w:color="auto" w:sz="4" w:space="0"/>
              <w:left w:val="nil"/>
              <w:bottom w:val="single" w:color="auto" w:sz="4" w:space="0"/>
              <w:right w:val="single" w:color="auto" w:sz="4" w:space="0"/>
            </w:tcBorders>
            <w:noWrap w:val="0"/>
            <w:vAlign w:val="center"/>
          </w:tcPr>
          <w:p w14:paraId="01840CF8">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每台凝血模块配套提供至少1套电脑主机（至少i5以上处理器、16G内存）和显示器（至少23寸以上），负责LIS接口。</w:t>
            </w:r>
          </w:p>
        </w:tc>
      </w:tr>
      <w:tr w14:paraId="6D62CDB1">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214A1A2E">
            <w:pPr>
              <w:widowControl/>
              <w:spacing w:line="240" w:lineRule="auto"/>
              <w:jc w:val="center"/>
              <w:rPr>
                <w:rFonts w:hint="eastAsia" w:ascii="宋体" w:hAnsi="宋体" w:eastAsia="宋体" w:cs="宋体"/>
                <w:b/>
                <w:sz w:val="21"/>
                <w:szCs w:val="21"/>
                <w:lang w:bidi="lo-LA"/>
              </w:rPr>
            </w:pPr>
            <w:r>
              <w:rPr>
                <w:rFonts w:hint="eastAsia" w:ascii="仿宋" w:hAnsi="仿宋" w:eastAsia="仿宋" w:cs="仿宋"/>
                <w:kern w:val="2"/>
                <w:sz w:val="21"/>
                <w:szCs w:val="21"/>
                <w:lang w:val="en-US" w:eastAsia="zh-CN" w:bidi="ar-SA"/>
              </w:rPr>
              <w:t>★</w:t>
            </w:r>
          </w:p>
        </w:tc>
        <w:tc>
          <w:tcPr>
            <w:tcW w:w="750" w:type="dxa"/>
            <w:tcBorders>
              <w:top w:val="single" w:color="auto" w:sz="4" w:space="0"/>
              <w:left w:val="nil"/>
              <w:bottom w:val="single" w:color="auto" w:sz="4" w:space="0"/>
              <w:right w:val="single" w:color="auto" w:sz="4" w:space="0"/>
            </w:tcBorders>
            <w:noWrap w:val="0"/>
            <w:vAlign w:val="center"/>
          </w:tcPr>
          <w:p w14:paraId="6AF4E93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402" w:type="dxa"/>
            <w:tcBorders>
              <w:top w:val="single" w:color="auto" w:sz="4" w:space="0"/>
              <w:left w:val="nil"/>
              <w:bottom w:val="single" w:color="auto" w:sz="4" w:space="0"/>
              <w:right w:val="single" w:color="auto" w:sz="4" w:space="0"/>
            </w:tcBorders>
            <w:noWrap w:val="0"/>
            <w:vAlign w:val="center"/>
          </w:tcPr>
          <w:p w14:paraId="38000223">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设备配套使用的所有一次性使用医用耗材应在内蒙古自治区阳采平台上。</w:t>
            </w:r>
          </w:p>
        </w:tc>
      </w:tr>
      <w:tr w14:paraId="6D213AE6">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noWrap w:val="0"/>
            <w:vAlign w:val="center"/>
          </w:tcPr>
          <w:p w14:paraId="69AFF1C7">
            <w:pPr>
              <w:widowControl/>
              <w:spacing w:line="240" w:lineRule="auto"/>
              <w:jc w:val="center"/>
              <w:rPr>
                <w:rFonts w:hint="eastAsia" w:ascii="宋体" w:hAnsi="宋体" w:eastAsia="宋体" w:cs="宋体"/>
                <w:sz w:val="21"/>
                <w:szCs w:val="21"/>
                <w:lang w:bidi="lo-LA"/>
              </w:rPr>
            </w:pPr>
            <w:r>
              <w:rPr>
                <w:rFonts w:hint="eastAsia" w:ascii="仿宋" w:hAnsi="仿宋" w:eastAsia="仿宋" w:cs="仿宋"/>
                <w:kern w:val="2"/>
                <w:sz w:val="21"/>
                <w:szCs w:val="21"/>
                <w:lang w:val="en-US" w:eastAsia="zh-CN" w:bidi="ar-SA"/>
              </w:rPr>
              <w:t>★</w:t>
            </w:r>
          </w:p>
        </w:tc>
        <w:tc>
          <w:tcPr>
            <w:tcW w:w="750" w:type="dxa"/>
            <w:tcBorders>
              <w:top w:val="single" w:color="auto" w:sz="4" w:space="0"/>
              <w:left w:val="nil"/>
              <w:bottom w:val="single" w:color="auto" w:sz="4" w:space="0"/>
              <w:right w:val="single" w:color="auto" w:sz="4" w:space="0"/>
            </w:tcBorders>
            <w:noWrap w:val="0"/>
            <w:vAlign w:val="center"/>
          </w:tcPr>
          <w:p w14:paraId="42743F0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402" w:type="dxa"/>
            <w:tcBorders>
              <w:top w:val="single" w:color="auto" w:sz="4" w:space="0"/>
              <w:left w:val="nil"/>
              <w:bottom w:val="single" w:color="auto" w:sz="4" w:space="0"/>
              <w:right w:val="single" w:color="auto" w:sz="4" w:space="0"/>
            </w:tcBorders>
            <w:noWrap w:val="0"/>
            <w:vAlign w:val="center"/>
          </w:tcPr>
          <w:p w14:paraId="566E7109">
            <w:pPr>
              <w:spacing w:line="240" w:lineRule="auto"/>
              <w:jc w:val="both"/>
              <w:rPr>
                <w:rFonts w:hint="default" w:ascii="宋体" w:hAnsi="宋体" w:eastAsia="宋体" w:cs="宋体"/>
                <w:sz w:val="21"/>
                <w:szCs w:val="21"/>
                <w:lang w:val="en-US" w:eastAsia="zh-CN"/>
              </w:rPr>
            </w:pPr>
            <w:r>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t>中标单位所供设备的生产日期应距合同签订日期三个月以内。</w:t>
            </w:r>
          </w:p>
        </w:tc>
      </w:tr>
      <w:tr w14:paraId="3CC53DBF">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4FF9D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5D48A8C2">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21</w:t>
            </w:r>
          </w:p>
        </w:tc>
        <w:tc>
          <w:tcPr>
            <w:tcW w:w="7402" w:type="dxa"/>
            <w:tcBorders>
              <w:top w:val="single" w:color="auto" w:sz="4" w:space="0"/>
              <w:left w:val="nil"/>
              <w:bottom w:val="single" w:color="auto" w:sz="4" w:space="0"/>
              <w:right w:val="single" w:color="auto" w:sz="4" w:space="0"/>
            </w:tcBorders>
            <w:shd w:val="clear" w:color="auto" w:fill="auto"/>
            <w:noWrap w:val="0"/>
            <w:vAlign w:val="center"/>
          </w:tcPr>
          <w:p w14:paraId="1D405ED8">
            <w:pPr>
              <w:spacing w:line="240" w:lineRule="auto"/>
              <w:jc w:val="both"/>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须附带单套设备配置清单。</w:t>
            </w:r>
          </w:p>
        </w:tc>
      </w:tr>
      <w:tr w14:paraId="42A05403">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ECFC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4E22BE02">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22</w:t>
            </w:r>
          </w:p>
        </w:tc>
        <w:tc>
          <w:tcPr>
            <w:tcW w:w="7402" w:type="dxa"/>
            <w:tcBorders>
              <w:top w:val="single" w:color="auto" w:sz="4" w:space="0"/>
              <w:left w:val="nil"/>
              <w:bottom w:val="single" w:color="auto" w:sz="4" w:space="0"/>
              <w:right w:val="single" w:color="auto" w:sz="4" w:space="0"/>
            </w:tcBorders>
            <w:shd w:val="clear" w:color="auto" w:fill="auto"/>
            <w:noWrap w:val="0"/>
            <w:vAlign w:val="center"/>
          </w:tcPr>
          <w:p w14:paraId="2C3C68E4">
            <w:pPr>
              <w:pStyle w:val="5"/>
              <w:spacing w:line="240" w:lineRule="auto"/>
              <w:jc w:val="both"/>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投标人须提供投标产品的中华人民共和国医疗器械注册证或备案凭证，并在有效期内。</w:t>
            </w:r>
          </w:p>
        </w:tc>
      </w:tr>
      <w:tr w14:paraId="272AE600">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5068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0947E845">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23</w:t>
            </w:r>
          </w:p>
        </w:tc>
        <w:tc>
          <w:tcPr>
            <w:tcW w:w="7402" w:type="dxa"/>
            <w:tcBorders>
              <w:top w:val="single" w:color="auto" w:sz="4" w:space="0"/>
              <w:left w:val="nil"/>
              <w:bottom w:val="single" w:color="auto" w:sz="4" w:space="0"/>
              <w:right w:val="single" w:color="auto" w:sz="4" w:space="0"/>
            </w:tcBorders>
            <w:shd w:val="clear" w:color="auto" w:fill="auto"/>
            <w:noWrap w:val="0"/>
            <w:vAlign w:val="center"/>
          </w:tcPr>
          <w:p w14:paraId="17752130">
            <w:pPr>
              <w:spacing w:line="240" w:lineRule="auto"/>
              <w:jc w:val="both"/>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CA869F5">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F65B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14:paraId="29E578A6">
            <w:pPr>
              <w:widowControl/>
              <w:spacing w:line="240" w:lineRule="auto"/>
              <w:jc w:val="center"/>
              <w:rPr>
                <w:rFonts w:hint="default" w:ascii="宋体" w:hAnsi="宋体" w:eastAsia="宋体" w:cs="宋体"/>
                <w:kern w:val="0"/>
                <w:sz w:val="21"/>
                <w:szCs w:val="21"/>
                <w:rtl w:val="0"/>
                <w:lang w:val="en-US" w:eastAsia="zh-CN" w:bidi="lo-LA"/>
              </w:rPr>
            </w:pPr>
            <w:r>
              <w:rPr>
                <w:rFonts w:hint="eastAsia" w:ascii="宋体" w:hAnsi="宋体" w:eastAsia="宋体" w:cs="宋体"/>
                <w:kern w:val="0"/>
                <w:sz w:val="21"/>
                <w:szCs w:val="21"/>
                <w:lang w:val="en-US" w:eastAsia="zh-CN" w:bidi="lo-LA"/>
              </w:rPr>
              <w:t>24</w:t>
            </w:r>
          </w:p>
        </w:tc>
        <w:tc>
          <w:tcPr>
            <w:tcW w:w="7402" w:type="dxa"/>
            <w:tcBorders>
              <w:top w:val="single" w:color="auto" w:sz="4" w:space="0"/>
              <w:left w:val="nil"/>
              <w:bottom w:val="single" w:color="auto" w:sz="4" w:space="0"/>
              <w:right w:val="single" w:color="auto" w:sz="4" w:space="0"/>
            </w:tcBorders>
            <w:shd w:val="clear" w:color="auto" w:fill="auto"/>
            <w:noWrap w:val="0"/>
            <w:vAlign w:val="center"/>
          </w:tcPr>
          <w:p w14:paraId="190D3349">
            <w:pPr>
              <w:pStyle w:val="5"/>
              <w:spacing w:line="240" w:lineRule="auto"/>
              <w:jc w:val="both"/>
              <w:rPr>
                <w:rFonts w:hint="eastAsia" w:ascii="宋体" w:hAnsi="宋体" w:eastAsia="宋体" w:cs="宋体"/>
                <w:color w:val="auto"/>
                <w:spacing w:val="0"/>
                <w:w w:val="100"/>
                <w:kern w:val="2"/>
                <w:position w:val="0"/>
                <w:sz w:val="21"/>
                <w:szCs w:val="21"/>
                <w:u w:val="none"/>
                <w:shd w:val="clear"/>
                <w:vertAlign w:val="baseline"/>
                <w:rtl w:val="0"/>
                <w:lang w:val="en-US" w:eastAsia="zh-CN" w:bidi="ar-SA"/>
              </w:rPr>
            </w:pPr>
            <w:r>
              <w:rPr>
                <w:rFonts w:hint="eastAsia" w:ascii="宋体" w:hAnsi="宋体" w:eastAsia="宋体" w:cs="宋体"/>
                <w:color w:val="auto"/>
                <w:spacing w:val="0"/>
                <w:w w:val="100"/>
                <w:kern w:val="2"/>
                <w:position w:val="0"/>
                <w:sz w:val="21"/>
                <w:szCs w:val="21"/>
                <w:u w:val="none"/>
                <w:shd w:val="clear"/>
                <w:vertAlign w:val="baseline"/>
                <w:lang w:val="en-US" w:eastAsia="zh-CN" w:bidi="ar-SA"/>
              </w:rPr>
              <w:t>投标人须提供与投标产品相符合的医疗器械经营许可证或备案凭证，并在有效期内。</w:t>
            </w:r>
          </w:p>
        </w:tc>
      </w:tr>
      <w:tr w14:paraId="1AB88D8A">
        <w:tblPrEx>
          <w:tblCellMar>
            <w:top w:w="0" w:type="dxa"/>
            <w:left w:w="108" w:type="dxa"/>
            <w:bottom w:w="0" w:type="dxa"/>
            <w:right w:w="108" w:type="dxa"/>
          </w:tblCellMar>
        </w:tblPrEx>
        <w:trPr>
          <w:trHeight w:val="365" w:hRule="atLeast"/>
        </w:trPr>
        <w:tc>
          <w:tcPr>
            <w:tcW w:w="9330"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7E6FD150">
            <w:pPr>
              <w:pStyle w:val="23"/>
              <w:framePr w:wrap="auto" w:vAnchor="margin" w:hAnchor="text" w:yAlign="inline"/>
              <w:bidi w:val="0"/>
              <w:spacing w:line="240" w:lineRule="auto"/>
              <w:ind w:left="0" w:leftChars="0" w:right="0" w:rightChars="0" w:firstLine="0" w:firstLineChars="0"/>
              <w:jc w:val="left"/>
              <w:rPr>
                <w:rFonts w:hint="eastAsia" w:ascii="宋体" w:hAnsi="宋体" w:eastAsia="宋体" w:cs="宋体"/>
                <w:color w:val="000000"/>
                <w:spacing w:val="0"/>
                <w:w w:val="100"/>
                <w:kern w:val="2"/>
                <w:position w:val="0"/>
                <w:sz w:val="28"/>
                <w:szCs w:val="28"/>
                <w:u w:val="none" w:color="000000"/>
                <w:shd w:val="clear" w:color="auto" w:fill="auto"/>
                <w:vertAlign w:val="baseline"/>
                <w:rtl w:val="0"/>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73A9ED1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3462EA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32376B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41D788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68C794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71E7939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2DF994A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71CF81D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7EC6B2F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6D19A7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AB36B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16D2535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DD7D96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314A50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5978</Words>
  <Characters>6988</Characters>
  <Lines>0</Lines>
  <Paragraphs>0</Paragraphs>
  <TotalTime>2</TotalTime>
  <ScaleCrop>false</ScaleCrop>
  <LinksUpToDate>false</LinksUpToDate>
  <CharactersWithSpaces>7292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2026-04-07T02:30:28Z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4D66F30F831D4F09AEE639AB22384375_13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