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69EF7149">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康巴什部预住院中心服务台更换项目</w:t>
      </w:r>
    </w:p>
    <w:p w14:paraId="13F46CBC">
      <w:pPr>
        <w:numPr>
          <w:ilvl w:val="0"/>
          <w:numId w:val="0"/>
        </w:numPr>
        <w:jc w:val="center"/>
        <w:rPr>
          <w:rFonts w:hint="default"/>
          <w:b/>
          <w:bCs/>
          <w:sz w:val="40"/>
          <w:szCs w:val="40"/>
          <w:lang w:val="en-US" w:eastAsia="zh-CN"/>
        </w:rPr>
      </w:pPr>
      <w:r>
        <w:rPr>
          <w:rFonts w:hint="eastAsia"/>
          <w:b/>
          <w:bCs/>
          <w:sz w:val="40"/>
          <w:szCs w:val="40"/>
          <w:lang w:val="en-US" w:eastAsia="zh-CN"/>
        </w:rPr>
        <w:t>2026年4月22日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2133FAFB">
      <w:pPr>
        <w:numPr>
          <w:ilvl w:val="0"/>
          <w:numId w:val="0"/>
        </w:numPr>
        <w:spacing w:line="360" w:lineRule="auto"/>
        <w:jc w:val="left"/>
        <w:rPr>
          <w:rFonts w:hint="eastAsia" w:hAnsi="宋体"/>
          <w:sz w:val="24"/>
          <w:szCs w:val="24"/>
          <w:lang w:val="en-US" w:eastAsia="zh-CN"/>
        </w:rPr>
      </w:pPr>
    </w:p>
    <w:p w14:paraId="55B581E2">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p w14:paraId="5E707AFD">
      <w:pPr>
        <w:rPr>
          <w:rFonts w:hint="eastAsia" w:hAnsi="宋体"/>
          <w:sz w:val="24"/>
          <w:szCs w:val="24"/>
          <w:lang w:val="en-US" w:eastAsia="zh-CN"/>
        </w:rPr>
      </w:pPr>
      <w:r>
        <w:rPr>
          <w:rFonts w:hint="eastAsia" w:hAnsi="宋体"/>
          <w:sz w:val="24"/>
          <w:szCs w:val="24"/>
          <w:lang w:val="en-US" w:eastAsia="zh-CN"/>
        </w:rPr>
        <w:t xml:space="preserve"> </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rPr>
                <w:rFonts w:hint="eastAsia" w:ascii="宋体" w:hAnsi="宋体" w:eastAsia="宋体" w:cs="宋体"/>
                <w:sz w:val="28"/>
                <w:szCs w:val="28"/>
              </w:rPr>
            </w:pPr>
            <w:r>
              <w:rPr>
                <w:rFonts w:hint="eastAsia" w:ascii="宋体" w:hAnsi="宋体" w:eastAsia="宋体" w:cs="宋体"/>
                <w:sz w:val="28"/>
                <w:szCs w:val="28"/>
              </w:rPr>
              <w:t>序号</w:t>
            </w:r>
          </w:p>
        </w:tc>
        <w:tc>
          <w:tcPr>
            <w:tcW w:w="2865" w:type="dxa"/>
            <w:vAlign w:val="center"/>
          </w:tcPr>
          <w:p w14:paraId="3E37CC33">
            <w:pPr>
              <w:rPr>
                <w:rFonts w:hint="eastAsia" w:ascii="宋体" w:hAnsi="宋体" w:eastAsia="宋体" w:cs="宋体"/>
                <w:sz w:val="28"/>
                <w:szCs w:val="28"/>
              </w:rPr>
            </w:pPr>
            <w:r>
              <w:rPr>
                <w:rFonts w:hint="eastAsia" w:ascii="宋体" w:hAnsi="宋体" w:eastAsia="宋体" w:cs="宋体"/>
                <w:sz w:val="28"/>
                <w:szCs w:val="28"/>
              </w:rPr>
              <w:t>名称</w:t>
            </w:r>
          </w:p>
        </w:tc>
        <w:tc>
          <w:tcPr>
            <w:tcW w:w="903" w:type="dxa"/>
            <w:vAlign w:val="center"/>
          </w:tcPr>
          <w:p w14:paraId="07310B12">
            <w:pPr>
              <w:rPr>
                <w:rFonts w:hint="eastAsia" w:ascii="宋体" w:hAnsi="宋体" w:eastAsia="宋体" w:cs="宋体"/>
                <w:sz w:val="28"/>
                <w:szCs w:val="28"/>
              </w:rPr>
            </w:pPr>
            <w:r>
              <w:rPr>
                <w:rFonts w:hint="eastAsia" w:ascii="宋体" w:hAnsi="宋体" w:eastAsia="宋体" w:cs="宋体"/>
                <w:sz w:val="28"/>
                <w:szCs w:val="28"/>
              </w:rPr>
              <w:t>单位</w:t>
            </w:r>
          </w:p>
        </w:tc>
        <w:tc>
          <w:tcPr>
            <w:tcW w:w="826" w:type="dxa"/>
            <w:vAlign w:val="center"/>
          </w:tcPr>
          <w:p w14:paraId="20208E75">
            <w:pPr>
              <w:rPr>
                <w:rFonts w:hint="eastAsia" w:ascii="宋体" w:hAnsi="宋体" w:eastAsia="宋体" w:cs="宋体"/>
                <w:sz w:val="28"/>
                <w:szCs w:val="28"/>
              </w:rPr>
            </w:pPr>
            <w:r>
              <w:rPr>
                <w:rFonts w:hint="eastAsia" w:ascii="宋体" w:hAnsi="宋体" w:eastAsia="宋体" w:cs="宋体"/>
                <w:sz w:val="28"/>
                <w:szCs w:val="28"/>
              </w:rPr>
              <w:t>数量</w:t>
            </w:r>
          </w:p>
        </w:tc>
        <w:tc>
          <w:tcPr>
            <w:tcW w:w="1338" w:type="dxa"/>
            <w:vAlign w:val="center"/>
          </w:tcPr>
          <w:p w14:paraId="4C60CD53">
            <w:pPr>
              <w:rPr>
                <w:rFonts w:hint="eastAsia" w:ascii="宋体" w:hAnsi="宋体" w:eastAsia="宋体" w:cs="宋体"/>
                <w:sz w:val="28"/>
                <w:szCs w:val="28"/>
              </w:rPr>
            </w:pPr>
            <w:r>
              <w:rPr>
                <w:rFonts w:hint="eastAsia" w:ascii="宋体" w:hAnsi="宋体" w:eastAsia="宋体" w:cs="宋体"/>
                <w:sz w:val="28"/>
                <w:szCs w:val="28"/>
              </w:rPr>
              <w:t>预算单价</w:t>
            </w:r>
          </w:p>
        </w:tc>
        <w:tc>
          <w:tcPr>
            <w:tcW w:w="1596" w:type="dxa"/>
            <w:vAlign w:val="center"/>
          </w:tcPr>
          <w:p w14:paraId="14356791">
            <w:pPr>
              <w:rPr>
                <w:rFonts w:hint="eastAsia" w:ascii="宋体" w:hAnsi="宋体" w:eastAsia="宋体" w:cs="宋体"/>
                <w:sz w:val="28"/>
                <w:szCs w:val="28"/>
              </w:rPr>
            </w:pPr>
            <w:r>
              <w:rPr>
                <w:rFonts w:hint="eastAsia" w:ascii="宋体" w:hAnsi="宋体" w:eastAsia="宋体" w:cs="宋体"/>
                <w:sz w:val="28"/>
                <w:szCs w:val="28"/>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sz w:val="28"/>
                <w:szCs w:val="28"/>
              </w:rPr>
            </w:pPr>
            <w:r>
              <w:rPr>
                <w:rFonts w:hint="eastAsia" w:ascii="宋体" w:hAnsi="宋体" w:eastAsia="宋体" w:cs="宋体"/>
                <w:sz w:val="28"/>
                <w:szCs w:val="28"/>
              </w:rPr>
              <w:t>1</w:t>
            </w:r>
          </w:p>
        </w:tc>
        <w:tc>
          <w:tcPr>
            <w:tcW w:w="2865" w:type="dxa"/>
            <w:vAlign w:val="center"/>
          </w:tcPr>
          <w:p w14:paraId="76F16622">
            <w:pPr>
              <w:rPr>
                <w:rFonts w:hint="default" w:ascii="宋体" w:hAnsi="宋体" w:eastAsia="宋体" w:cs="宋体"/>
                <w:sz w:val="22"/>
                <w:szCs w:val="22"/>
                <w:lang w:val="en-US" w:eastAsia="zh-CN"/>
              </w:rPr>
            </w:pPr>
            <w:r>
              <w:rPr>
                <w:rFonts w:hint="eastAsia" w:ascii="宋体" w:hAnsi="宋体" w:eastAsia="宋体" w:cs="宋体"/>
                <w:sz w:val="28"/>
                <w:szCs w:val="28"/>
                <w:lang w:val="en-US" w:eastAsia="zh-CN"/>
              </w:rPr>
              <w:t>康巴什部预住院中心服务台更换项目</w:t>
            </w:r>
          </w:p>
        </w:tc>
        <w:tc>
          <w:tcPr>
            <w:tcW w:w="903" w:type="dxa"/>
            <w:vAlign w:val="center"/>
          </w:tcPr>
          <w:p w14:paraId="569A970B">
            <w:pPr>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项</w:t>
            </w:r>
          </w:p>
        </w:tc>
        <w:tc>
          <w:tcPr>
            <w:tcW w:w="826" w:type="dxa"/>
            <w:vAlign w:val="center"/>
          </w:tcPr>
          <w:p w14:paraId="535899AF">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338" w:type="dxa"/>
            <w:vAlign w:val="center"/>
          </w:tcPr>
          <w:p w14:paraId="70A9229F">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123000</w:t>
            </w:r>
          </w:p>
        </w:tc>
        <w:tc>
          <w:tcPr>
            <w:tcW w:w="1596" w:type="dxa"/>
            <w:vAlign w:val="center"/>
          </w:tcPr>
          <w:p w14:paraId="1D45D755">
            <w:pPr>
              <w:rPr>
                <w:rFonts w:hint="default" w:ascii="宋体" w:hAnsi="宋体" w:eastAsia="宋体" w:cs="宋体"/>
                <w:sz w:val="28"/>
                <w:szCs w:val="28"/>
                <w:lang w:val="en-US"/>
              </w:rPr>
            </w:pPr>
            <w:r>
              <w:rPr>
                <w:rFonts w:hint="eastAsia" w:ascii="宋体" w:hAnsi="宋体" w:eastAsia="宋体" w:cs="宋体"/>
                <w:sz w:val="28"/>
                <w:szCs w:val="28"/>
                <w:lang w:val="en-US" w:eastAsia="zh-CN"/>
              </w:rPr>
              <w:t>123000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2D96DA2">
            <w:pPr>
              <w:rPr>
                <w:rFonts w:hint="eastAsia" w:ascii="宋体" w:hAnsi="宋体" w:eastAsia="宋体" w:cs="宋体"/>
                <w:sz w:val="28"/>
                <w:szCs w:val="28"/>
              </w:rPr>
            </w:pPr>
          </w:p>
        </w:tc>
        <w:tc>
          <w:tcPr>
            <w:tcW w:w="5932" w:type="dxa"/>
            <w:gridSpan w:val="4"/>
            <w:vAlign w:val="center"/>
          </w:tcPr>
          <w:p w14:paraId="1341120E">
            <w:pPr>
              <w:ind w:firstLine="2800" w:firstLineChars="10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总价合计</w:t>
            </w:r>
          </w:p>
        </w:tc>
        <w:tc>
          <w:tcPr>
            <w:tcW w:w="1596" w:type="dxa"/>
            <w:vAlign w:val="center"/>
          </w:tcPr>
          <w:p w14:paraId="1CE8AE64">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123000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2865" w:type="dxa"/>
            <w:vAlign w:val="center"/>
          </w:tcPr>
          <w:p w14:paraId="22284404">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工期</w:t>
            </w:r>
          </w:p>
        </w:tc>
        <w:tc>
          <w:tcPr>
            <w:tcW w:w="4663" w:type="dxa"/>
            <w:gridSpan w:val="4"/>
            <w:vAlign w:val="center"/>
          </w:tcPr>
          <w:p w14:paraId="72174209">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合同签订后25日内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p>
        </w:tc>
        <w:tc>
          <w:tcPr>
            <w:tcW w:w="2865" w:type="dxa"/>
            <w:vAlign w:val="center"/>
          </w:tcPr>
          <w:p w14:paraId="794A2943">
            <w:pPr>
              <w:rPr>
                <w:rFonts w:hint="default" w:ascii="宋体" w:hAnsi="宋体" w:eastAsia="宋体" w:cs="宋体"/>
                <w:sz w:val="28"/>
                <w:szCs w:val="28"/>
                <w:lang w:val="en-US"/>
              </w:rPr>
            </w:pPr>
            <w:r>
              <w:rPr>
                <w:rFonts w:hint="eastAsia" w:ascii="宋体" w:hAnsi="宋体" w:eastAsia="宋体" w:cs="宋体"/>
                <w:sz w:val="28"/>
                <w:szCs w:val="28"/>
                <w:lang w:val="en-US" w:eastAsia="zh-CN"/>
              </w:rPr>
              <w:t>进场时间</w:t>
            </w:r>
            <w:bookmarkStart w:id="1" w:name="_GoBack"/>
            <w:bookmarkEnd w:id="1"/>
          </w:p>
        </w:tc>
        <w:tc>
          <w:tcPr>
            <w:tcW w:w="4663" w:type="dxa"/>
            <w:gridSpan w:val="4"/>
            <w:vAlign w:val="center"/>
          </w:tcPr>
          <w:p w14:paraId="56B9AF71">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合同签订后1日内</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p>
        </w:tc>
        <w:tc>
          <w:tcPr>
            <w:tcW w:w="2865" w:type="dxa"/>
            <w:vAlign w:val="center"/>
          </w:tcPr>
          <w:p w14:paraId="01AB15DF">
            <w:pPr>
              <w:rPr>
                <w:rFonts w:hint="eastAsia" w:ascii="宋体" w:hAnsi="宋体" w:eastAsia="宋体" w:cs="宋体"/>
                <w:sz w:val="28"/>
                <w:szCs w:val="28"/>
              </w:rPr>
            </w:pPr>
            <w:r>
              <w:rPr>
                <w:rFonts w:hint="eastAsia" w:ascii="宋体" w:hAnsi="宋体" w:eastAsia="宋体" w:cs="宋体"/>
                <w:sz w:val="28"/>
                <w:szCs w:val="28"/>
              </w:rPr>
              <w:t>付款方式</w:t>
            </w:r>
          </w:p>
        </w:tc>
        <w:tc>
          <w:tcPr>
            <w:tcW w:w="4663" w:type="dxa"/>
            <w:gridSpan w:val="4"/>
            <w:vAlign w:val="center"/>
          </w:tcPr>
          <w:p w14:paraId="06580548">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验收合格后支付审计审定金额的100%</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2865" w:type="dxa"/>
            <w:vAlign w:val="center"/>
          </w:tcPr>
          <w:p w14:paraId="4D36D1A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质保期</w:t>
            </w:r>
          </w:p>
        </w:tc>
        <w:tc>
          <w:tcPr>
            <w:tcW w:w="4663" w:type="dxa"/>
            <w:gridSpan w:val="4"/>
            <w:vAlign w:val="center"/>
          </w:tcPr>
          <w:p w14:paraId="53BBDC35">
            <w:p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一年（验收之日算起，发生质量问题后从问题解决后重新计算）</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p>
        </w:tc>
        <w:tc>
          <w:tcPr>
            <w:tcW w:w="2865" w:type="dxa"/>
            <w:vAlign w:val="center"/>
          </w:tcPr>
          <w:p w14:paraId="2FD57B8A">
            <w:pPr>
              <w:rPr>
                <w:rFonts w:hint="eastAsia" w:ascii="宋体" w:hAnsi="宋体" w:eastAsia="宋体" w:cs="宋体"/>
                <w:sz w:val="28"/>
                <w:szCs w:val="28"/>
              </w:rPr>
            </w:pPr>
            <w:r>
              <w:rPr>
                <w:rFonts w:hint="eastAsia" w:ascii="宋体" w:hAnsi="宋体" w:eastAsia="宋体" w:cs="宋体"/>
                <w:sz w:val="28"/>
                <w:szCs w:val="28"/>
              </w:rPr>
              <w:t>交付地点</w:t>
            </w:r>
          </w:p>
        </w:tc>
        <w:tc>
          <w:tcPr>
            <w:tcW w:w="4663" w:type="dxa"/>
            <w:gridSpan w:val="4"/>
            <w:vAlign w:val="center"/>
          </w:tcPr>
          <w:p w14:paraId="4B29C0FC">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鄂尔多斯市中心医院康巴什部</w:t>
            </w:r>
          </w:p>
        </w:tc>
      </w:tr>
      <w:tr w14:paraId="0BE9C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0626D394">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865" w:type="dxa"/>
            <w:vAlign w:val="center"/>
          </w:tcPr>
          <w:p w14:paraId="77C2F3D6">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资质要求</w:t>
            </w:r>
          </w:p>
        </w:tc>
        <w:tc>
          <w:tcPr>
            <w:tcW w:w="4663" w:type="dxa"/>
            <w:gridSpan w:val="4"/>
            <w:vAlign w:val="center"/>
          </w:tcPr>
          <w:p w14:paraId="4540690F">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无</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43EB06DD">
      <w:pPr>
        <w:spacing w:line="360" w:lineRule="auto"/>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rPr>
        <w:t>）项目基本情况介绍：依据医院康巴什部整体发展规划，门诊二楼</w:t>
      </w:r>
      <w:r>
        <w:rPr>
          <w:rFonts w:hint="eastAsia" w:ascii="仿宋" w:hAnsi="仿宋" w:eastAsia="仿宋" w:cs="仿宋"/>
          <w:b w:val="0"/>
          <w:bCs w:val="0"/>
          <w:sz w:val="32"/>
          <w:szCs w:val="32"/>
          <w:lang w:eastAsia="zh-CN"/>
        </w:rPr>
        <w:t>原</w:t>
      </w:r>
      <w:r>
        <w:rPr>
          <w:rFonts w:hint="eastAsia" w:ascii="仿宋" w:hAnsi="仿宋" w:eastAsia="仿宋" w:cs="仿宋"/>
          <w:b w:val="0"/>
          <w:bCs w:val="0"/>
          <w:sz w:val="32"/>
          <w:szCs w:val="32"/>
        </w:rPr>
        <w:t>收费窗口改为预住院中心</w:t>
      </w:r>
      <w:r>
        <w:rPr>
          <w:rFonts w:hint="eastAsia" w:ascii="仿宋" w:hAnsi="仿宋" w:eastAsia="仿宋" w:cs="仿宋"/>
          <w:b w:val="0"/>
          <w:bCs w:val="0"/>
          <w:sz w:val="32"/>
          <w:szCs w:val="32"/>
          <w:lang w:eastAsia="zh-CN"/>
        </w:rPr>
        <w:t>预约窗口</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现对预约窗口和</w:t>
      </w:r>
      <w:r>
        <w:rPr>
          <w:rFonts w:hint="eastAsia" w:ascii="仿宋" w:hAnsi="仿宋" w:eastAsia="仿宋" w:cs="仿宋"/>
          <w:b w:val="0"/>
          <w:bCs w:val="0"/>
          <w:sz w:val="32"/>
          <w:szCs w:val="32"/>
        </w:rPr>
        <w:t>中药房取药窗口</w:t>
      </w:r>
      <w:r>
        <w:rPr>
          <w:rFonts w:hint="eastAsia" w:ascii="仿宋" w:hAnsi="仿宋" w:eastAsia="仿宋" w:cs="仿宋"/>
          <w:b w:val="0"/>
          <w:bCs w:val="0"/>
          <w:sz w:val="32"/>
          <w:szCs w:val="32"/>
          <w:lang w:eastAsia="zh-CN"/>
        </w:rPr>
        <w:t>整体更换</w:t>
      </w:r>
      <w:r>
        <w:rPr>
          <w:rFonts w:hint="eastAsia" w:ascii="仿宋" w:hAnsi="仿宋" w:eastAsia="仿宋" w:cs="仿宋"/>
          <w:b w:val="0"/>
          <w:bCs w:val="0"/>
          <w:sz w:val="32"/>
          <w:szCs w:val="32"/>
        </w:rPr>
        <w:t>低位服务台</w:t>
      </w:r>
      <w:r>
        <w:rPr>
          <w:rFonts w:hint="eastAsia" w:ascii="仿宋" w:hAnsi="仿宋" w:eastAsia="仿宋" w:cs="仿宋"/>
          <w:b w:val="0"/>
          <w:bCs w:val="0"/>
          <w:sz w:val="32"/>
          <w:szCs w:val="32"/>
          <w:lang w:eastAsia="zh-CN"/>
        </w:rPr>
        <w:t>及</w:t>
      </w:r>
      <w:r>
        <w:rPr>
          <w:rFonts w:hint="eastAsia" w:ascii="仿宋" w:hAnsi="仿宋" w:eastAsia="仿宋" w:cs="仿宋"/>
          <w:b w:val="0"/>
          <w:bCs w:val="0"/>
          <w:sz w:val="32"/>
          <w:szCs w:val="32"/>
        </w:rPr>
        <w:t>自动升降玻璃</w:t>
      </w:r>
      <w:r>
        <w:rPr>
          <w:rFonts w:hint="eastAsia" w:ascii="仿宋" w:hAnsi="仿宋" w:eastAsia="仿宋" w:cs="仿宋"/>
          <w:b w:val="0"/>
          <w:bCs w:val="0"/>
          <w:sz w:val="32"/>
          <w:szCs w:val="32"/>
          <w:lang w:eastAsia="zh-CN"/>
        </w:rPr>
        <w:t>，同时</w:t>
      </w:r>
      <w:r>
        <w:rPr>
          <w:rFonts w:hint="eastAsia" w:ascii="仿宋" w:hAnsi="仿宋" w:eastAsia="仿宋" w:cs="仿宋"/>
          <w:b w:val="0"/>
          <w:bCs w:val="0"/>
          <w:sz w:val="32"/>
          <w:szCs w:val="32"/>
        </w:rPr>
        <w:t>对以上区域内墙</w:t>
      </w:r>
      <w:r>
        <w:rPr>
          <w:rFonts w:hint="eastAsia" w:ascii="仿宋" w:hAnsi="仿宋" w:eastAsia="仿宋" w:cs="仿宋"/>
          <w:b w:val="0"/>
          <w:bCs w:val="0"/>
          <w:sz w:val="32"/>
          <w:szCs w:val="32"/>
          <w:lang w:eastAsia="zh-CN"/>
        </w:rPr>
        <w:t>面</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地面</w:t>
      </w:r>
      <w:r>
        <w:rPr>
          <w:rFonts w:hint="eastAsia" w:ascii="仿宋" w:hAnsi="仿宋" w:eastAsia="仿宋" w:cs="仿宋"/>
          <w:b w:val="0"/>
          <w:bCs w:val="0"/>
          <w:sz w:val="32"/>
          <w:szCs w:val="32"/>
        </w:rPr>
        <w:t>修缮。</w:t>
      </w:r>
    </w:p>
    <w:p w14:paraId="63758C75">
      <w:pPr>
        <w:spacing w:line="360" w:lineRule="auto"/>
        <w:jc w:val="left"/>
        <w:rPr>
          <w:rFonts w:hint="eastAsia" w:ascii="仿宋" w:hAnsi="仿宋" w:eastAsia="仿宋" w:cs="仿宋"/>
          <w:b w:val="0"/>
          <w:bCs w:val="0"/>
          <w:sz w:val="32"/>
          <w:szCs w:val="32"/>
          <w:u w:val="single"/>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rPr>
        <w:t>）技术参数和要求（功能和质量）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4BB91D3C">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A5DA77F">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174DFC81">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09B24323">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技术参数和要求</w:t>
            </w:r>
          </w:p>
        </w:tc>
      </w:tr>
      <w:tr w14:paraId="761E9643">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F7FDD8F">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2B55A04C">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1</w:t>
            </w:r>
          </w:p>
        </w:tc>
        <w:tc>
          <w:tcPr>
            <w:tcW w:w="7121" w:type="dxa"/>
            <w:tcBorders>
              <w:top w:val="single" w:color="auto" w:sz="4" w:space="0"/>
              <w:left w:val="nil"/>
              <w:bottom w:val="single" w:color="auto" w:sz="4" w:space="0"/>
              <w:right w:val="single" w:color="auto" w:sz="4" w:space="0"/>
            </w:tcBorders>
            <w:vAlign w:val="center"/>
          </w:tcPr>
          <w:p w14:paraId="3C58C219">
            <w:pPr>
              <w:widowControl/>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拆除工程：原有部分</w:t>
            </w:r>
            <w:r>
              <w:rPr>
                <w:rFonts w:hint="eastAsia" w:ascii="仿宋_GB2312" w:hAnsi="仿宋_GB2312" w:eastAsia="仿宋_GB2312" w:cs="仿宋_GB2312"/>
                <w:b w:val="0"/>
                <w:bCs w:val="0"/>
                <w:sz w:val="28"/>
                <w:szCs w:val="28"/>
                <w:lang w:eastAsia="zh-CN"/>
              </w:rPr>
              <w:t>窗口</w:t>
            </w:r>
            <w:r>
              <w:rPr>
                <w:rFonts w:hint="eastAsia" w:ascii="仿宋_GB2312" w:hAnsi="仿宋_GB2312" w:eastAsia="仿宋_GB2312" w:cs="仿宋_GB2312"/>
                <w:b w:val="0"/>
                <w:bCs w:val="0"/>
                <w:sz w:val="28"/>
                <w:szCs w:val="28"/>
              </w:rPr>
              <w:t>、原有线路、</w:t>
            </w:r>
            <w:r>
              <w:rPr>
                <w:rFonts w:hint="eastAsia" w:ascii="仿宋_GB2312" w:hAnsi="仿宋_GB2312" w:eastAsia="仿宋_GB2312" w:cs="仿宋_GB2312"/>
                <w:b w:val="0"/>
                <w:bCs w:val="0"/>
                <w:sz w:val="28"/>
                <w:szCs w:val="28"/>
                <w:lang w:eastAsia="zh-CN"/>
              </w:rPr>
              <w:t>强</w:t>
            </w:r>
            <w:r>
              <w:rPr>
                <w:rFonts w:hint="eastAsia" w:ascii="仿宋_GB2312" w:hAnsi="仿宋_GB2312" w:eastAsia="仿宋_GB2312" w:cs="仿宋_GB2312"/>
                <w:b w:val="0"/>
                <w:bCs w:val="0"/>
                <w:sz w:val="28"/>
                <w:szCs w:val="28"/>
              </w:rPr>
              <w:t>弱电设备等。</w:t>
            </w:r>
            <w:r>
              <w:rPr>
                <w:rFonts w:hint="eastAsia" w:ascii="仿宋_GB2312" w:hAnsi="仿宋_GB2312" w:eastAsia="仿宋_GB2312" w:cs="仿宋_GB2312"/>
                <w:b/>
                <w:bCs/>
                <w:sz w:val="28"/>
                <w:szCs w:val="28"/>
                <w:lang w:eastAsia="zh-CN"/>
              </w:rPr>
              <w:t>原有无线</w:t>
            </w:r>
            <w:r>
              <w:rPr>
                <w:rFonts w:hint="eastAsia" w:ascii="仿宋_GB2312" w:hAnsi="仿宋_GB2312" w:eastAsia="仿宋_GB2312" w:cs="仿宋_GB2312"/>
                <w:b/>
                <w:bCs/>
                <w:sz w:val="28"/>
                <w:szCs w:val="28"/>
                <w:lang w:val="en-US" w:eastAsia="zh-CN"/>
              </w:rPr>
              <w:t>ap，导航定位终端，部分消防终端等需保护性拆除并恢复安装。</w:t>
            </w:r>
          </w:p>
        </w:tc>
      </w:tr>
      <w:tr w14:paraId="3902834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A159531">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2FF42A4C">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2</w:t>
            </w:r>
          </w:p>
        </w:tc>
        <w:tc>
          <w:tcPr>
            <w:tcW w:w="7121" w:type="dxa"/>
            <w:tcBorders>
              <w:top w:val="single" w:color="auto" w:sz="4" w:space="0"/>
              <w:left w:val="nil"/>
              <w:bottom w:val="single" w:color="auto" w:sz="4" w:space="0"/>
              <w:right w:val="single" w:color="auto" w:sz="4" w:space="0"/>
            </w:tcBorders>
            <w:vAlign w:val="center"/>
          </w:tcPr>
          <w:p w14:paraId="45BBF2DD">
            <w:pPr>
              <w:pStyle w:val="13"/>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装修工程：龙骨石膏板墙面</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墙面修补刮白滚涂料处理；墙面装饰、吊顶、地面铺装等都需要满足科室要求。</w:t>
            </w:r>
          </w:p>
          <w:p w14:paraId="4A6B4C5E">
            <w:pPr>
              <w:pStyle w:val="13"/>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所用涂料要求：施工刷涂2道漆，低温稳定性3次循环不变质，耐碱性24h无异常，耐洗刷性≥500次，甲醛含量≤50mg/kg，干燥时间（表干）≤2h，低温5℃成膜无异常。材料于立邦、嘉宝莉、紫金花、三棵树品牌产品选一。拟选用涂料参数提供检测报告。</w:t>
            </w:r>
          </w:p>
        </w:tc>
      </w:tr>
      <w:tr w14:paraId="3FCFC16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493E4EF">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0B6D437E">
            <w:pPr>
              <w:widowControl/>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3</w:t>
            </w:r>
          </w:p>
        </w:tc>
        <w:tc>
          <w:tcPr>
            <w:tcW w:w="7121" w:type="dxa"/>
            <w:tcBorders>
              <w:top w:val="single" w:color="auto" w:sz="4" w:space="0"/>
              <w:left w:val="nil"/>
              <w:bottom w:val="single" w:color="auto" w:sz="4" w:space="0"/>
              <w:right w:val="single" w:color="auto" w:sz="4" w:space="0"/>
            </w:tcBorders>
            <w:vAlign w:val="center"/>
          </w:tcPr>
          <w:p w14:paraId="541E273C">
            <w:pPr>
              <w:pStyle w:val="13"/>
              <w:ind w:left="0" w:lef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安装工程：消防点位调整、强弱电基础配线、开关、照明、监控、上下水改造等。</w:t>
            </w:r>
          </w:p>
        </w:tc>
      </w:tr>
      <w:tr w14:paraId="0C422D7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87B0C2E">
            <w:pPr>
              <w:widowControl/>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387A140D">
            <w:pPr>
              <w:widowControl/>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4D3E9F5D">
            <w:pPr>
              <w:pStyle w:val="13"/>
              <w:ind w:left="0" w:leftChars="0" w:firstLine="0" w:firstLineChars="0"/>
              <w:jc w:val="left"/>
              <w:rPr>
                <w:rFonts w:hint="default" w:ascii="仿宋_GB2312" w:hAnsi="仿宋_GB2312" w:eastAsia="仿宋_GB2312" w:cs="仿宋_GB2312"/>
                <w:b w:val="0"/>
                <w:bCs w:val="0"/>
                <w:sz w:val="28"/>
                <w:szCs w:val="28"/>
                <w:lang w:val="en-US"/>
              </w:rPr>
            </w:pPr>
            <w:r>
              <w:rPr>
                <w:rFonts w:hint="eastAsia" w:ascii="仿宋_GB2312" w:hAnsi="仿宋_GB2312" w:eastAsia="仿宋_GB2312" w:cs="仿宋_GB2312"/>
                <w:sz w:val="28"/>
                <w:szCs w:val="28"/>
                <w:lang w:val="en-US" w:eastAsia="zh-CN"/>
              </w:rPr>
              <w:t>现场装修、设施等保护及防护、材料运输及装卸上楼垃圾倒运下楼及运输出场、卫生清洁（包含施工后地面、墙面、顶面、玻璃清洁）以上项目未有独立项目款项报价，报价及施工时综合考虑。</w:t>
            </w:r>
          </w:p>
        </w:tc>
      </w:tr>
      <w:tr w14:paraId="102E1D2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9A59D57">
            <w:pPr>
              <w:widowControl/>
              <w:spacing w:line="240" w:lineRule="auto"/>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15FDB1E9">
            <w:pPr>
              <w:pStyle w:val="17"/>
              <w:widowControl/>
              <w:numPr>
                <w:ilvl w:val="0"/>
                <w:numId w:val="0"/>
              </w:numPr>
              <w:spacing w:line="240" w:lineRule="auto"/>
              <w:ind w:left="0" w:leftChars="0" w:firstLine="0" w:firstLineChars="0"/>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25E47FF4">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highlight w:val="none"/>
                <w:lang w:eastAsia="zh-CN"/>
              </w:rPr>
              <w:t>人造石：</w:t>
            </w:r>
            <w:r>
              <w:rPr>
                <w:rFonts w:hint="eastAsia" w:ascii="仿宋_GB2312" w:hAnsi="仿宋_GB2312" w:eastAsia="仿宋_GB2312" w:cs="仿宋_GB2312"/>
                <w:b w:val="0"/>
                <w:bCs w:val="0"/>
                <w:sz w:val="28"/>
                <w:szCs w:val="28"/>
                <w:highlight w:val="none"/>
                <w:lang w:eastAsia="zh-CN"/>
              </w:rPr>
              <w:t>提供</w:t>
            </w:r>
            <w:r>
              <w:rPr>
                <w:rFonts w:hint="eastAsia" w:ascii="仿宋_GB2312" w:hAnsi="仿宋_GB2312" w:eastAsia="仿宋_GB2312" w:cs="仿宋_GB2312"/>
                <w:sz w:val="28"/>
                <w:szCs w:val="28"/>
              </w:rPr>
              <w:t xml:space="preserve">有效的质量检测部门出具的带CNAS </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CMA 标识的</w:t>
            </w:r>
            <w:r>
              <w:rPr>
                <w:rFonts w:hint="eastAsia" w:ascii="仿宋_GB2312" w:hAnsi="仿宋_GB2312" w:eastAsia="仿宋_GB2312" w:cs="仿宋_GB2312"/>
                <w:sz w:val="28"/>
                <w:szCs w:val="28"/>
                <w:lang w:val="en-US" w:eastAsia="zh-CN"/>
              </w:rPr>
              <w:t>抽检</w:t>
            </w:r>
            <w:r>
              <w:rPr>
                <w:rFonts w:hint="eastAsia" w:ascii="仿宋_GB2312" w:hAnsi="仿宋_GB2312" w:eastAsia="仿宋_GB2312" w:cs="仿宋_GB2312"/>
                <w:sz w:val="28"/>
                <w:szCs w:val="28"/>
              </w:rPr>
              <w:t>检测报告。</w:t>
            </w:r>
          </w:p>
        </w:tc>
      </w:tr>
      <w:tr w14:paraId="1CF3A36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0E1BB22">
            <w:pPr>
              <w:widowControl/>
              <w:spacing w:line="240" w:lineRule="auto"/>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0A5DA7D4">
            <w:pPr>
              <w:pStyle w:val="17"/>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5.1</w:t>
            </w:r>
          </w:p>
        </w:tc>
        <w:tc>
          <w:tcPr>
            <w:tcW w:w="7121" w:type="dxa"/>
            <w:tcBorders>
              <w:top w:val="single" w:color="auto" w:sz="4" w:space="0"/>
              <w:left w:val="nil"/>
              <w:bottom w:val="single" w:color="auto" w:sz="4" w:space="0"/>
              <w:right w:val="single" w:color="auto" w:sz="4" w:space="0"/>
            </w:tcBorders>
            <w:vAlign w:val="center"/>
          </w:tcPr>
          <w:p w14:paraId="4787049F">
            <w:pPr>
              <w:numPr>
                <w:ilvl w:val="0"/>
                <w:numId w:val="2"/>
              </w:numPr>
              <w:snapToGrid w:val="0"/>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符合GB/T 24128-2018 《塑料防霉性能试验方法》，对黑曲霉、链格孢、出芽短梗霉、绿色木霉、宛氏拟青霉、桔青霉等不低于15种常见霉菌防霉等级不低于0级。</w:t>
            </w:r>
          </w:p>
        </w:tc>
      </w:tr>
      <w:tr w14:paraId="75E6E61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8FA197E">
            <w:pPr>
              <w:widowControl/>
              <w:spacing w:line="240" w:lineRule="auto"/>
              <w:jc w:val="center"/>
              <w:rPr>
                <w:rFonts w:hint="eastAsia" w:ascii="仿宋" w:hAnsi="仿宋" w:eastAsia="仿宋" w:cs="仿宋"/>
                <w:b w:val="0"/>
                <w:bCs w:val="0"/>
                <w:sz w:val="32"/>
                <w:szCs w:val="32"/>
              </w:rPr>
            </w:pPr>
            <w:r>
              <w:rPr>
                <w:rFonts w:ascii="Segoe UI Symbol" w:hAnsi="Segoe UI Symbol" w:cs="Segoe UI Symbol" w:eastAsiaTheme="majorEastAsia"/>
                <w:bCs/>
                <w:color w:val="000000"/>
                <w:sz w:val="22"/>
              </w:rPr>
              <w:t>★</w:t>
            </w:r>
          </w:p>
        </w:tc>
        <w:tc>
          <w:tcPr>
            <w:tcW w:w="1134" w:type="dxa"/>
            <w:tcBorders>
              <w:top w:val="single" w:color="auto" w:sz="4" w:space="0"/>
              <w:left w:val="nil"/>
              <w:bottom w:val="single" w:color="auto" w:sz="4" w:space="0"/>
              <w:right w:val="single" w:color="auto" w:sz="4" w:space="0"/>
            </w:tcBorders>
            <w:vAlign w:val="center"/>
          </w:tcPr>
          <w:p w14:paraId="116AD539">
            <w:pPr>
              <w:pStyle w:val="17"/>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5.2</w:t>
            </w:r>
          </w:p>
        </w:tc>
        <w:tc>
          <w:tcPr>
            <w:tcW w:w="7121" w:type="dxa"/>
            <w:tcBorders>
              <w:top w:val="single" w:color="auto" w:sz="4" w:space="0"/>
              <w:left w:val="nil"/>
              <w:bottom w:val="single" w:color="auto" w:sz="4" w:space="0"/>
              <w:right w:val="single" w:color="auto" w:sz="4" w:space="0"/>
            </w:tcBorders>
            <w:vAlign w:val="center"/>
          </w:tcPr>
          <w:p w14:paraId="53FAE690">
            <w:pPr>
              <w:snapToGrid w:val="0"/>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符合GB/T 31402-2015 /ISO 22196:2007《塑料 塑料表面抗菌性能试验方法》检测标准，对大肠杆菌、金黄色葡萄球菌、白色葡萄球菌、鲍曼不动杆菌、粘质沙雷伯氏菌、变异库克菌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铜绿假单胞菌、肺炎克雷伯菌、、嗜麦芽窄食单胞菌、变形杆菌、洋葱伯克霍尔德氏菌、链球菌、军团杆菌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白色念珠菌、鼠伤寒沙门氏菌</w:t>
            </w:r>
            <w:r>
              <w:rPr>
                <w:rFonts w:hint="eastAsia" w:ascii="仿宋_GB2312" w:hAnsi="仿宋_GB2312" w:eastAsia="仿宋_GB2312" w:cs="仿宋_GB2312"/>
                <w:sz w:val="28"/>
                <w:szCs w:val="28"/>
                <w:highlight w:val="none"/>
              </w:rPr>
              <w:t>等不低于15种常见菌种的抗菌率≥99.9%。</w:t>
            </w:r>
          </w:p>
        </w:tc>
      </w:tr>
      <w:tr w14:paraId="4A6B88E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9A137F6">
            <w:pPr>
              <w:widowControl/>
              <w:spacing w:line="240" w:lineRule="auto"/>
              <w:jc w:val="center"/>
              <w:rPr>
                <w:rFonts w:hint="eastAsia" w:ascii="仿宋" w:hAnsi="仿宋" w:eastAsia="仿宋" w:cs="仿宋"/>
                <w:b w:val="0"/>
                <w:bCs w:val="0"/>
                <w:sz w:val="32"/>
                <w:szCs w:val="32"/>
              </w:rPr>
            </w:pPr>
            <w:r>
              <w:rPr>
                <w:rFonts w:ascii="Segoe UI Symbol" w:hAnsi="Segoe UI Symbol" w:cs="Segoe UI Symbol" w:eastAsiaTheme="majorEastAsia"/>
                <w:bCs/>
                <w:color w:val="000000"/>
                <w:sz w:val="22"/>
              </w:rPr>
              <w:t>★</w:t>
            </w:r>
          </w:p>
        </w:tc>
        <w:tc>
          <w:tcPr>
            <w:tcW w:w="1134" w:type="dxa"/>
            <w:tcBorders>
              <w:top w:val="single" w:color="auto" w:sz="4" w:space="0"/>
              <w:left w:val="nil"/>
              <w:bottom w:val="single" w:color="auto" w:sz="4" w:space="0"/>
              <w:right w:val="single" w:color="auto" w:sz="4" w:space="0"/>
            </w:tcBorders>
            <w:vAlign w:val="center"/>
          </w:tcPr>
          <w:p w14:paraId="703832ED">
            <w:pPr>
              <w:pStyle w:val="17"/>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5.3</w:t>
            </w:r>
          </w:p>
        </w:tc>
        <w:tc>
          <w:tcPr>
            <w:tcW w:w="7121" w:type="dxa"/>
            <w:tcBorders>
              <w:top w:val="single" w:color="auto" w:sz="4" w:space="0"/>
              <w:left w:val="nil"/>
              <w:bottom w:val="single" w:color="auto" w:sz="4" w:space="0"/>
              <w:right w:val="single" w:color="auto" w:sz="4" w:space="0"/>
            </w:tcBorders>
            <w:vAlign w:val="center"/>
          </w:tcPr>
          <w:p w14:paraId="67548B75">
            <w:pPr>
              <w:snapToGrid w:val="0"/>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巴氏硬度≥</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0；冲击韧性≥</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.0kJ/m²；弯曲性能：a) 弯曲强度≥</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0MPa；b) 弯曲弹性模量≥</w:t>
            </w:r>
            <w:r>
              <w:rPr>
                <w:rFonts w:hint="eastAsia" w:ascii="仿宋_GB2312" w:hAnsi="仿宋_GB2312" w:eastAsia="仿宋_GB2312" w:cs="仿宋_GB2312"/>
                <w:sz w:val="28"/>
                <w:szCs w:val="28"/>
                <w:highlight w:val="none"/>
                <w:lang w:val="en-US" w:eastAsia="zh-CN"/>
              </w:rPr>
              <w:t>4.5</w:t>
            </w:r>
            <w:r>
              <w:rPr>
                <w:rFonts w:hint="eastAsia" w:ascii="仿宋_GB2312" w:hAnsi="仿宋_GB2312" w:eastAsia="仿宋_GB2312" w:cs="仿宋_GB2312"/>
                <w:sz w:val="28"/>
                <w:szCs w:val="28"/>
                <w:highlight w:val="none"/>
              </w:rPr>
              <w:t>GPa；耐磨性≤0.</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g；</w:t>
            </w:r>
          </w:p>
        </w:tc>
      </w:tr>
      <w:tr w14:paraId="79E35D2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6AA0777">
            <w:pPr>
              <w:widowControl/>
              <w:spacing w:line="240" w:lineRule="auto"/>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6698D985">
            <w:pPr>
              <w:pStyle w:val="17"/>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5.4</w:t>
            </w:r>
          </w:p>
        </w:tc>
        <w:tc>
          <w:tcPr>
            <w:tcW w:w="7121" w:type="dxa"/>
            <w:tcBorders>
              <w:top w:val="single" w:color="auto" w:sz="4" w:space="0"/>
              <w:left w:val="nil"/>
              <w:bottom w:val="single" w:color="auto" w:sz="4" w:space="0"/>
              <w:right w:val="single" w:color="auto" w:sz="4" w:space="0"/>
            </w:tcBorders>
            <w:vAlign w:val="center"/>
          </w:tcPr>
          <w:p w14:paraId="6EEF20D5">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耐化学药品性:试样表面应无明显损伤，轻度损伤用600目砂纸轻擦即可除去，损伤程度应不影响板材的使用性，并易恢复至原状。</w:t>
            </w:r>
          </w:p>
        </w:tc>
      </w:tr>
      <w:tr w14:paraId="65C4D8A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1C31962">
            <w:pPr>
              <w:widowControl/>
              <w:spacing w:line="240" w:lineRule="auto"/>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54B514CF">
            <w:pPr>
              <w:pStyle w:val="17"/>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5.5</w:t>
            </w:r>
          </w:p>
        </w:tc>
        <w:tc>
          <w:tcPr>
            <w:tcW w:w="7121" w:type="dxa"/>
            <w:tcBorders>
              <w:top w:val="single" w:color="auto" w:sz="4" w:space="0"/>
              <w:left w:val="nil"/>
              <w:bottom w:val="single" w:color="auto" w:sz="4" w:space="0"/>
              <w:right w:val="single" w:color="auto" w:sz="4" w:space="0"/>
            </w:tcBorders>
            <w:vAlign w:val="center"/>
          </w:tcPr>
          <w:p w14:paraId="7D49E93F">
            <w:pPr>
              <w:snapToGrid w:val="0"/>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表面耐划痕：≥2级（1级最好，5级最差）；</w:t>
            </w:r>
          </w:p>
        </w:tc>
      </w:tr>
      <w:tr w14:paraId="4B5F67D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376218A">
            <w:pPr>
              <w:widowControl/>
              <w:spacing w:line="240" w:lineRule="auto"/>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0D05DE16">
            <w:pPr>
              <w:pStyle w:val="17"/>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5.6</w:t>
            </w:r>
          </w:p>
        </w:tc>
        <w:tc>
          <w:tcPr>
            <w:tcW w:w="7121" w:type="dxa"/>
            <w:tcBorders>
              <w:top w:val="single" w:color="auto" w:sz="4" w:space="0"/>
              <w:left w:val="nil"/>
              <w:bottom w:val="single" w:color="auto" w:sz="4" w:space="0"/>
              <w:right w:val="single" w:color="auto" w:sz="4" w:space="0"/>
            </w:tcBorders>
            <w:vAlign w:val="center"/>
          </w:tcPr>
          <w:p w14:paraId="7D1D631B">
            <w:pPr>
              <w:widowControl/>
              <w:spacing w:line="24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吸水率：≤0.2%；</w:t>
            </w:r>
          </w:p>
        </w:tc>
      </w:tr>
      <w:tr w14:paraId="18D18B5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613A40D">
            <w:pPr>
              <w:widowControl/>
              <w:spacing w:line="240" w:lineRule="auto"/>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3E72F1FA">
            <w:pPr>
              <w:pStyle w:val="17"/>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6</w:t>
            </w:r>
          </w:p>
        </w:tc>
        <w:tc>
          <w:tcPr>
            <w:tcW w:w="7121" w:type="dxa"/>
            <w:tcBorders>
              <w:top w:val="single" w:color="auto" w:sz="4" w:space="0"/>
              <w:left w:val="nil"/>
              <w:bottom w:val="single" w:color="auto" w:sz="4" w:space="0"/>
              <w:right w:val="single" w:color="auto" w:sz="4" w:space="0"/>
            </w:tcBorders>
            <w:vAlign w:val="center"/>
          </w:tcPr>
          <w:p w14:paraId="6E98C484">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highlight w:val="none"/>
              </w:rPr>
              <w:t>电解钢板</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val="0"/>
                <w:bCs w:val="0"/>
                <w:sz w:val="28"/>
                <w:szCs w:val="28"/>
                <w:highlight w:val="none"/>
                <w:lang w:eastAsia="zh-CN"/>
              </w:rPr>
              <w:t>提供</w:t>
            </w:r>
            <w:r>
              <w:rPr>
                <w:rFonts w:hint="eastAsia" w:ascii="仿宋_GB2312" w:hAnsi="仿宋_GB2312" w:eastAsia="仿宋_GB2312" w:cs="仿宋_GB2312"/>
                <w:sz w:val="28"/>
                <w:szCs w:val="28"/>
              </w:rPr>
              <w:t xml:space="preserve">有效的质量检测部门出具的带CNAS </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CMA 标识的</w:t>
            </w:r>
            <w:r>
              <w:rPr>
                <w:rFonts w:hint="eastAsia" w:ascii="仿宋_GB2312" w:hAnsi="仿宋_GB2312" w:eastAsia="仿宋_GB2312" w:cs="仿宋_GB2312"/>
                <w:sz w:val="28"/>
                <w:szCs w:val="28"/>
                <w:lang w:val="en-US" w:eastAsia="zh-CN"/>
              </w:rPr>
              <w:t>抽检</w:t>
            </w:r>
            <w:r>
              <w:rPr>
                <w:rFonts w:hint="eastAsia" w:ascii="仿宋_GB2312" w:hAnsi="仿宋_GB2312" w:eastAsia="仿宋_GB2312" w:cs="仿宋_GB2312"/>
                <w:sz w:val="28"/>
                <w:szCs w:val="28"/>
              </w:rPr>
              <w:t>检测报告。</w:t>
            </w:r>
          </w:p>
        </w:tc>
      </w:tr>
      <w:tr w14:paraId="13FBD9C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624AD9C">
            <w:pPr>
              <w:widowControl/>
              <w:spacing w:line="240" w:lineRule="auto"/>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09854189">
            <w:pPr>
              <w:pStyle w:val="17"/>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6.1</w:t>
            </w:r>
          </w:p>
        </w:tc>
        <w:tc>
          <w:tcPr>
            <w:tcW w:w="7121" w:type="dxa"/>
            <w:tcBorders>
              <w:top w:val="single" w:color="auto" w:sz="4" w:space="0"/>
              <w:left w:val="nil"/>
              <w:bottom w:val="single" w:color="auto" w:sz="4" w:space="0"/>
              <w:right w:val="single" w:color="auto" w:sz="4" w:space="0"/>
            </w:tcBorders>
            <w:vAlign w:val="center"/>
          </w:tcPr>
          <w:p w14:paraId="09B391DF">
            <w:pPr>
              <w:spacing w:after="120"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铜加速乙酸盐雾试验 (</w:t>
            </w:r>
            <w:r>
              <w:rPr>
                <w:rFonts w:hint="eastAsia" w:ascii="仿宋_GB2312" w:hAnsi="仿宋_GB2312" w:eastAsia="仿宋_GB2312" w:cs="仿宋_GB2312"/>
                <w:sz w:val="28"/>
                <w:szCs w:val="28"/>
                <w:highlight w:val="none"/>
                <w:lang w:val="en-US" w:eastAsia="zh-CN"/>
              </w:rPr>
              <w:t>850</w:t>
            </w:r>
            <w:r>
              <w:rPr>
                <w:rFonts w:hint="eastAsia" w:ascii="仿宋_GB2312" w:hAnsi="仿宋_GB2312" w:eastAsia="仿宋_GB2312" w:cs="仿宋_GB2312"/>
                <w:sz w:val="28"/>
                <w:szCs w:val="28"/>
                <w:highlight w:val="none"/>
              </w:rPr>
              <w:t>h) ：外观评级≥10级，保护评级≥10级。</w:t>
            </w:r>
          </w:p>
        </w:tc>
      </w:tr>
      <w:tr w14:paraId="37A21FC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4874501">
            <w:pPr>
              <w:widowControl/>
              <w:spacing w:line="240" w:lineRule="auto"/>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6A00AFC2">
            <w:pPr>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6.2</w:t>
            </w:r>
          </w:p>
        </w:tc>
        <w:tc>
          <w:tcPr>
            <w:tcW w:w="7121" w:type="dxa"/>
            <w:tcBorders>
              <w:top w:val="single" w:color="auto" w:sz="4" w:space="0"/>
              <w:left w:val="nil"/>
              <w:bottom w:val="single" w:color="auto" w:sz="4" w:space="0"/>
              <w:right w:val="single" w:color="auto" w:sz="4" w:space="0"/>
            </w:tcBorders>
            <w:vAlign w:val="center"/>
          </w:tcPr>
          <w:p w14:paraId="40FDBA98">
            <w:pPr>
              <w:spacing w:after="120"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中性盐雾试验（</w:t>
            </w:r>
            <w:r>
              <w:rPr>
                <w:rFonts w:hint="eastAsia" w:ascii="仿宋_GB2312" w:hAnsi="仿宋_GB2312" w:eastAsia="仿宋_GB2312" w:cs="仿宋_GB2312"/>
                <w:sz w:val="28"/>
                <w:szCs w:val="28"/>
                <w:highlight w:val="none"/>
                <w:lang w:val="en-US" w:eastAsia="zh-CN"/>
              </w:rPr>
              <w:t>1000</w:t>
            </w:r>
            <w:r>
              <w:rPr>
                <w:rFonts w:hint="eastAsia" w:ascii="仿宋_GB2312" w:hAnsi="仿宋_GB2312" w:eastAsia="仿宋_GB2312" w:cs="仿宋_GB2312"/>
                <w:sz w:val="28"/>
                <w:szCs w:val="28"/>
                <w:highlight w:val="none"/>
              </w:rPr>
              <w:t>H）：外观评级≥10级，保护评级≥10级。</w:t>
            </w:r>
          </w:p>
        </w:tc>
      </w:tr>
      <w:tr w14:paraId="50019036">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E8D8243">
            <w:pPr>
              <w:widowControl/>
              <w:spacing w:line="240" w:lineRule="auto"/>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5A36C269">
            <w:pPr>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6.3</w:t>
            </w:r>
          </w:p>
        </w:tc>
        <w:tc>
          <w:tcPr>
            <w:tcW w:w="7121" w:type="dxa"/>
            <w:tcBorders>
              <w:top w:val="single" w:color="auto" w:sz="4" w:space="0"/>
              <w:left w:val="nil"/>
              <w:bottom w:val="single" w:color="auto" w:sz="4" w:space="0"/>
              <w:right w:val="single" w:color="auto" w:sz="4" w:space="0"/>
            </w:tcBorders>
            <w:vAlign w:val="center"/>
          </w:tcPr>
          <w:p w14:paraId="4493F6C6">
            <w:pPr>
              <w:spacing w:after="120"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乙酸盐雾试验 (</w:t>
            </w:r>
            <w:r>
              <w:rPr>
                <w:rFonts w:hint="eastAsia" w:ascii="仿宋_GB2312" w:hAnsi="仿宋_GB2312" w:eastAsia="仿宋_GB2312" w:cs="仿宋_GB2312"/>
                <w:sz w:val="28"/>
                <w:szCs w:val="28"/>
                <w:highlight w:val="none"/>
                <w:lang w:val="en-US" w:eastAsia="zh-CN"/>
              </w:rPr>
              <w:t>1000</w:t>
            </w:r>
            <w:r>
              <w:rPr>
                <w:rFonts w:hint="eastAsia" w:ascii="仿宋_GB2312" w:hAnsi="仿宋_GB2312" w:eastAsia="仿宋_GB2312" w:cs="仿宋_GB2312"/>
                <w:sz w:val="28"/>
                <w:szCs w:val="28"/>
                <w:highlight w:val="none"/>
              </w:rPr>
              <w:t>h) ：外观评级≥10级，保护评级≥10级。</w:t>
            </w:r>
          </w:p>
        </w:tc>
      </w:tr>
      <w:tr w14:paraId="7FF35E9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B51857">
            <w:pPr>
              <w:widowControl/>
              <w:spacing w:line="240" w:lineRule="auto"/>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6362A1AB">
            <w:pPr>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6.4</w:t>
            </w:r>
          </w:p>
        </w:tc>
        <w:tc>
          <w:tcPr>
            <w:tcW w:w="7121" w:type="dxa"/>
            <w:tcBorders>
              <w:top w:val="single" w:color="auto" w:sz="4" w:space="0"/>
              <w:left w:val="nil"/>
              <w:bottom w:val="single" w:color="auto" w:sz="4" w:space="0"/>
              <w:right w:val="single" w:color="auto" w:sz="4" w:space="0"/>
            </w:tcBorders>
            <w:vAlign w:val="center"/>
          </w:tcPr>
          <w:p w14:paraId="37F8FD66">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电解钢板符合：GB/T 1741-2020《漆膜耐霉菌性测定法》，对</w:t>
            </w:r>
            <w:r>
              <w:rPr>
                <w:rFonts w:hint="eastAsia" w:ascii="仿宋_GB2312" w:hAnsi="仿宋_GB2312" w:eastAsia="仿宋_GB2312" w:cs="仿宋_GB2312"/>
                <w:sz w:val="28"/>
                <w:szCs w:val="28"/>
                <w:highlight w:val="none"/>
                <w:lang w:eastAsia="zh-CN"/>
              </w:rPr>
              <w:t>黑曲霉、黄曲霉、腊叶芽枝霉（多主枝孢霉）、宛氏拟青霉、桔青霉、绿色木霉、出芽短梗霉、链格孢</w:t>
            </w:r>
            <w:r>
              <w:rPr>
                <w:rFonts w:hint="eastAsia" w:ascii="仿宋_GB2312" w:hAnsi="仿宋_GB2312" w:eastAsia="仿宋_GB2312" w:cs="仿宋_GB2312"/>
                <w:sz w:val="28"/>
                <w:szCs w:val="28"/>
                <w:highlight w:val="none"/>
              </w:rPr>
              <w:t>等不低于15种常见霉菌防霉等级不低于0级。</w:t>
            </w:r>
          </w:p>
        </w:tc>
      </w:tr>
      <w:tr w14:paraId="5AC5C61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CBBCBE5">
            <w:pPr>
              <w:widowControl/>
              <w:spacing w:line="240" w:lineRule="auto"/>
              <w:jc w:val="center"/>
              <w:rPr>
                <w:rFonts w:hint="eastAsia" w:ascii="仿宋" w:hAnsi="仿宋" w:eastAsia="仿宋" w:cs="仿宋"/>
                <w:b w:val="0"/>
                <w:bCs w:val="0"/>
                <w:sz w:val="32"/>
                <w:szCs w:val="32"/>
              </w:rPr>
            </w:pPr>
          </w:p>
        </w:tc>
        <w:tc>
          <w:tcPr>
            <w:tcW w:w="1134" w:type="dxa"/>
            <w:tcBorders>
              <w:top w:val="single" w:color="auto" w:sz="4" w:space="0"/>
              <w:left w:val="nil"/>
              <w:bottom w:val="single" w:color="auto" w:sz="4" w:space="0"/>
              <w:right w:val="single" w:color="auto" w:sz="4" w:space="0"/>
            </w:tcBorders>
            <w:vAlign w:val="center"/>
          </w:tcPr>
          <w:p w14:paraId="300D8EE2">
            <w:pPr>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6.5</w:t>
            </w:r>
          </w:p>
        </w:tc>
        <w:tc>
          <w:tcPr>
            <w:tcW w:w="7121" w:type="dxa"/>
            <w:tcBorders>
              <w:top w:val="single" w:color="auto" w:sz="4" w:space="0"/>
              <w:left w:val="nil"/>
              <w:bottom w:val="single" w:color="auto" w:sz="4" w:space="0"/>
              <w:right w:val="single" w:color="auto" w:sz="4" w:space="0"/>
            </w:tcBorders>
            <w:vAlign w:val="center"/>
          </w:tcPr>
          <w:p w14:paraId="648CAC25">
            <w:pPr>
              <w:numPr>
                <w:ilvl w:val="0"/>
                <w:numId w:val="0"/>
              </w:numPr>
              <w:spacing w:line="360" w:lineRule="auto"/>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电解钢板：符合QB/T 4371-2012《家具抗菌性能的评价》标准，对大肠杆菌、金黄色葡萄球菌、白色葡萄球菌、鲍曼不动杆菌、粘质沙雷伯氏菌、变异库克菌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铜绿假单胞菌、肺炎克雷伯菌、、嗜麦芽窄食单胞菌、变形杆菌、洋葱伯克霍尔德氏菌、链球菌、军团杆菌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白色念珠菌、鼠伤寒沙门氏菌</w:t>
            </w:r>
            <w:r>
              <w:rPr>
                <w:rFonts w:hint="eastAsia" w:ascii="仿宋_GB2312" w:hAnsi="仿宋_GB2312" w:eastAsia="仿宋_GB2312" w:cs="仿宋_GB2312"/>
                <w:sz w:val="28"/>
                <w:szCs w:val="28"/>
                <w:highlight w:val="none"/>
              </w:rPr>
              <w:t>等不低于15种常见菌种的抗菌率≥99.9%。</w:t>
            </w:r>
          </w:p>
        </w:tc>
      </w:tr>
      <w:tr w14:paraId="1D170D0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C4E16A3">
            <w:pPr>
              <w:widowControl/>
              <w:spacing w:line="240" w:lineRule="auto"/>
              <w:jc w:val="center"/>
              <w:rPr>
                <w:rFonts w:hint="eastAsia" w:ascii="仿宋" w:hAnsi="仿宋" w:eastAsia="仿宋" w:cs="仿宋"/>
                <w:b w:val="0"/>
                <w:bCs w:val="0"/>
                <w:sz w:val="32"/>
                <w:szCs w:val="32"/>
              </w:rPr>
            </w:pPr>
            <w:r>
              <w:rPr>
                <w:rFonts w:ascii="Segoe UI Symbol" w:hAnsi="Segoe UI Symbol" w:cs="Segoe UI Symbol" w:eastAsiaTheme="majorEastAsia"/>
                <w:bCs/>
                <w:color w:val="000000"/>
                <w:sz w:val="22"/>
              </w:rPr>
              <w:t>★</w:t>
            </w:r>
          </w:p>
        </w:tc>
        <w:tc>
          <w:tcPr>
            <w:tcW w:w="1134" w:type="dxa"/>
            <w:tcBorders>
              <w:top w:val="single" w:color="auto" w:sz="4" w:space="0"/>
              <w:left w:val="nil"/>
              <w:bottom w:val="single" w:color="auto" w:sz="4" w:space="0"/>
              <w:right w:val="single" w:color="auto" w:sz="4" w:space="0"/>
            </w:tcBorders>
            <w:vAlign w:val="center"/>
          </w:tcPr>
          <w:p w14:paraId="11CEEFD1">
            <w:pPr>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6.6</w:t>
            </w:r>
          </w:p>
        </w:tc>
        <w:tc>
          <w:tcPr>
            <w:tcW w:w="7121" w:type="dxa"/>
            <w:tcBorders>
              <w:top w:val="single" w:color="auto" w:sz="4" w:space="0"/>
              <w:left w:val="nil"/>
              <w:bottom w:val="single" w:color="auto" w:sz="4" w:space="0"/>
              <w:right w:val="single" w:color="auto" w:sz="4" w:space="0"/>
            </w:tcBorders>
            <w:vAlign w:val="center"/>
          </w:tcPr>
          <w:p w14:paraId="68E4978C">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化学性能：碳（C）含量≤0.05%、锰（Mn）含量≤0.15%、磷（P）含量≤0.02%、硫（S）含量≤0.01%、铝（Alt）含量≥0.03%。</w:t>
            </w:r>
          </w:p>
        </w:tc>
      </w:tr>
      <w:tr w14:paraId="15624A3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E60891E">
            <w:pPr>
              <w:widowControl/>
              <w:spacing w:line="240" w:lineRule="auto"/>
              <w:jc w:val="center"/>
              <w:rPr>
                <w:rFonts w:hint="eastAsia" w:ascii="仿宋" w:hAnsi="仿宋" w:eastAsia="仿宋" w:cs="仿宋"/>
                <w:b w:val="0"/>
                <w:bCs w:val="0"/>
                <w:sz w:val="32"/>
                <w:szCs w:val="32"/>
              </w:rPr>
            </w:pPr>
            <w:r>
              <w:rPr>
                <w:rFonts w:ascii="Segoe UI Symbol" w:hAnsi="Segoe UI Symbol" w:cs="Segoe UI Symbol" w:eastAsiaTheme="majorEastAsia"/>
                <w:bCs/>
                <w:color w:val="000000"/>
                <w:sz w:val="22"/>
              </w:rPr>
              <w:t>★</w:t>
            </w:r>
          </w:p>
        </w:tc>
        <w:tc>
          <w:tcPr>
            <w:tcW w:w="1134" w:type="dxa"/>
            <w:tcBorders>
              <w:top w:val="single" w:color="auto" w:sz="4" w:space="0"/>
              <w:left w:val="nil"/>
              <w:bottom w:val="single" w:color="auto" w:sz="4" w:space="0"/>
              <w:right w:val="single" w:color="auto" w:sz="4" w:space="0"/>
            </w:tcBorders>
            <w:vAlign w:val="center"/>
          </w:tcPr>
          <w:p w14:paraId="6B1771E1">
            <w:pPr>
              <w:widowControl/>
              <w:numPr>
                <w:ilvl w:val="0"/>
                <w:numId w:val="0"/>
              </w:numPr>
              <w:spacing w:line="240" w:lineRule="auto"/>
              <w:ind w:left="0" w:leftChars="0" w:firstLine="0" w:firstLineChars="0"/>
              <w:jc w:val="center"/>
              <w:rPr>
                <w:rFonts w:hint="eastAsia" w:ascii="仿宋" w:hAnsi="仿宋" w:eastAsia="仿宋" w:cs="仿宋"/>
                <w:b w:val="0"/>
                <w:bCs w:val="0"/>
                <w:sz w:val="32"/>
                <w:szCs w:val="32"/>
                <w:lang w:val="en-US" w:eastAsia="zh-CN"/>
              </w:rPr>
            </w:pPr>
            <w:r>
              <w:rPr>
                <w:rFonts w:hint="eastAsia" w:ascii="宋体" w:hAnsi="宋体" w:eastAsia="宋体" w:cs="宋体"/>
                <w:kern w:val="0"/>
                <w:sz w:val="21"/>
                <w:szCs w:val="21"/>
                <w:lang w:val="en-US" w:eastAsia="zh-CN" w:bidi="lo-LA"/>
              </w:rPr>
              <w:t>6.7</w:t>
            </w:r>
          </w:p>
        </w:tc>
        <w:tc>
          <w:tcPr>
            <w:tcW w:w="7121" w:type="dxa"/>
            <w:tcBorders>
              <w:top w:val="single" w:color="auto" w:sz="4" w:space="0"/>
              <w:left w:val="nil"/>
              <w:bottom w:val="single" w:color="auto" w:sz="4" w:space="0"/>
              <w:right w:val="single" w:color="auto" w:sz="4" w:space="0"/>
            </w:tcBorders>
            <w:vAlign w:val="center"/>
          </w:tcPr>
          <w:p w14:paraId="338010E6">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力学性能：（1）规定塑性延伸强度≤2</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0MPa，（2）抗拉强度</w:t>
            </w:r>
            <w:r>
              <w:rPr>
                <w:rFonts w:hint="eastAsia" w:ascii="仿宋_GB2312" w:hAnsi="仿宋_GB2312" w:eastAsia="仿宋_GB2312" w:cs="仿宋_GB2312"/>
                <w:sz w:val="28"/>
                <w:szCs w:val="28"/>
                <w:highlight w:val="none"/>
                <w:lang w:val="en-US" w:eastAsia="zh-CN"/>
              </w:rPr>
              <w:t>300</w:t>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0MPa，（3）断后伸长率≥</w:t>
            </w:r>
            <w:r>
              <w:rPr>
                <w:rFonts w:hint="eastAsia" w:ascii="仿宋_GB2312" w:hAnsi="仿宋_GB2312" w:eastAsia="仿宋_GB2312" w:cs="仿宋_GB2312"/>
                <w:sz w:val="28"/>
                <w:szCs w:val="28"/>
                <w:highlight w:val="none"/>
                <w:lang w:val="en-US" w:eastAsia="zh-CN"/>
              </w:rPr>
              <w:t>40</w:t>
            </w:r>
            <w:r>
              <w:rPr>
                <w:rFonts w:hint="eastAsia" w:ascii="仿宋_GB2312" w:hAnsi="仿宋_GB2312" w:eastAsia="仿宋_GB2312" w:cs="仿宋_GB2312"/>
                <w:sz w:val="28"/>
                <w:szCs w:val="28"/>
                <w:highlight w:val="none"/>
              </w:rPr>
              <w:t>%；</w:t>
            </w:r>
          </w:p>
        </w:tc>
      </w:tr>
      <w:tr w14:paraId="6C414D07">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1B808D67">
            <w:pPr>
              <w:pStyle w:val="13"/>
              <w:ind w:left="0" w:leftChars="0"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备注：</w:t>
            </w:r>
            <w:r>
              <w:rPr>
                <w:rFonts w:hint="eastAsia" w:ascii="仿宋_GB2312" w:hAnsi="仿宋_GB2312" w:eastAsia="仿宋_GB2312" w:cs="仿宋_GB2312"/>
                <w:sz w:val="28"/>
                <w:szCs w:val="28"/>
              </w:rPr>
              <w:t>1.“参数性质”标“★”表示此参数为主要技术参数，任意一条不满足或负偏离则导致响应无效；</w:t>
            </w:r>
          </w:p>
          <w:p w14:paraId="0F9A2D5E">
            <w:pPr>
              <w:pStyle w:val="13"/>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2.非标“★”项，超过2项不满足或负偏离则导致响应无效。</w:t>
            </w:r>
          </w:p>
        </w:tc>
      </w:tr>
    </w:tbl>
    <w:p w14:paraId="615F9110">
      <w:pPr>
        <w:pStyle w:val="13"/>
        <w:ind w:left="0" w:leftChars="0" w:firstLine="0" w:firstLineChars="0"/>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0AC073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015A90">
      <w:pPr>
        <w:rPr>
          <w:rFonts w:hint="eastAsia" w:ascii="宋体" w:hAnsi="宋体" w:eastAsia="宋体" w:cs="宋体"/>
          <w:b w:val="0"/>
          <w:color w:val="000000"/>
          <w:sz w:val="24"/>
          <w:szCs w:val="24"/>
          <w:lang w:val="en-US" w:eastAsia="zh-CN" w:bidi="ar-SA"/>
        </w:rPr>
      </w:pPr>
    </w:p>
    <w:p w14:paraId="19DBC54A">
      <w:pPr>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进场时间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5AF33AE">
      <w:pPr>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工程量清单</w:t>
      </w:r>
    </w:p>
    <w:p w14:paraId="0C5FBFC9">
      <w:pPr>
        <w:rPr>
          <w:rFonts w:hint="default" w:ascii="宋体" w:hAnsi="宋体" w:eastAsia="宋体" w:cs="宋体"/>
          <w:b/>
          <w:color w:val="000000"/>
          <w:sz w:val="32"/>
          <w:szCs w:val="32"/>
          <w:lang w:val="en-US" w:eastAsia="zh-CN" w:bidi="ar-SA"/>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工程项目除外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（包括各项检测报告等）</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7656DE5C"/>
    <w:multiLevelType w:val="singleLevel"/>
    <w:tmpl w:val="7656DE5C"/>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3795BEC"/>
    <w:rsid w:val="05076A5B"/>
    <w:rsid w:val="06B07F83"/>
    <w:rsid w:val="07EE0F70"/>
    <w:rsid w:val="080A65A2"/>
    <w:rsid w:val="0CC91539"/>
    <w:rsid w:val="0DA07F51"/>
    <w:rsid w:val="0DB547BB"/>
    <w:rsid w:val="0F4E11A2"/>
    <w:rsid w:val="10D60D02"/>
    <w:rsid w:val="114A4798"/>
    <w:rsid w:val="11AB1717"/>
    <w:rsid w:val="11EF4694"/>
    <w:rsid w:val="150E71F6"/>
    <w:rsid w:val="1696735F"/>
    <w:rsid w:val="16E14FBF"/>
    <w:rsid w:val="170148CE"/>
    <w:rsid w:val="19545A30"/>
    <w:rsid w:val="198E5E9E"/>
    <w:rsid w:val="19BD2CB7"/>
    <w:rsid w:val="1BB9254A"/>
    <w:rsid w:val="1DCA77EF"/>
    <w:rsid w:val="1ED20D4A"/>
    <w:rsid w:val="1EF87141"/>
    <w:rsid w:val="1FED498D"/>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8787009"/>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20378CC"/>
    <w:rsid w:val="43442217"/>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7A7499"/>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6688</Words>
  <Characters>7346</Characters>
  <Lines>0</Lines>
  <Paragraphs>0</Paragraphs>
  <TotalTime>2</TotalTime>
  <ScaleCrop>false</ScaleCrop>
  <LinksUpToDate>false</LinksUpToDate>
  <CharactersWithSpaces>7893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2026-04-22T08:27:10Z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909FA14C16E44BD39D023B2F64D46954_13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