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40"/>
          <w:szCs w:val="40"/>
          <w:lang w:val="en-US" w:eastAsia="zh-CN"/>
        </w:rPr>
      </w:pPr>
    </w:p>
    <w:p w14:paraId="106DB4C9">
      <w:pPr>
        <w:numPr>
          <w:ilvl w:val="0"/>
          <w:numId w:val="0"/>
        </w:numPr>
        <w:jc w:val="center"/>
        <w:rPr>
          <w:rFonts w:hint="eastAsia" w:ascii="宋体" w:hAnsi="宋体" w:eastAsia="宋体" w:cs="宋体"/>
          <w:b/>
          <w:i w:val="0"/>
          <w:caps/>
          <w:color w:val="333333"/>
          <w:spacing w:val="0"/>
          <w:sz w:val="40"/>
          <w:szCs w:val="40"/>
          <w:lang w:val="en-US" w:eastAsia="zh-CN"/>
        </w:rPr>
      </w:pPr>
      <w:bookmarkStart w:id="1" w:name="_GoBack"/>
      <w:r>
        <w:rPr>
          <w:rFonts w:hint="eastAsia" w:ascii="宋体" w:hAnsi="宋体" w:eastAsia="宋体" w:cs="宋体"/>
          <w:b/>
          <w:i w:val="0"/>
          <w:caps/>
          <w:color w:val="333333"/>
          <w:spacing w:val="0"/>
          <w:sz w:val="40"/>
          <w:szCs w:val="40"/>
          <w:lang w:val="en-US" w:eastAsia="zh-CN"/>
        </w:rPr>
        <w:t>东胜部北停车场出入口改造项目</w:t>
      </w:r>
    </w:p>
    <w:bookmarkEnd w:id="1"/>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2026年5月14日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一、商务条款                        货币单位：元</w:t>
      </w:r>
    </w:p>
    <w:tbl>
      <w:tblPr>
        <w:tblStyle w:val="15"/>
        <w:tblW w:w="9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3014"/>
        <w:gridCol w:w="2033"/>
        <w:gridCol w:w="1067"/>
        <w:gridCol w:w="2069"/>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32"/>
                <w:szCs w:val="32"/>
                <w:lang w:eastAsia="zh-CN"/>
              </w:rPr>
            </w:pPr>
            <w:r>
              <w:rPr>
                <w:rFonts w:hint="eastAsia" w:ascii="宋体" w:hAnsi="宋体" w:eastAsia="宋体" w:cs="宋体"/>
                <w:sz w:val="32"/>
                <w:szCs w:val="32"/>
                <w:lang w:eastAsia="zh-CN"/>
              </w:rPr>
              <w:t>序号</w:t>
            </w:r>
          </w:p>
        </w:tc>
        <w:tc>
          <w:tcPr>
            <w:tcW w:w="3014" w:type="dxa"/>
            <w:vAlign w:val="center"/>
          </w:tcPr>
          <w:p w14:paraId="3E37CC33">
            <w:pPr>
              <w:rPr>
                <w:rFonts w:hint="eastAsia" w:ascii="宋体" w:hAnsi="宋体" w:eastAsia="宋体" w:cs="宋体"/>
                <w:sz w:val="32"/>
                <w:szCs w:val="32"/>
                <w:lang w:eastAsia="zh-CN"/>
              </w:rPr>
            </w:pPr>
            <w:r>
              <w:rPr>
                <w:rFonts w:hint="eastAsia" w:ascii="宋体" w:hAnsi="宋体" w:eastAsia="宋体" w:cs="宋体"/>
                <w:sz w:val="32"/>
                <w:szCs w:val="32"/>
                <w:lang w:eastAsia="zh-CN"/>
              </w:rPr>
              <w:t>名称</w:t>
            </w:r>
          </w:p>
        </w:tc>
        <w:tc>
          <w:tcPr>
            <w:tcW w:w="2033" w:type="dxa"/>
            <w:vAlign w:val="center"/>
          </w:tcPr>
          <w:p w14:paraId="07310B12">
            <w:pPr>
              <w:rPr>
                <w:rFonts w:hint="eastAsia" w:ascii="宋体" w:hAnsi="宋体" w:eastAsia="宋体" w:cs="宋体"/>
                <w:sz w:val="32"/>
                <w:szCs w:val="32"/>
                <w:lang w:eastAsia="zh-CN"/>
              </w:rPr>
            </w:pPr>
            <w:r>
              <w:rPr>
                <w:rFonts w:hint="eastAsia" w:ascii="宋体" w:hAnsi="宋体" w:eastAsia="宋体" w:cs="宋体"/>
                <w:sz w:val="32"/>
                <w:szCs w:val="32"/>
                <w:lang w:eastAsia="zh-CN"/>
              </w:rPr>
              <w:t>单位</w:t>
            </w:r>
          </w:p>
        </w:tc>
        <w:tc>
          <w:tcPr>
            <w:tcW w:w="1067" w:type="dxa"/>
            <w:vAlign w:val="center"/>
          </w:tcPr>
          <w:p w14:paraId="20208E75">
            <w:pPr>
              <w:rPr>
                <w:rFonts w:hint="eastAsia" w:ascii="宋体" w:hAnsi="宋体" w:eastAsia="宋体" w:cs="宋体"/>
                <w:sz w:val="32"/>
                <w:szCs w:val="32"/>
                <w:lang w:eastAsia="zh-CN"/>
              </w:rPr>
            </w:pPr>
            <w:r>
              <w:rPr>
                <w:rFonts w:hint="eastAsia" w:ascii="宋体" w:hAnsi="宋体" w:eastAsia="宋体" w:cs="宋体"/>
                <w:sz w:val="32"/>
                <w:szCs w:val="32"/>
                <w:lang w:eastAsia="zh-CN"/>
              </w:rPr>
              <w:t>数量</w:t>
            </w:r>
          </w:p>
        </w:tc>
        <w:tc>
          <w:tcPr>
            <w:tcW w:w="2069" w:type="dxa"/>
            <w:vAlign w:val="center"/>
          </w:tcPr>
          <w:p w14:paraId="14356791">
            <w:pPr>
              <w:rPr>
                <w:rFonts w:hint="eastAsia" w:ascii="宋体" w:hAnsi="宋体" w:eastAsia="宋体" w:cs="宋体"/>
                <w:sz w:val="32"/>
                <w:szCs w:val="32"/>
                <w:lang w:eastAsia="zh-CN"/>
              </w:rPr>
            </w:pPr>
            <w:r>
              <w:rPr>
                <w:rFonts w:hint="eastAsia" w:ascii="宋体" w:hAnsi="宋体" w:eastAsia="宋体" w:cs="宋体"/>
                <w:sz w:val="32"/>
                <w:szCs w:val="32"/>
                <w:lang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939" w:type="dxa"/>
            <w:vAlign w:val="center"/>
          </w:tcPr>
          <w:p w14:paraId="6CB33721">
            <w:pPr>
              <w:rPr>
                <w:rFonts w:hint="eastAsia" w:ascii="宋体" w:hAnsi="宋体" w:eastAsia="宋体" w:cs="宋体"/>
                <w:sz w:val="32"/>
                <w:szCs w:val="32"/>
                <w:lang w:eastAsia="zh-CN"/>
              </w:rPr>
            </w:pPr>
            <w:r>
              <w:rPr>
                <w:rFonts w:hint="eastAsia" w:ascii="宋体" w:hAnsi="宋体" w:eastAsia="宋体" w:cs="宋体"/>
                <w:sz w:val="32"/>
                <w:szCs w:val="32"/>
                <w:lang w:eastAsia="zh-CN"/>
              </w:rPr>
              <w:t>1</w:t>
            </w:r>
          </w:p>
        </w:tc>
        <w:tc>
          <w:tcPr>
            <w:tcW w:w="3014" w:type="dxa"/>
            <w:vAlign w:val="center"/>
          </w:tcPr>
          <w:p w14:paraId="76F16622">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东胜部北停车场出入口改造项目</w:t>
            </w:r>
          </w:p>
        </w:tc>
        <w:tc>
          <w:tcPr>
            <w:tcW w:w="2033" w:type="dxa"/>
            <w:vAlign w:val="center"/>
          </w:tcPr>
          <w:p w14:paraId="569A970B">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w:t>
            </w:r>
          </w:p>
        </w:tc>
        <w:tc>
          <w:tcPr>
            <w:tcW w:w="1067" w:type="dxa"/>
            <w:vAlign w:val="center"/>
          </w:tcPr>
          <w:p w14:paraId="535899AF">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w:t>
            </w:r>
          </w:p>
        </w:tc>
        <w:tc>
          <w:tcPr>
            <w:tcW w:w="2069" w:type="dxa"/>
            <w:vAlign w:val="center"/>
          </w:tcPr>
          <w:p w14:paraId="1D45D755">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790073</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39" w:type="dxa"/>
            <w:vAlign w:val="center"/>
          </w:tcPr>
          <w:p w14:paraId="72D96DA2">
            <w:pPr>
              <w:rPr>
                <w:rFonts w:hint="eastAsia" w:ascii="宋体" w:hAnsi="宋体" w:eastAsia="宋体" w:cs="宋体"/>
                <w:sz w:val="32"/>
                <w:szCs w:val="32"/>
                <w:lang w:eastAsia="zh-CN"/>
              </w:rPr>
            </w:pPr>
          </w:p>
        </w:tc>
        <w:tc>
          <w:tcPr>
            <w:tcW w:w="6114" w:type="dxa"/>
            <w:gridSpan w:val="3"/>
            <w:vAlign w:val="center"/>
          </w:tcPr>
          <w:p w14:paraId="1341120E">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总价合计</w:t>
            </w:r>
          </w:p>
        </w:tc>
        <w:tc>
          <w:tcPr>
            <w:tcW w:w="2069" w:type="dxa"/>
            <w:vAlign w:val="center"/>
          </w:tcPr>
          <w:p w14:paraId="1CE8AE64">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790073</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p>
        </w:tc>
        <w:tc>
          <w:tcPr>
            <w:tcW w:w="3014" w:type="dxa"/>
            <w:vAlign w:val="center"/>
          </w:tcPr>
          <w:p w14:paraId="794A2943">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工期</w:t>
            </w:r>
          </w:p>
        </w:tc>
        <w:tc>
          <w:tcPr>
            <w:tcW w:w="5169" w:type="dxa"/>
            <w:gridSpan w:val="3"/>
            <w:vAlign w:val="center"/>
          </w:tcPr>
          <w:p w14:paraId="56B9AF71">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40日历天</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3</w:t>
            </w:r>
          </w:p>
        </w:tc>
        <w:tc>
          <w:tcPr>
            <w:tcW w:w="3014" w:type="dxa"/>
            <w:vAlign w:val="center"/>
          </w:tcPr>
          <w:p w14:paraId="01AB15DF">
            <w:pPr>
              <w:rPr>
                <w:rFonts w:hint="eastAsia" w:ascii="宋体" w:hAnsi="宋体" w:eastAsia="宋体" w:cs="宋体"/>
                <w:sz w:val="32"/>
                <w:szCs w:val="32"/>
                <w:lang w:eastAsia="zh-CN"/>
              </w:rPr>
            </w:pPr>
            <w:r>
              <w:rPr>
                <w:rFonts w:hint="eastAsia" w:ascii="宋体" w:hAnsi="宋体" w:eastAsia="宋体" w:cs="宋体"/>
                <w:sz w:val="32"/>
                <w:szCs w:val="32"/>
                <w:lang w:eastAsia="zh-CN"/>
              </w:rPr>
              <w:t>付款方式</w:t>
            </w:r>
          </w:p>
        </w:tc>
        <w:tc>
          <w:tcPr>
            <w:tcW w:w="5169" w:type="dxa"/>
            <w:gridSpan w:val="3"/>
            <w:vAlign w:val="center"/>
          </w:tcPr>
          <w:p w14:paraId="06580548">
            <w:pPr>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施工完成验收合格后付款95%，剩余5%</w:t>
            </w:r>
            <w:r>
              <w:rPr>
                <w:rFonts w:hint="eastAsia" w:ascii="宋体" w:hAnsi="宋体" w:eastAsia="宋体" w:cs="宋体"/>
                <w:sz w:val="32"/>
                <w:szCs w:val="32"/>
                <w:lang w:val="en-US" w:eastAsia="zh-CN"/>
              </w:rPr>
              <w:t>两</w:t>
            </w:r>
            <w:r>
              <w:rPr>
                <w:rFonts w:hint="default" w:ascii="宋体" w:hAnsi="宋体" w:eastAsia="宋体" w:cs="宋体"/>
                <w:sz w:val="32"/>
                <w:szCs w:val="32"/>
                <w:lang w:val="en-US" w:eastAsia="zh-CN"/>
              </w:rPr>
              <w:t>年质保期满无质量问题付清；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4</w:t>
            </w:r>
          </w:p>
        </w:tc>
        <w:tc>
          <w:tcPr>
            <w:tcW w:w="3014" w:type="dxa"/>
            <w:vAlign w:val="center"/>
          </w:tcPr>
          <w:p w14:paraId="4D36D1AB">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服务地点</w:t>
            </w:r>
          </w:p>
        </w:tc>
        <w:tc>
          <w:tcPr>
            <w:tcW w:w="5169" w:type="dxa"/>
            <w:gridSpan w:val="3"/>
            <w:vAlign w:val="center"/>
          </w:tcPr>
          <w:p w14:paraId="53BBDC35">
            <w:pPr>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鄂尔多斯市中心医院（</w:t>
            </w:r>
            <w:r>
              <w:rPr>
                <w:rFonts w:hint="eastAsia" w:ascii="宋体" w:hAnsi="宋体" w:eastAsia="宋体" w:cs="宋体"/>
                <w:sz w:val="32"/>
                <w:szCs w:val="32"/>
                <w:lang w:val="en-US" w:eastAsia="zh-CN"/>
              </w:rPr>
              <w:t>东胜</w:t>
            </w:r>
            <w:r>
              <w:rPr>
                <w:rFonts w:hint="default" w:ascii="宋体" w:hAnsi="宋体" w:eastAsia="宋体" w:cs="宋体"/>
                <w:sz w:val="32"/>
                <w:szCs w:val="32"/>
                <w:lang w:val="en-US" w:eastAsia="zh-CN"/>
              </w:rPr>
              <w:t>部）</w:t>
            </w:r>
          </w:p>
        </w:tc>
      </w:tr>
      <w:tr w14:paraId="7A41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7224D91B">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5</w:t>
            </w:r>
          </w:p>
        </w:tc>
        <w:tc>
          <w:tcPr>
            <w:tcW w:w="3014" w:type="dxa"/>
            <w:vAlign w:val="center"/>
          </w:tcPr>
          <w:p w14:paraId="36B8F6BA">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进场时间</w:t>
            </w:r>
          </w:p>
        </w:tc>
        <w:tc>
          <w:tcPr>
            <w:tcW w:w="5169" w:type="dxa"/>
            <w:gridSpan w:val="3"/>
            <w:vAlign w:val="center"/>
          </w:tcPr>
          <w:p w14:paraId="1C7DD60D">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合同签订后1周内</w:t>
            </w:r>
          </w:p>
        </w:tc>
      </w:tr>
      <w:tr w14:paraId="7D7E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FF0DDB6">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014" w:type="dxa"/>
            <w:vAlign w:val="center"/>
          </w:tcPr>
          <w:p w14:paraId="30F33464">
            <w:pPr>
              <w:rPr>
                <w:rFonts w:hint="default" w:ascii="宋体" w:hAnsi="宋体" w:eastAsia="宋体" w:cs="宋体"/>
                <w:sz w:val="28"/>
                <w:szCs w:val="28"/>
                <w:lang w:val="en-US" w:eastAsia="zh-CN"/>
              </w:rPr>
            </w:pPr>
            <w:r>
              <w:rPr>
                <w:rFonts w:hint="eastAsia" w:ascii="宋体" w:hAnsi="宋体" w:eastAsia="宋体" w:cs="宋体"/>
                <w:sz w:val="32"/>
                <w:szCs w:val="32"/>
                <w:lang w:val="en-US" w:eastAsia="zh-CN"/>
              </w:rPr>
              <w:t>质保期</w:t>
            </w:r>
          </w:p>
        </w:tc>
        <w:tc>
          <w:tcPr>
            <w:tcW w:w="5169" w:type="dxa"/>
            <w:gridSpan w:val="3"/>
            <w:vAlign w:val="center"/>
          </w:tcPr>
          <w:p w14:paraId="51A1801C">
            <w:pPr>
              <w:rPr>
                <w:rFonts w:hint="eastAsia" w:ascii="宋体" w:hAnsi="宋体" w:eastAsia="宋体" w:cs="宋体"/>
                <w:sz w:val="28"/>
                <w:szCs w:val="28"/>
                <w:lang w:val="en-US" w:eastAsia="zh-CN"/>
              </w:rPr>
            </w:pPr>
            <w:r>
              <w:rPr>
                <w:rFonts w:hint="eastAsia" w:ascii="宋体" w:hAnsi="宋体" w:eastAsia="宋体" w:cs="宋体"/>
                <w:sz w:val="32"/>
                <w:szCs w:val="32"/>
                <w:lang w:eastAsia="zh-CN"/>
              </w:rPr>
              <w:t>质保期整体不少于2年，路基、路面结构层质保期不少于10年</w:t>
            </w:r>
          </w:p>
        </w:tc>
      </w:tr>
      <w:tr w14:paraId="64BD6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BD2BD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3014" w:type="dxa"/>
            <w:vAlign w:val="center"/>
          </w:tcPr>
          <w:p w14:paraId="32BDE4AE">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资质要求</w:t>
            </w:r>
          </w:p>
        </w:tc>
        <w:tc>
          <w:tcPr>
            <w:tcW w:w="5169" w:type="dxa"/>
            <w:gridSpan w:val="3"/>
            <w:vAlign w:val="center"/>
          </w:tcPr>
          <w:p w14:paraId="6AFFD4E8">
            <w:pPr>
              <w:pStyle w:val="6"/>
              <w:numPr>
                <w:ilvl w:val="0"/>
                <w:numId w:val="0"/>
              </w:numPr>
              <w:tabs>
                <w:tab w:val="left" w:pos="639"/>
              </w:tabs>
              <w:spacing w:line="240" w:lineRule="auto"/>
              <w:jc w:val="left"/>
              <w:rPr>
                <w:rFonts w:hint="eastAsia" w:ascii="宋体" w:hAnsi="宋体" w:eastAsia="宋体" w:cs="宋体"/>
                <w:sz w:val="32"/>
                <w:szCs w:val="32"/>
                <w:lang w:eastAsia="zh-CN"/>
              </w:rPr>
            </w:pPr>
            <w:r>
              <w:rPr>
                <w:rFonts w:hint="eastAsia" w:ascii="宋体" w:hAnsi="宋体" w:eastAsia="宋体"/>
                <w:color w:val="000000"/>
                <w:sz w:val="32"/>
                <w:szCs w:val="32"/>
                <w:lang w:val="en-US" w:eastAsia="zh-CN"/>
              </w:rPr>
              <w:t>具备有效的市政公用工程施工总承包二级及以上资质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01D20BCB">
      <w:pPr>
        <w:keepNext w:val="0"/>
        <w:keepLines w:val="0"/>
        <w:widowControl/>
        <w:suppressLineNumbers w:val="0"/>
        <w:ind w:firstLine="720" w:firstLineChars="200"/>
        <w:jc w:val="left"/>
        <w:rPr>
          <w:rFonts w:hint="eastAsia" w:ascii="仿宋" w:hAnsi="仿宋" w:eastAsia="仿宋" w:cs="仿宋"/>
          <w:color w:val="000000"/>
          <w:sz w:val="36"/>
          <w:szCs w:val="36"/>
        </w:rPr>
      </w:pPr>
      <w:r>
        <w:rPr>
          <w:rFonts w:hint="eastAsia" w:ascii="仿宋" w:hAnsi="仿宋" w:eastAsia="仿宋" w:cs="仿宋"/>
          <w:color w:val="000000"/>
          <w:sz w:val="36"/>
          <w:szCs w:val="36"/>
        </w:rPr>
        <w:t>（一）项目基本情况介绍：</w:t>
      </w:r>
      <w:r>
        <w:rPr>
          <w:rFonts w:hint="eastAsia" w:ascii="仿宋" w:hAnsi="仿宋" w:eastAsia="仿宋" w:cs="仿宋"/>
          <w:color w:val="000000"/>
          <w:sz w:val="36"/>
          <w:szCs w:val="36"/>
          <w:u w:val="single"/>
        </w:rPr>
        <w:t xml:space="preserve">  </w:t>
      </w:r>
      <w:r>
        <w:rPr>
          <w:rFonts w:hint="eastAsia" w:ascii="宋体" w:hAnsi="宋体" w:eastAsia="宋体" w:cs="宋体"/>
          <w:color w:val="000000"/>
          <w:spacing w:val="0"/>
          <w:kern w:val="21"/>
          <w:sz w:val="32"/>
          <w:szCs w:val="32"/>
          <w:u w:val="single"/>
          <w:lang w:val="en-US" w:eastAsia="zh-CN"/>
        </w:rPr>
        <w:t>为了优化我院</w:t>
      </w:r>
      <w:r>
        <w:rPr>
          <w:rFonts w:hint="eastAsia" w:ascii="宋体" w:hAnsi="宋体" w:eastAsia="宋体" w:cs="宋体"/>
          <w:color w:val="auto"/>
          <w:sz w:val="32"/>
          <w:szCs w:val="32"/>
          <w:u w:val="single"/>
          <w:lang w:val="en-US" w:eastAsia="zh-CN"/>
        </w:rPr>
        <w:t>东胜部北停车场出入口出入流线</w:t>
      </w:r>
      <w:r>
        <w:rPr>
          <w:rFonts w:hint="eastAsia" w:ascii="宋体" w:hAnsi="宋体" w:eastAsia="宋体" w:cs="宋体"/>
          <w:color w:val="000000"/>
          <w:spacing w:val="0"/>
          <w:kern w:val="21"/>
          <w:sz w:val="32"/>
          <w:szCs w:val="32"/>
          <w:u w:val="single"/>
          <w:lang w:val="en-US" w:eastAsia="zh-CN"/>
        </w:rPr>
        <w:t>，拟改造北停车场，其中拆除绿地、大理石、混凝土共计11289.47平米，预算金额194248元，铺设沥青路面2797.95平米，预算金额356557元，路缘石、划线、护栏、花岗岩球预算金额86672元，新做雨水预算金额34288元，指示牌预算金额6423元，电梯基座预算金额2554元，绿化预算金额89331元，门房预算金额20000元，</w:t>
      </w:r>
      <w:r>
        <w:rPr>
          <w:rFonts w:hint="eastAsia" w:ascii="宋体" w:hAnsi="宋体" w:eastAsia="宋体" w:cs="宋体"/>
          <w:color w:val="auto"/>
          <w:sz w:val="32"/>
          <w:szCs w:val="32"/>
          <w:u w:val="single"/>
          <w:lang w:val="en-US" w:eastAsia="zh-CN"/>
        </w:rPr>
        <w:t>预算金额总计790073元。</w:t>
      </w:r>
    </w:p>
    <w:p w14:paraId="721FD28D">
      <w:pPr>
        <w:spacing w:line="360" w:lineRule="auto"/>
        <w:jc w:val="left"/>
        <w:rPr>
          <w:rFonts w:hint="eastAsia" w:ascii="仿宋" w:hAnsi="仿宋" w:eastAsia="仿宋" w:cs="仿宋"/>
          <w:color w:val="000000"/>
          <w:sz w:val="32"/>
          <w:szCs w:val="32"/>
        </w:rPr>
      </w:pPr>
    </w:p>
    <w:p w14:paraId="54B89272">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（二）技术参数和要求（功能和质量）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53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28"/>
                <w:szCs w:val="28"/>
              </w:rPr>
            </w:pPr>
            <w:r>
              <w:rPr>
                <w:rFonts w:hint="eastAsia" w:ascii="宋体" w:hAnsi="宋体" w:eastAsia="宋体" w:cs="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28"/>
                <w:szCs w:val="28"/>
              </w:rPr>
            </w:pPr>
            <w:r>
              <w:rPr>
                <w:rFonts w:hint="eastAsia" w:ascii="宋体" w:hAnsi="宋体" w:eastAsia="宋体" w:cs="宋体"/>
                <w:sz w:val="28"/>
                <w:szCs w:val="28"/>
              </w:rPr>
              <w:t>技术参数和要求</w:t>
            </w:r>
          </w:p>
        </w:tc>
      </w:tr>
      <w:tr w14:paraId="54C6DB28">
        <w:tblPrEx>
          <w:tblCellMar>
            <w:top w:w="0" w:type="dxa"/>
            <w:left w:w="108" w:type="dxa"/>
            <w:bottom w:w="0" w:type="dxa"/>
            <w:right w:w="108" w:type="dxa"/>
          </w:tblCellMar>
        </w:tblPrEx>
        <w:trPr>
          <w:trHeight w:val="539"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4E5734A7">
            <w:pPr>
              <w:widowControl/>
              <w:jc w:val="center"/>
              <w:rPr>
                <w:rFonts w:hint="eastAsia" w:ascii="宋体" w:hAnsi="宋体" w:eastAsia="宋体" w:cs="宋体"/>
                <w:sz w:val="28"/>
                <w:szCs w:val="28"/>
              </w:rPr>
            </w:pPr>
            <w:r>
              <w:rPr>
                <w:rFonts w:hint="eastAsia" w:ascii="宋体" w:hAnsi="宋体" w:eastAsia="宋体" w:cs="宋体"/>
                <w:sz w:val="28"/>
                <w:szCs w:val="28"/>
              </w:rPr>
              <w:t>施工要求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7E6D65E">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ascii="宋体" w:hAnsi="宋体" w:eastAsia="宋体" w:cs="宋体"/>
                <w:sz w:val="28"/>
                <w:szCs w:val="28"/>
              </w:rPr>
            </w:pPr>
            <w:r>
              <w:rPr>
                <w:rFonts w:hint="eastAsia" w:ascii="宋体" w:hAnsi="宋体" w:eastAsia="宋体" w:cs="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left"/>
              <w:rPr>
                <w:rFonts w:ascii="宋体" w:hAnsi="宋体" w:eastAsia="宋体" w:cs="宋体"/>
                <w:sz w:val="28"/>
                <w:szCs w:val="28"/>
              </w:rPr>
            </w:pPr>
            <w:r>
              <w:rPr>
                <w:rFonts w:hint="eastAsia" w:ascii="宋体" w:hAnsi="宋体" w:eastAsia="宋体" w:cs="宋体"/>
                <w:sz w:val="28"/>
                <w:szCs w:val="28"/>
              </w:rPr>
              <w:t>本工程严格按施工图纸、现行规范及现场现状组织施工，承包方仅负责按图施工，不承担任何方案设计、优化设计工作。</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ascii="宋体" w:hAnsi="宋体" w:eastAsia="宋体" w:cs="宋体"/>
                <w:sz w:val="28"/>
                <w:szCs w:val="28"/>
              </w:rPr>
            </w:pPr>
            <w:r>
              <w:rPr>
                <w:rFonts w:hint="eastAsia" w:ascii="宋体" w:hAnsi="宋体" w:eastAsia="宋体" w:cs="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0CB9809C">
            <w:pPr>
              <w:tabs>
                <w:tab w:val="left" w:pos="1193"/>
              </w:tabs>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施工全过程必须保障医院急救通道、消防通道、门诊人行通道24小时畅通，不得封闭、占用主通行路线，不得影响正常诊疗、急救转运工作。</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ascii="宋体" w:hAnsi="宋体" w:eastAsia="宋体" w:cs="宋体"/>
                <w:sz w:val="28"/>
                <w:szCs w:val="28"/>
              </w:rPr>
            </w:pPr>
            <w:r>
              <w:rPr>
                <w:rFonts w:hint="eastAsia" w:ascii="宋体" w:hAnsi="宋体" w:eastAsia="宋体" w:cs="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ascii="宋体" w:hAnsi="宋体" w:eastAsia="宋体" w:cs="宋体"/>
                <w:sz w:val="28"/>
                <w:szCs w:val="28"/>
              </w:rPr>
            </w:pPr>
            <w:r>
              <w:rPr>
                <w:rFonts w:hint="eastAsia" w:ascii="宋体" w:hAnsi="宋体" w:eastAsia="宋体" w:cs="宋体"/>
                <w:sz w:val="28"/>
                <w:szCs w:val="28"/>
              </w:rPr>
              <w:t>所有施工工艺、质量标准、验收标准严格执行国家、行业及地方现行市政、建筑、道路、地坪、排水、消防相关规范标准。</w:t>
            </w:r>
          </w:p>
        </w:tc>
      </w:tr>
      <w:tr w14:paraId="7BAAC92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340D04">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6B50D976">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78FE892">
            <w:pPr>
              <w:jc w:val="left"/>
              <w:rPr>
                <w:rFonts w:hint="eastAsia" w:ascii="宋体" w:hAnsi="宋体" w:eastAsia="宋体" w:cs="宋体"/>
                <w:sz w:val="28"/>
                <w:szCs w:val="28"/>
              </w:rPr>
            </w:pPr>
            <w:r>
              <w:rPr>
                <w:rFonts w:hint="eastAsia" w:ascii="宋体" w:hAnsi="宋体" w:eastAsia="宋体" w:cs="宋体"/>
                <w:sz w:val="28"/>
                <w:szCs w:val="28"/>
              </w:rPr>
              <w:t>进场所有原材料、构配件、成品材料必须具备合格证、检测报告、质量证明文件，进场报验合格后方可使用，严禁不合格材料、三无材料进场。</w:t>
            </w:r>
          </w:p>
        </w:tc>
      </w:tr>
      <w:tr w14:paraId="339F46EE">
        <w:tblPrEx>
          <w:tblCellMar>
            <w:top w:w="0" w:type="dxa"/>
            <w:left w:w="108" w:type="dxa"/>
            <w:bottom w:w="0" w:type="dxa"/>
            <w:right w:w="108" w:type="dxa"/>
          </w:tblCellMar>
        </w:tblPrEx>
        <w:trPr>
          <w:trHeight w:val="59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0169ED4">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642B843D">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230D64C4">
            <w:pPr>
              <w:jc w:val="left"/>
              <w:rPr>
                <w:rFonts w:hint="eastAsia" w:ascii="宋体" w:hAnsi="宋体" w:eastAsia="宋体" w:cs="宋体"/>
                <w:sz w:val="28"/>
                <w:szCs w:val="28"/>
                <w:lang w:eastAsia="zh-CN"/>
              </w:rPr>
            </w:pPr>
            <w:r>
              <w:rPr>
                <w:rFonts w:hint="eastAsia" w:ascii="宋体" w:hAnsi="宋体" w:eastAsia="宋体" w:cs="宋体"/>
                <w:sz w:val="28"/>
                <w:szCs w:val="28"/>
              </w:rPr>
              <w:t>施工期间采取封闭式围挡、降尘、降噪措施，合理排布施工时序，避开门诊就诊高峰时段，严控夜间高噪音作业，最大限度减少施工扬尘、噪音对病患及院区环境影响。</w:t>
            </w:r>
          </w:p>
        </w:tc>
      </w:tr>
      <w:tr w14:paraId="1D20F1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B252F53">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309A575F">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7678E7AB">
            <w:pPr>
              <w:jc w:val="left"/>
              <w:rPr>
                <w:rFonts w:hint="eastAsia" w:ascii="宋体" w:hAnsi="宋体" w:eastAsia="宋体" w:cs="宋体"/>
                <w:sz w:val="28"/>
                <w:szCs w:val="28"/>
              </w:rPr>
            </w:pPr>
            <w:r>
              <w:rPr>
                <w:rFonts w:hint="eastAsia" w:ascii="宋体" w:hAnsi="宋体" w:eastAsia="宋体" w:cs="宋体"/>
                <w:sz w:val="28"/>
                <w:szCs w:val="28"/>
                <w:lang w:eastAsia="zh-CN"/>
              </w:rPr>
              <w:t>本工程质保期整体不少于2年，路基、路面结构层质保期不少于10年，质保期内出现沉降、开裂、起砂、积水、破损等质量问题，施工单位须无偿维修整改。</w:t>
            </w:r>
          </w:p>
        </w:tc>
      </w:tr>
      <w:tr w14:paraId="5ADCF1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6FC956A">
            <w:pPr>
              <w:widowControl/>
              <w:jc w:val="center"/>
              <w:rPr>
                <w:rFonts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70C9D4BB">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6BB9E48D">
            <w:pPr>
              <w:jc w:val="left"/>
              <w:rPr>
                <w:rFonts w:hint="eastAsia" w:ascii="宋体" w:hAnsi="宋体" w:eastAsia="宋体" w:cs="宋体"/>
                <w:sz w:val="28"/>
                <w:szCs w:val="28"/>
                <w:lang w:eastAsia="zh-CN"/>
              </w:rPr>
            </w:pPr>
            <w:r>
              <w:rPr>
                <w:rFonts w:hint="eastAsia" w:ascii="宋体" w:hAnsi="宋体" w:eastAsia="宋体" w:cs="宋体"/>
                <w:sz w:val="28"/>
                <w:szCs w:val="28"/>
              </w:rPr>
              <w:t>工程建筑垃圾、废弃土石方、拆除旧料做到日产日清、定点密闭清运，不得在院区道路、绿化带及通行区域随意堆放。</w:t>
            </w:r>
          </w:p>
        </w:tc>
      </w:tr>
      <w:tr w14:paraId="500D13BD">
        <w:tblPrEx>
          <w:tblCellMar>
            <w:top w:w="0" w:type="dxa"/>
            <w:left w:w="108" w:type="dxa"/>
            <w:bottom w:w="0" w:type="dxa"/>
            <w:right w:w="108" w:type="dxa"/>
          </w:tblCellMar>
        </w:tblPrEx>
        <w:trPr>
          <w:trHeight w:val="195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3E3166">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051BA90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3EAC40BB">
            <w:pPr>
              <w:jc w:val="left"/>
              <w:rPr>
                <w:rFonts w:hint="default" w:ascii="宋体" w:hAnsi="宋体" w:eastAsia="宋体" w:cs="宋体"/>
                <w:sz w:val="28"/>
                <w:szCs w:val="28"/>
                <w:lang w:val="en-US"/>
              </w:rPr>
            </w:pPr>
            <w:r>
              <w:rPr>
                <w:rFonts w:hint="eastAsia" w:ascii="宋体" w:hAnsi="宋体" w:eastAsia="宋体" w:cs="宋体"/>
                <w:sz w:val="28"/>
                <w:szCs w:val="28"/>
                <w:lang w:eastAsia="zh-CN"/>
              </w:rPr>
              <w:t>施工过程做好现有建筑、绿化、管线、道路及院区设施成品保护，若造成损坏由施工单位无条件修复并承担全部费用。</w:t>
            </w:r>
          </w:p>
        </w:tc>
      </w:tr>
      <w:tr w14:paraId="0657991B">
        <w:tblPrEx>
          <w:tblCellMar>
            <w:top w:w="0" w:type="dxa"/>
            <w:left w:w="108" w:type="dxa"/>
            <w:bottom w:w="0" w:type="dxa"/>
            <w:right w:w="108" w:type="dxa"/>
          </w:tblCellMar>
        </w:tblPrEx>
        <w:trPr>
          <w:trHeight w:val="236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62A4C14">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0745CFC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4F67EFBF">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工程竣工验收后，须完整移交竣工图纸、隐蔽工程验收记录、材料合格证及检测报告、施工日志、影像资料、验收备案全套纸质及电子档案资料。</w:t>
            </w:r>
          </w:p>
        </w:tc>
      </w:tr>
      <w:tr w14:paraId="0BD77466">
        <w:tblPrEx>
          <w:tblCellMar>
            <w:top w:w="0" w:type="dxa"/>
            <w:left w:w="108" w:type="dxa"/>
            <w:bottom w:w="0" w:type="dxa"/>
            <w:right w:w="108" w:type="dxa"/>
          </w:tblCellMar>
        </w:tblPrEx>
        <w:trPr>
          <w:trHeight w:val="86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02F1D2B2">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场地破除及路基工程要求</w:t>
            </w:r>
          </w:p>
        </w:tc>
      </w:tr>
      <w:tr w14:paraId="44BF3687">
        <w:tblPrEx>
          <w:tblCellMar>
            <w:top w:w="0" w:type="dxa"/>
            <w:left w:w="108" w:type="dxa"/>
            <w:bottom w:w="0" w:type="dxa"/>
            <w:right w:w="108" w:type="dxa"/>
          </w:tblCellMar>
        </w:tblPrEx>
        <w:trPr>
          <w:trHeight w:val="236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04E73A">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4638FD8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6BABA18B">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按图纸及现场标高要求，对原有破损地面、老旧地坪、废弃构筑物及不合格基层进行破除、拆除、清理及外运，基底清理干净，无淤泥、杂物、腐殖土。</w:t>
            </w:r>
          </w:p>
        </w:tc>
      </w:tr>
      <w:tr w14:paraId="2C1874A1">
        <w:tblPrEx>
          <w:tblCellMar>
            <w:top w:w="0" w:type="dxa"/>
            <w:left w:w="108" w:type="dxa"/>
            <w:bottom w:w="0" w:type="dxa"/>
            <w:right w:w="108" w:type="dxa"/>
          </w:tblCellMar>
        </w:tblPrEx>
        <w:trPr>
          <w:trHeight w:val="194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DBB9424">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35F67787">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51EA1FE6">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路基土方回填、垫层铺设须分层填筑、分层碾压夯实，路基压实度不低于95%，施工后无空鼓、松动、不均匀沉降现象。</w:t>
            </w:r>
          </w:p>
        </w:tc>
      </w:tr>
      <w:tr w14:paraId="2730F20B">
        <w:tblPrEx>
          <w:tblCellMar>
            <w:top w:w="0" w:type="dxa"/>
            <w:left w:w="108" w:type="dxa"/>
            <w:bottom w:w="0" w:type="dxa"/>
            <w:right w:w="108" w:type="dxa"/>
          </w:tblCellMar>
        </w:tblPrEx>
        <w:trPr>
          <w:trHeight w:val="205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96E6EBE">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7F556133">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53294FA5">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严格按图纸控制场地标高、排水坡度及坡向，精准放线施工，确保场地排水顺畅，无倒坡、无积水死角。</w:t>
            </w:r>
          </w:p>
        </w:tc>
      </w:tr>
      <w:tr w14:paraId="31E1C060">
        <w:tblPrEx>
          <w:tblCellMar>
            <w:top w:w="0" w:type="dxa"/>
            <w:left w:w="108" w:type="dxa"/>
            <w:bottom w:w="0" w:type="dxa"/>
            <w:right w:w="108" w:type="dxa"/>
          </w:tblCellMar>
        </w:tblPrEx>
        <w:trPr>
          <w:trHeight w:val="134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481DCE8">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589C5D8F">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27AE1C32">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软弱地基、换填区域严格按图纸给定材质、厚度及范围施工，不得擅自缩减换填厚度、变更换填材料。</w:t>
            </w:r>
          </w:p>
        </w:tc>
      </w:tr>
      <w:tr w14:paraId="2170702B">
        <w:tblPrEx>
          <w:tblCellMar>
            <w:top w:w="0" w:type="dxa"/>
            <w:left w:w="108" w:type="dxa"/>
            <w:bottom w:w="0" w:type="dxa"/>
            <w:right w:w="108" w:type="dxa"/>
          </w:tblCellMar>
        </w:tblPrEx>
        <w:trPr>
          <w:trHeight w:val="80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04B53674">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路面及地坪结构施工要求</w:t>
            </w:r>
          </w:p>
        </w:tc>
      </w:tr>
      <w:tr w14:paraId="10636CD3">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947C9AB">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66F90E52">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28745742">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严格遵照施工图纸结构层次施工，垫层、基层、面层材质、厚度、强度等级不得擅自变更、减薄、降标。</w:t>
            </w:r>
          </w:p>
        </w:tc>
      </w:tr>
      <w:tr w14:paraId="29E93790">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2D744C0">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7CD534C2">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7121" w:type="dxa"/>
            <w:tcBorders>
              <w:top w:val="single" w:color="auto" w:sz="4" w:space="0"/>
              <w:left w:val="nil"/>
              <w:bottom w:val="single" w:color="auto" w:sz="4" w:space="0"/>
              <w:right w:val="single" w:color="auto" w:sz="4" w:space="0"/>
            </w:tcBorders>
            <w:vAlign w:val="center"/>
          </w:tcPr>
          <w:p w14:paraId="1EE31C44">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混凝土及地坪面层强度等级严格按图纸设计执行，表面密实平整、色泽均匀，无裂缝、断板、起砂、起皮、空鼓等质量缺陷。</w:t>
            </w:r>
          </w:p>
        </w:tc>
      </w:tr>
      <w:tr w14:paraId="2B12E7CE">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569A291">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6B95614B">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7121" w:type="dxa"/>
            <w:tcBorders>
              <w:top w:val="single" w:color="auto" w:sz="4" w:space="0"/>
              <w:left w:val="nil"/>
              <w:bottom w:val="single" w:color="auto" w:sz="4" w:space="0"/>
              <w:right w:val="single" w:color="auto" w:sz="4" w:space="0"/>
            </w:tcBorders>
            <w:vAlign w:val="center"/>
          </w:tcPr>
          <w:p w14:paraId="5FD7491F">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路面伸缩缝、沉降缝、接缝位置、间距及施工工艺严格按图纸布设，缝口顺直、灌缝密实密封，防水抗渗性能达标。</w:t>
            </w:r>
          </w:p>
        </w:tc>
      </w:tr>
      <w:tr w14:paraId="2AB19373">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8B963C3">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33ADAE8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7121" w:type="dxa"/>
            <w:tcBorders>
              <w:top w:val="single" w:color="auto" w:sz="4" w:space="0"/>
              <w:left w:val="nil"/>
              <w:bottom w:val="single" w:color="auto" w:sz="4" w:space="0"/>
              <w:right w:val="single" w:color="auto" w:sz="4" w:space="0"/>
            </w:tcBorders>
            <w:vAlign w:val="center"/>
          </w:tcPr>
          <w:p w14:paraId="7E5B7F59">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路面及地坪边角规整、线条顺直，平整度、坡度、外观质量符合规范及图纸验收标准。</w:t>
            </w:r>
          </w:p>
        </w:tc>
      </w:tr>
      <w:tr w14:paraId="5B779599">
        <w:tblPrEx>
          <w:tblCellMar>
            <w:top w:w="0" w:type="dxa"/>
            <w:left w:w="108" w:type="dxa"/>
            <w:bottom w:w="0" w:type="dxa"/>
            <w:right w:w="108" w:type="dxa"/>
          </w:tblCellMar>
        </w:tblPrEx>
        <w:trPr>
          <w:trHeight w:val="80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8C69624">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排水系统工程施工要求</w:t>
            </w:r>
          </w:p>
        </w:tc>
      </w:tr>
      <w:tr w14:paraId="3840A373">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88697FA">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5F2CB07D">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7121" w:type="dxa"/>
            <w:tcBorders>
              <w:top w:val="single" w:color="auto" w:sz="4" w:space="0"/>
              <w:left w:val="nil"/>
              <w:bottom w:val="single" w:color="auto" w:sz="4" w:space="0"/>
              <w:right w:val="single" w:color="auto" w:sz="4" w:space="0"/>
            </w:tcBorders>
            <w:vAlign w:val="center"/>
          </w:tcPr>
          <w:p w14:paraId="4C7777E0">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雨水排水沟、集水井、排水支管、主管网敷设走向、标高、断面尺寸严格按施工图纸施工，不得随意改动位置及坡度。</w:t>
            </w:r>
          </w:p>
        </w:tc>
      </w:tr>
      <w:tr w14:paraId="4D0AF0E7">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BD0315">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4CBCA82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7121" w:type="dxa"/>
            <w:tcBorders>
              <w:top w:val="single" w:color="auto" w:sz="4" w:space="0"/>
              <w:left w:val="nil"/>
              <w:bottom w:val="single" w:color="auto" w:sz="4" w:space="0"/>
              <w:right w:val="single" w:color="auto" w:sz="4" w:space="0"/>
            </w:tcBorders>
            <w:vAlign w:val="center"/>
          </w:tcPr>
          <w:p w14:paraId="200EF50C">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沟槽基础、垫层、砌体及混凝土结构浇筑施工规范，内壁抹灰密实，做到不渗漏、不渗水。</w:t>
            </w:r>
          </w:p>
        </w:tc>
      </w:tr>
      <w:tr w14:paraId="4F8DFA98">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B99693C">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2BEB9C44">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w:t>
            </w:r>
          </w:p>
        </w:tc>
        <w:tc>
          <w:tcPr>
            <w:tcW w:w="7121" w:type="dxa"/>
            <w:tcBorders>
              <w:top w:val="single" w:color="auto" w:sz="4" w:space="0"/>
              <w:left w:val="nil"/>
              <w:bottom w:val="single" w:color="auto" w:sz="4" w:space="0"/>
              <w:right w:val="single" w:color="auto" w:sz="4" w:space="0"/>
            </w:tcBorders>
            <w:vAlign w:val="center"/>
          </w:tcPr>
          <w:p w14:paraId="1DB9AB83">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沟盖板、雨水篦子按图纸规格、材质选型安装，安装平整牢固，与路面标高平齐，耐腐蚀、不易移位，便于后期清掏维护。</w:t>
            </w:r>
          </w:p>
        </w:tc>
      </w:tr>
      <w:tr w14:paraId="04F5E381">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1069F3B">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0238E4AF">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7121" w:type="dxa"/>
            <w:tcBorders>
              <w:top w:val="single" w:color="auto" w:sz="4" w:space="0"/>
              <w:left w:val="nil"/>
              <w:bottom w:val="single" w:color="auto" w:sz="4" w:space="0"/>
              <w:right w:val="single" w:color="auto" w:sz="4" w:space="0"/>
            </w:tcBorders>
            <w:vAlign w:val="center"/>
          </w:tcPr>
          <w:p w14:paraId="47241CB7">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排水管道接口密封严实，管道坡度符合排水设计要求，完工后做通水试验，确保排水通畅、无积水、无倒灌、无堵塞。</w:t>
            </w:r>
          </w:p>
        </w:tc>
      </w:tr>
      <w:tr w14:paraId="1897F907">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F2F74FF">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60B547EB">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7121" w:type="dxa"/>
            <w:tcBorders>
              <w:top w:val="single" w:color="auto" w:sz="4" w:space="0"/>
              <w:left w:val="nil"/>
              <w:bottom w:val="single" w:color="auto" w:sz="4" w:space="0"/>
              <w:right w:val="single" w:color="auto" w:sz="4" w:space="0"/>
            </w:tcBorders>
            <w:vAlign w:val="center"/>
          </w:tcPr>
          <w:p w14:paraId="47973A5C">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严格按图纸实行雨污分流施工，严禁雨污水管网混接、错接、乱接。</w:t>
            </w:r>
          </w:p>
        </w:tc>
      </w:tr>
      <w:tr w14:paraId="572F2DF7">
        <w:tblPrEx>
          <w:tblCellMar>
            <w:top w:w="0" w:type="dxa"/>
            <w:left w:w="108" w:type="dxa"/>
            <w:bottom w:w="0" w:type="dxa"/>
            <w:right w:w="108" w:type="dxa"/>
          </w:tblCellMar>
        </w:tblPrEx>
        <w:trPr>
          <w:trHeight w:val="80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4E0A2CA">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车道、车位及附属构筑物要求</w:t>
            </w:r>
          </w:p>
        </w:tc>
      </w:tr>
      <w:tr w14:paraId="4B2233C7">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1207819">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1648D743">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p>
        </w:tc>
        <w:tc>
          <w:tcPr>
            <w:tcW w:w="7121" w:type="dxa"/>
            <w:tcBorders>
              <w:top w:val="single" w:color="auto" w:sz="4" w:space="0"/>
              <w:left w:val="nil"/>
              <w:bottom w:val="single" w:color="auto" w:sz="4" w:space="0"/>
              <w:right w:val="single" w:color="auto" w:sz="4" w:space="0"/>
            </w:tcBorders>
            <w:vAlign w:val="center"/>
          </w:tcPr>
          <w:p w14:paraId="19379DC2">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标准停车位、无障碍停车位、车行通道、人行通道、消防及急救专用通道的平面尺寸、放线定位、转弯半径均严格按图纸施工，尺寸偏差控制在规范允许范围内。</w:t>
            </w:r>
          </w:p>
        </w:tc>
      </w:tr>
      <w:tr w14:paraId="2BFDB87A">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82DCC2">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350111F1">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25</w:t>
            </w:r>
          </w:p>
        </w:tc>
        <w:tc>
          <w:tcPr>
            <w:tcW w:w="7121" w:type="dxa"/>
            <w:tcBorders>
              <w:top w:val="single" w:color="auto" w:sz="4" w:space="0"/>
              <w:left w:val="nil"/>
              <w:bottom w:val="single" w:color="auto" w:sz="4" w:space="0"/>
              <w:right w:val="single" w:color="auto" w:sz="4" w:space="0"/>
            </w:tcBorders>
            <w:vAlign w:val="center"/>
          </w:tcPr>
          <w:p w14:paraId="194876F9">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路缘石、道牙石、隔离石、挡车器、防撞石等附属构件，按图纸规格、材质及点位安装砌筑，线形顺直、标高统一、安装稳固。</w:t>
            </w:r>
          </w:p>
        </w:tc>
      </w:tr>
      <w:tr w14:paraId="5584CE66">
        <w:tblPrEx>
          <w:tblCellMar>
            <w:top w:w="0" w:type="dxa"/>
            <w:left w:w="108" w:type="dxa"/>
            <w:bottom w:w="0" w:type="dxa"/>
            <w:right w:w="108" w:type="dxa"/>
          </w:tblCellMar>
        </w:tblPrEx>
        <w:trPr>
          <w:trHeight w:val="80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532FDDAC">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交通标线及地面标识要求</w:t>
            </w:r>
          </w:p>
        </w:tc>
      </w:tr>
      <w:tr w14:paraId="1B6AB205">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4FFE32">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2924D410">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26</w:t>
            </w:r>
          </w:p>
        </w:tc>
        <w:tc>
          <w:tcPr>
            <w:tcW w:w="7121" w:type="dxa"/>
            <w:tcBorders>
              <w:top w:val="single" w:color="auto" w:sz="4" w:space="0"/>
              <w:left w:val="nil"/>
              <w:bottom w:val="single" w:color="auto" w:sz="4" w:space="0"/>
              <w:right w:val="single" w:color="auto" w:sz="4" w:space="0"/>
            </w:tcBorders>
            <w:vAlign w:val="center"/>
          </w:tcPr>
          <w:p w14:paraId="12A37A97">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车位边线、行车导向线、禁停线、消防通道标线、导流线及地面文字、箭头标识，采用国标热熔反光标线施工，厚度、反光系数、耐磨性能符合国标要求。</w:t>
            </w:r>
          </w:p>
        </w:tc>
      </w:tr>
      <w:tr w14:paraId="3A88B2E4">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627B9D">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5DDDDF42">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27</w:t>
            </w:r>
          </w:p>
        </w:tc>
        <w:tc>
          <w:tcPr>
            <w:tcW w:w="7121" w:type="dxa"/>
            <w:tcBorders>
              <w:top w:val="single" w:color="auto" w:sz="4" w:space="0"/>
              <w:left w:val="nil"/>
              <w:bottom w:val="single" w:color="auto" w:sz="4" w:space="0"/>
              <w:right w:val="single" w:color="auto" w:sz="4" w:space="0"/>
            </w:tcBorders>
            <w:vAlign w:val="center"/>
          </w:tcPr>
          <w:p w14:paraId="0B1F0858">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所有标线、地面文字标识样式、大小、位置严格按图纸施划，线条清晰、边角规整、附着牢固，耐磨耐候、夜间可视效果良好。</w:t>
            </w:r>
          </w:p>
        </w:tc>
      </w:tr>
      <w:tr w14:paraId="3915B4DE">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8890C01">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4B9B0524">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28</w:t>
            </w:r>
          </w:p>
        </w:tc>
        <w:tc>
          <w:tcPr>
            <w:tcW w:w="7121" w:type="dxa"/>
            <w:tcBorders>
              <w:top w:val="single" w:color="auto" w:sz="4" w:space="0"/>
              <w:left w:val="nil"/>
              <w:bottom w:val="single" w:color="auto" w:sz="4" w:space="0"/>
              <w:right w:val="single" w:color="auto" w:sz="4" w:space="0"/>
            </w:tcBorders>
            <w:vAlign w:val="center"/>
          </w:tcPr>
          <w:p w14:paraId="73B57268">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消防通道禁停标线、急救通道标识、无障碍标识按图纸完整施划，标识清晰、规范醒目。</w:t>
            </w:r>
          </w:p>
        </w:tc>
      </w:tr>
      <w:tr w14:paraId="2C32746F">
        <w:tblPrEx>
          <w:tblCellMar>
            <w:top w:w="0" w:type="dxa"/>
            <w:left w:w="108" w:type="dxa"/>
            <w:bottom w:w="0" w:type="dxa"/>
            <w:right w:w="108" w:type="dxa"/>
          </w:tblCellMar>
        </w:tblPrEx>
        <w:trPr>
          <w:trHeight w:val="801"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37F81B15">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验收及售后服务要求</w:t>
            </w:r>
          </w:p>
        </w:tc>
      </w:tr>
      <w:tr w14:paraId="05794FB0">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5E089B">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6C0A7D5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29</w:t>
            </w:r>
          </w:p>
        </w:tc>
        <w:tc>
          <w:tcPr>
            <w:tcW w:w="7121" w:type="dxa"/>
            <w:tcBorders>
              <w:top w:val="single" w:color="auto" w:sz="4" w:space="0"/>
              <w:left w:val="nil"/>
              <w:bottom w:val="single" w:color="auto" w:sz="4" w:space="0"/>
              <w:right w:val="single" w:color="auto" w:sz="4" w:space="0"/>
            </w:tcBorders>
            <w:vAlign w:val="center"/>
          </w:tcPr>
          <w:p w14:paraId="1ABFA99B">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施工单位完工后自行自检自查，整改全部缺陷隐患，具备验收条件后申请竣工验收，积极配合建设单位、监理单位及相关主管部门现场验收。</w:t>
            </w:r>
          </w:p>
        </w:tc>
      </w:tr>
      <w:tr w14:paraId="775256BA">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3CF3FF">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5EA99C7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w:t>
            </w:r>
          </w:p>
        </w:tc>
        <w:tc>
          <w:tcPr>
            <w:tcW w:w="7121" w:type="dxa"/>
            <w:tcBorders>
              <w:top w:val="single" w:color="auto" w:sz="4" w:space="0"/>
              <w:left w:val="nil"/>
              <w:bottom w:val="single" w:color="auto" w:sz="4" w:space="0"/>
              <w:right w:val="single" w:color="auto" w:sz="4" w:space="0"/>
            </w:tcBorders>
            <w:vAlign w:val="center"/>
          </w:tcPr>
          <w:p w14:paraId="0EF03B10">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验收过程中提出的整改问题，施工单位须在规定时限内无条件整改到位，直至验收合格。</w:t>
            </w:r>
          </w:p>
        </w:tc>
      </w:tr>
      <w:tr w14:paraId="4DE3DAB1">
        <w:tblPrEx>
          <w:tblCellMar>
            <w:top w:w="0" w:type="dxa"/>
            <w:left w:w="108" w:type="dxa"/>
            <w:bottom w:w="0" w:type="dxa"/>
            <w:right w:w="108" w:type="dxa"/>
          </w:tblCellMar>
        </w:tblPrEx>
        <w:trPr>
          <w:trHeight w:val="8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777FD6C">
            <w:pPr>
              <w:widowControl/>
              <w:jc w:val="center"/>
              <w:rPr>
                <w:rFonts w:hint="eastAsia" w:ascii="宋体" w:hAnsi="宋体" w:eastAsia="宋体" w:cs="宋体"/>
                <w:sz w:val="28"/>
                <w:szCs w:val="28"/>
                <w:lang w:eastAsia="zh-CN"/>
              </w:rPr>
            </w:pPr>
          </w:p>
        </w:tc>
        <w:tc>
          <w:tcPr>
            <w:tcW w:w="1134" w:type="dxa"/>
            <w:tcBorders>
              <w:top w:val="single" w:color="auto" w:sz="4" w:space="0"/>
              <w:left w:val="nil"/>
              <w:bottom w:val="single" w:color="auto" w:sz="4" w:space="0"/>
              <w:right w:val="single" w:color="auto" w:sz="4" w:space="0"/>
            </w:tcBorders>
            <w:vAlign w:val="center"/>
          </w:tcPr>
          <w:p w14:paraId="0E270731">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31</w:t>
            </w:r>
          </w:p>
        </w:tc>
        <w:tc>
          <w:tcPr>
            <w:tcW w:w="7121" w:type="dxa"/>
            <w:tcBorders>
              <w:top w:val="single" w:color="auto" w:sz="4" w:space="0"/>
              <w:left w:val="nil"/>
              <w:bottom w:val="single" w:color="auto" w:sz="4" w:space="0"/>
              <w:right w:val="single" w:color="auto" w:sz="4" w:space="0"/>
            </w:tcBorders>
            <w:vAlign w:val="center"/>
          </w:tcPr>
          <w:p w14:paraId="1EBBEBC9">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质保期内建立定期巡检机制，接到报修后及时响应，24小时内到场处置，对路面沉降、开裂、积水、破损、标线脱落等质量问题无偿修复。</w:t>
            </w:r>
          </w:p>
        </w:tc>
      </w:tr>
    </w:tbl>
    <w:p w14:paraId="29DEDA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p w14:paraId="0665E218">
      <w:pPr>
        <w:rPr>
          <w:rFonts w:hint="eastAsia"/>
        </w:rPr>
      </w:pPr>
    </w:p>
    <w:p w14:paraId="7EAEEF08">
      <w:pPr>
        <w:rPr>
          <w:rFonts w:hint="eastAsia"/>
        </w:rPr>
      </w:pPr>
    </w:p>
    <w:p w14:paraId="4A481274">
      <w:pPr>
        <w:rPr>
          <w:rFonts w:hint="eastAsia"/>
        </w:rPr>
      </w:pPr>
    </w:p>
    <w:p w14:paraId="3DE340CF">
      <w:pPr>
        <w:rPr>
          <w:rFonts w:hint="eastAsia"/>
        </w:rPr>
      </w:pPr>
    </w:p>
    <w:p w14:paraId="538B2B48">
      <w:pPr>
        <w:rPr>
          <w:rFonts w:hint="eastAsia"/>
        </w:rPr>
      </w:pPr>
    </w:p>
    <w:p w14:paraId="53CB1C15">
      <w:pPr>
        <w:rPr>
          <w:rFonts w:hint="eastAsia"/>
        </w:rPr>
      </w:pPr>
    </w:p>
    <w:p w14:paraId="1E12CBF1">
      <w:pPr>
        <w:rPr>
          <w:rFonts w:hint="eastAsia"/>
        </w:rPr>
      </w:pPr>
    </w:p>
    <w:p w14:paraId="2E5B84A0">
      <w:pPr>
        <w:rPr>
          <w:rFonts w:hint="eastAsia"/>
        </w:rPr>
      </w:pPr>
    </w:p>
    <w:p w14:paraId="54FB98A3">
      <w:pPr>
        <w:rPr>
          <w:rFonts w:hint="eastAsia"/>
        </w:rPr>
      </w:pPr>
    </w:p>
    <w:p w14:paraId="5B70B2C3">
      <w:pPr>
        <w:rPr>
          <w:rFonts w:hint="eastAsia"/>
        </w:rPr>
      </w:pPr>
    </w:p>
    <w:p w14:paraId="6DA8B11F">
      <w:pPr>
        <w:rPr>
          <w:rFonts w:hint="eastAsia"/>
        </w:rPr>
      </w:pPr>
    </w:p>
    <w:p w14:paraId="290C4EC6">
      <w:pPr>
        <w:rPr>
          <w:rFonts w:hint="eastAsia"/>
        </w:rPr>
      </w:pPr>
    </w:p>
    <w:p w14:paraId="362CB6E2">
      <w:pPr>
        <w:rPr>
          <w:rFonts w:hint="eastAsia"/>
        </w:rPr>
      </w:pPr>
    </w:p>
    <w:p w14:paraId="73DD67DC">
      <w:pPr>
        <w:rPr>
          <w:rFonts w:hint="eastAsia"/>
        </w:rPr>
      </w:pPr>
    </w:p>
    <w:p w14:paraId="402F35F5">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9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0"/>
        <w:gridCol w:w="3433"/>
        <w:gridCol w:w="3135"/>
      </w:tblGrid>
      <w:tr w14:paraId="6551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3270"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3433"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c>
          <w:tcPr>
            <w:tcW w:w="3135" w:type="dxa"/>
            <w:vAlign w:val="center"/>
          </w:tcPr>
          <w:p w14:paraId="2225DDF2">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进场时间</w:t>
            </w:r>
          </w:p>
        </w:tc>
      </w:tr>
      <w:tr w14:paraId="3406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3270"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3433"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135" w:type="dxa"/>
            <w:vMerge w:val="restart"/>
            <w:vAlign w:val="center"/>
          </w:tcPr>
          <w:p w14:paraId="26401C9C">
            <w:pPr>
              <w:spacing w:line="360" w:lineRule="auto"/>
              <w:jc w:val="center"/>
              <w:rPr>
                <w:rFonts w:hint="eastAsia" w:ascii="宋体" w:hAnsi="宋体" w:eastAsia="宋体" w:cs="宋体"/>
                <w:b w:val="0"/>
                <w:color w:val="000000"/>
                <w:sz w:val="24"/>
                <w:szCs w:val="24"/>
                <w:lang w:val="en-US" w:eastAsia="zh-CN" w:bidi="ar-SA"/>
              </w:rPr>
            </w:pPr>
          </w:p>
        </w:tc>
      </w:tr>
      <w:tr w14:paraId="71D5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3270"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3433" w:type="dxa"/>
            <w:vMerge w:val="continue"/>
            <w:vAlign w:val="center"/>
          </w:tcPr>
          <w:p w14:paraId="3E61E7D2"/>
        </w:tc>
        <w:tc>
          <w:tcPr>
            <w:tcW w:w="3135" w:type="dxa"/>
            <w:vMerge w:val="continue"/>
            <w:tcBorders/>
            <w:vAlign w:val="center"/>
          </w:tcPr>
          <w:p w14:paraId="2A3F9998"/>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2ED7EF9A">
      <w:pPr>
        <w:spacing w:line="360" w:lineRule="auto"/>
        <w:rPr>
          <w:rFonts w:hint="eastAsia" w:asciiTheme="majorHAnsi" w:hAnsiTheme="majorHAnsi" w:eastAsiaTheme="majorEastAsia" w:cstheme="minorBidi"/>
          <w:b/>
          <w:color w:val="000000"/>
          <w:sz w:val="32"/>
          <w:szCs w:val="32"/>
          <w:lang w:val="en-US" w:eastAsia="zh-CN" w:bidi="ar-SA"/>
        </w:rPr>
      </w:pPr>
    </w:p>
    <w:p w14:paraId="60F02A10">
      <w:pPr>
        <w:rPr>
          <w:rFonts w:ascii="宋体" w:hAnsi="宋体" w:eastAsia="宋体"/>
          <w:sz w:val="24"/>
          <w:szCs w:val="24"/>
          <w:lang w:val="zh-CN"/>
        </w:rPr>
      </w:pPr>
    </w:p>
    <w:p w14:paraId="2669CEDC">
      <w:pPr>
        <w:rPr>
          <w:rFonts w:hint="default" w:ascii="宋体" w:hAnsi="宋体" w:eastAsia="宋体"/>
          <w:sz w:val="32"/>
          <w:szCs w:val="32"/>
          <w:lang w:val="en-US" w:eastAsia="zh-CN"/>
        </w:rPr>
      </w:pPr>
      <w:r>
        <w:rPr>
          <w:rFonts w:hint="eastAsia" w:ascii="宋体" w:hAnsi="宋体" w:eastAsia="宋体"/>
          <w:sz w:val="32"/>
          <w:szCs w:val="32"/>
          <w:lang w:val="en-US" w:eastAsia="zh-CN"/>
        </w:rPr>
        <w:t>工程量清单</w:t>
      </w: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5FAC6D71">
      <w:pPr>
        <w:rPr>
          <w:rFonts w:ascii="宋体" w:hAnsi="宋体" w:eastAsia="宋体"/>
          <w:sz w:val="24"/>
          <w:szCs w:val="24"/>
          <w:lang w:val="zh-CN"/>
        </w:rPr>
      </w:pPr>
    </w:p>
    <w:p w14:paraId="300F706D">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26E12-4737-4A8C-8D44-AAB5129CDB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249FE401-18A2-4624-BDCD-76E779FC607A}"/>
  </w:font>
  <w:font w:name="Calibri Light">
    <w:panose1 w:val="020F0302020204030204"/>
    <w:charset w:val="00"/>
    <w:family w:val="auto"/>
    <w:pitch w:val="default"/>
    <w:sig w:usb0="E4002EFF" w:usb1="C200247B" w:usb2="00000009" w:usb3="00000000" w:csb0="200001FF" w:csb1="00000000"/>
    <w:embedRegular r:id="rId3" w:fontKey="{73208424-6744-4AC2-B90B-A221E297D437}"/>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690BFC39-6443-47FD-8679-EF917CFA92F5}"/>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53022AB"/>
    <w:rsid w:val="4603606C"/>
    <w:rsid w:val="476308A2"/>
    <w:rsid w:val="47C04769"/>
    <w:rsid w:val="481400D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4A6E5C"/>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6581</Words>
  <Characters>7230</Characters>
  <Lines>0</Lines>
  <Paragraphs>0</Paragraphs>
  <TotalTime>3</TotalTime>
  <ScaleCrop>false</ScaleCrop>
  <LinksUpToDate>false</LinksUpToDate>
  <CharactersWithSpaces>7778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2026-05-14T09:22:35Z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D3FA8DEC715D4526B2D044F18253E6C4_13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