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bookmarkStart w:id="1" w:name="_GoBack"/>
      <w:bookmarkEnd w:id="1"/>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E3C523F">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心内科智能临床专病数据平台项目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2026年6月4日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3"/>
        <w:tblW w:w="105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7"/>
        <w:gridCol w:w="3312"/>
        <w:gridCol w:w="1200"/>
        <w:gridCol w:w="1079"/>
        <w:gridCol w:w="1933"/>
        <w:gridCol w:w="1916"/>
      </w:tblGrid>
      <w:tr w14:paraId="4140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7A81DA6D">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序号</w:t>
            </w:r>
          </w:p>
        </w:tc>
        <w:tc>
          <w:tcPr>
            <w:tcW w:w="3312" w:type="dxa"/>
            <w:vAlign w:val="center"/>
          </w:tcPr>
          <w:p w14:paraId="64796E08">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名称</w:t>
            </w:r>
          </w:p>
        </w:tc>
        <w:tc>
          <w:tcPr>
            <w:tcW w:w="1200" w:type="dxa"/>
            <w:vAlign w:val="center"/>
          </w:tcPr>
          <w:p w14:paraId="7A804BFE">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单位</w:t>
            </w:r>
          </w:p>
        </w:tc>
        <w:tc>
          <w:tcPr>
            <w:tcW w:w="1079" w:type="dxa"/>
            <w:vAlign w:val="center"/>
          </w:tcPr>
          <w:p w14:paraId="708B732B">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数量</w:t>
            </w:r>
          </w:p>
        </w:tc>
        <w:tc>
          <w:tcPr>
            <w:tcW w:w="1933" w:type="dxa"/>
            <w:vAlign w:val="center"/>
          </w:tcPr>
          <w:p w14:paraId="5D560582">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预算单价</w:t>
            </w:r>
          </w:p>
        </w:tc>
        <w:tc>
          <w:tcPr>
            <w:tcW w:w="1916" w:type="dxa"/>
            <w:vAlign w:val="center"/>
          </w:tcPr>
          <w:p w14:paraId="4A304B56">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预算总价</w:t>
            </w:r>
          </w:p>
        </w:tc>
      </w:tr>
      <w:tr w14:paraId="3EE5F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47DF8796">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3312" w:type="dxa"/>
            <w:vAlign w:val="center"/>
          </w:tcPr>
          <w:p w14:paraId="262C4848">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心内科智能临床专病数据平台项目</w:t>
            </w:r>
          </w:p>
        </w:tc>
        <w:tc>
          <w:tcPr>
            <w:tcW w:w="1200" w:type="dxa"/>
            <w:vAlign w:val="center"/>
          </w:tcPr>
          <w:p w14:paraId="79025DAA">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套</w:t>
            </w:r>
          </w:p>
        </w:tc>
        <w:tc>
          <w:tcPr>
            <w:tcW w:w="1079" w:type="dxa"/>
            <w:vAlign w:val="center"/>
          </w:tcPr>
          <w:p w14:paraId="149F8EA1">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933" w:type="dxa"/>
            <w:vAlign w:val="center"/>
          </w:tcPr>
          <w:p w14:paraId="64379028">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290000</w:t>
            </w:r>
          </w:p>
        </w:tc>
        <w:tc>
          <w:tcPr>
            <w:tcW w:w="1916" w:type="dxa"/>
            <w:vAlign w:val="center"/>
          </w:tcPr>
          <w:p w14:paraId="268CE5AA">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290000</w:t>
            </w:r>
          </w:p>
        </w:tc>
      </w:tr>
      <w:tr w14:paraId="4EAD4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519D93D7">
            <w:pPr>
              <w:widowControl/>
              <w:jc w:val="center"/>
              <w:textAlignment w:val="center"/>
              <w:rPr>
                <w:rFonts w:hint="eastAsia" w:ascii="宋体" w:hAnsi="宋体" w:eastAsia="宋体" w:cs="宋体"/>
                <w:color w:val="000000"/>
                <w:kern w:val="0"/>
                <w:sz w:val="24"/>
                <w:szCs w:val="24"/>
                <w:lang w:val="en-US" w:eastAsia="zh-CN"/>
              </w:rPr>
            </w:pPr>
          </w:p>
        </w:tc>
        <w:tc>
          <w:tcPr>
            <w:tcW w:w="7524" w:type="dxa"/>
            <w:gridSpan w:val="4"/>
            <w:vAlign w:val="center"/>
          </w:tcPr>
          <w:p w14:paraId="10F3957F">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总价合计</w:t>
            </w:r>
          </w:p>
        </w:tc>
        <w:tc>
          <w:tcPr>
            <w:tcW w:w="1916" w:type="dxa"/>
            <w:vAlign w:val="center"/>
          </w:tcPr>
          <w:p w14:paraId="263A66D9">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290000</w:t>
            </w:r>
          </w:p>
        </w:tc>
      </w:tr>
      <w:tr w14:paraId="0A154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5DCCFE4D">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3312" w:type="dxa"/>
            <w:vAlign w:val="center"/>
          </w:tcPr>
          <w:p w14:paraId="3FA9931A">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交付使用时间</w:t>
            </w:r>
          </w:p>
        </w:tc>
        <w:tc>
          <w:tcPr>
            <w:tcW w:w="6128" w:type="dxa"/>
            <w:gridSpan w:val="4"/>
            <w:vAlign w:val="center"/>
          </w:tcPr>
          <w:p w14:paraId="7B0F858F">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合同签订后1个月</w:t>
            </w:r>
          </w:p>
        </w:tc>
      </w:tr>
      <w:tr w14:paraId="2D7A3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36FB11E5">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3312" w:type="dxa"/>
            <w:vAlign w:val="center"/>
          </w:tcPr>
          <w:p w14:paraId="54AF1DB9">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质保期</w:t>
            </w:r>
          </w:p>
        </w:tc>
        <w:tc>
          <w:tcPr>
            <w:tcW w:w="6128" w:type="dxa"/>
            <w:gridSpan w:val="4"/>
            <w:vAlign w:val="center"/>
          </w:tcPr>
          <w:p w14:paraId="3EC65E09">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1年</w:t>
            </w:r>
          </w:p>
        </w:tc>
      </w:tr>
      <w:tr w14:paraId="5D58E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67" w:type="dxa"/>
            <w:vAlign w:val="center"/>
          </w:tcPr>
          <w:p w14:paraId="4223457A">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3312" w:type="dxa"/>
            <w:vAlign w:val="center"/>
          </w:tcPr>
          <w:p w14:paraId="6801DFC0">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付款方式</w:t>
            </w:r>
          </w:p>
        </w:tc>
        <w:tc>
          <w:tcPr>
            <w:tcW w:w="6128" w:type="dxa"/>
            <w:gridSpan w:val="4"/>
            <w:vAlign w:val="center"/>
          </w:tcPr>
          <w:p w14:paraId="57714980">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合同签订后付30%，验收合格后付60%，剩余10%质保期满后支付</w:t>
            </w:r>
          </w:p>
        </w:tc>
      </w:tr>
      <w:tr w14:paraId="2E9B2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73670BBC">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3312" w:type="dxa"/>
            <w:vAlign w:val="center"/>
          </w:tcPr>
          <w:p w14:paraId="5465141E">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交付地点</w:t>
            </w:r>
          </w:p>
        </w:tc>
        <w:tc>
          <w:tcPr>
            <w:tcW w:w="6128" w:type="dxa"/>
            <w:gridSpan w:val="4"/>
            <w:vAlign w:val="center"/>
          </w:tcPr>
          <w:p w14:paraId="498BB87C">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B99692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目前医院心内科诊疗数据分散、标准不统一、缺乏统一管理工具，科研数据提取困难、随访管理薄弱，大量临床数据无法形成数据资产，难以支撑学科建设、高质量科研与等级医院评审要求。建设心内科智能临床专病数据平台，是提升心内科管理水平、提高科研效率、完善院后随访、实现数据价值化、布局智慧医疗的关键基础性工程，符合医院数字化转型与高质量发展需求。</w:t>
      </w:r>
    </w:p>
    <w:p w14:paraId="21A1230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（二）附件：技术参数和要求（功能和质量）</w:t>
      </w:r>
    </w:p>
    <w:tbl>
      <w:tblPr>
        <w:tblStyle w:val="12"/>
        <w:tblW w:w="9810" w:type="dxa"/>
        <w:jc w:val="center"/>
        <w:tblLayout w:type="fixed"/>
        <w:tblCellMar>
          <w:top w:w="0" w:type="dxa"/>
          <w:left w:w="108" w:type="dxa"/>
          <w:bottom w:w="0" w:type="dxa"/>
          <w:right w:w="108" w:type="dxa"/>
        </w:tblCellMar>
      </w:tblPr>
      <w:tblGrid>
        <w:gridCol w:w="1555"/>
        <w:gridCol w:w="1134"/>
        <w:gridCol w:w="7121"/>
      </w:tblGrid>
      <w:tr w14:paraId="7A11836F">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1A90074">
            <w:pPr>
              <w:widowControl/>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1134" w:type="dxa"/>
            <w:tcBorders>
              <w:top w:val="single" w:color="auto" w:sz="4" w:space="0"/>
              <w:left w:val="nil"/>
              <w:bottom w:val="single" w:color="auto" w:sz="4" w:space="0"/>
              <w:right w:val="single" w:color="auto" w:sz="4" w:space="0"/>
            </w:tcBorders>
            <w:noWrap w:val="0"/>
            <w:vAlign w:val="center"/>
          </w:tcPr>
          <w:p w14:paraId="24C2497C">
            <w:pPr>
              <w:widowControl/>
              <w:jc w:val="center"/>
              <w:rPr>
                <w:rFonts w:hint="eastAsia" w:ascii="宋体" w:hAnsi="宋体" w:eastAsia="宋体" w:cs="宋体"/>
                <w:sz w:val="24"/>
                <w:szCs w:val="24"/>
              </w:rPr>
            </w:pPr>
            <w:r>
              <w:rPr>
                <w:rFonts w:hint="eastAsia" w:ascii="宋体" w:hAnsi="宋体" w:eastAsia="宋体" w:cs="宋体"/>
                <w:sz w:val="24"/>
                <w:szCs w:val="24"/>
              </w:rPr>
              <w:t>编号</w:t>
            </w:r>
          </w:p>
        </w:tc>
        <w:tc>
          <w:tcPr>
            <w:tcW w:w="7121" w:type="dxa"/>
            <w:tcBorders>
              <w:top w:val="single" w:color="auto" w:sz="4" w:space="0"/>
              <w:left w:val="nil"/>
              <w:bottom w:val="single" w:color="auto" w:sz="4" w:space="0"/>
              <w:right w:val="single" w:color="auto" w:sz="4" w:space="0"/>
            </w:tcBorders>
            <w:noWrap w:val="0"/>
            <w:vAlign w:val="center"/>
          </w:tcPr>
          <w:p w14:paraId="02441D7A">
            <w:pPr>
              <w:widowControl/>
              <w:jc w:val="center"/>
              <w:rPr>
                <w:rFonts w:hint="eastAsia" w:ascii="宋体" w:hAnsi="宋体" w:eastAsia="宋体" w:cs="宋体"/>
                <w:sz w:val="24"/>
                <w:szCs w:val="24"/>
              </w:rPr>
            </w:pPr>
            <w:r>
              <w:rPr>
                <w:rFonts w:hint="eastAsia" w:ascii="宋体" w:hAnsi="宋体" w:eastAsia="宋体" w:cs="宋体"/>
                <w:sz w:val="24"/>
                <w:szCs w:val="24"/>
              </w:rPr>
              <w:t>技术参数和要求</w:t>
            </w:r>
          </w:p>
        </w:tc>
      </w:tr>
      <w:tr w14:paraId="1DC10A1E">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10B08FB">
            <w:pPr>
              <w:widowControl/>
              <w:jc w:val="center"/>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DC860CF">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121" w:type="dxa"/>
            <w:tcBorders>
              <w:top w:val="single" w:color="auto" w:sz="4" w:space="0"/>
              <w:left w:val="nil"/>
              <w:bottom w:val="single" w:color="auto" w:sz="4" w:space="0"/>
              <w:right w:val="single" w:color="auto" w:sz="4" w:space="0"/>
            </w:tcBorders>
            <w:noWrap w:val="0"/>
            <w:vAlign w:val="center"/>
          </w:tcPr>
          <w:p w14:paraId="322AC989">
            <w:pPr>
              <w:widowControl/>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一．系统整体及功能要求（编号2至23）</w:t>
            </w:r>
          </w:p>
        </w:tc>
      </w:tr>
      <w:tr w14:paraId="440FC73C">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CBC595C">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203200" cy="203200"/>
                  <wp:effectExtent l="0" t="0" r="6350" b="5715"/>
                  <wp:docPr id="16" name="图片 1" descr="三角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三角形"/>
                          <pic:cNvPicPr>
                            <a:picLocks noChangeAspect="1"/>
                          </pic:cNvPicPr>
                        </pic:nvPicPr>
                        <pic:blipFill>
                          <a:blip r:embed="rId5"/>
                          <a:stretch>
                            <a:fillRect/>
                          </a:stretch>
                        </pic:blipFill>
                        <pic:spPr>
                          <a:xfrm>
                            <a:off x="0" y="0"/>
                            <a:ext cx="203200" cy="203200"/>
                          </a:xfrm>
                          <a:prstGeom prst="rect">
                            <a:avLst/>
                          </a:prstGeom>
                          <a:noFill/>
                          <a:ln>
                            <a:noFill/>
                          </a:ln>
                        </pic:spPr>
                      </pic:pic>
                    </a:graphicData>
                  </a:graphic>
                </wp:inline>
              </w:drawing>
            </w:r>
          </w:p>
        </w:tc>
        <w:tc>
          <w:tcPr>
            <w:tcW w:w="1134" w:type="dxa"/>
            <w:tcBorders>
              <w:top w:val="single" w:color="auto" w:sz="4" w:space="0"/>
              <w:left w:val="nil"/>
              <w:bottom w:val="single" w:color="auto" w:sz="4" w:space="0"/>
              <w:right w:val="single" w:color="auto" w:sz="4" w:space="0"/>
            </w:tcBorders>
            <w:noWrap w:val="0"/>
            <w:vAlign w:val="center"/>
          </w:tcPr>
          <w:p w14:paraId="280D0807">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7121" w:type="dxa"/>
            <w:tcBorders>
              <w:top w:val="single" w:color="auto" w:sz="4" w:space="0"/>
              <w:left w:val="nil"/>
              <w:bottom w:val="single" w:color="auto" w:sz="4" w:space="0"/>
              <w:right w:val="single" w:color="auto" w:sz="4" w:space="0"/>
            </w:tcBorders>
            <w:noWrap w:val="0"/>
            <w:vAlign w:val="center"/>
          </w:tcPr>
          <w:p w14:paraId="1E1783FC">
            <w:pPr>
              <w:widowControl/>
              <w:jc w:val="left"/>
              <w:rPr>
                <w:rFonts w:hint="eastAsia" w:ascii="宋体" w:hAnsi="宋体" w:eastAsia="宋体" w:cs="宋体"/>
                <w:sz w:val="24"/>
                <w:szCs w:val="24"/>
                <w:lang w:val="en-US"/>
              </w:rPr>
            </w:pPr>
            <w:r>
              <w:rPr>
                <w:rFonts w:hint="eastAsia" w:ascii="宋体" w:hAnsi="宋体" w:eastAsia="宋体" w:cs="宋体"/>
                <w:sz w:val="24"/>
                <w:szCs w:val="24"/>
                <w:lang w:val="en-US"/>
              </w:rPr>
              <w:t>平台需内嵌 BI 可视化能力，支持专病库各主题的图表，并可在系统门户内直接嵌入展示，实现科研统计与协同监管的统一看板。</w:t>
            </w:r>
          </w:p>
        </w:tc>
      </w:tr>
      <w:tr w14:paraId="6BD94E2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C772510">
            <w:pPr>
              <w:widowControl/>
              <w:jc w:val="center"/>
              <w:rPr>
                <w:rFonts w:hint="eastAsia" w:ascii="宋体" w:hAnsi="宋体" w:eastAsia="宋体" w:cs="宋体"/>
                <w:sz w:val="24"/>
                <w:szCs w:val="24"/>
              </w:rPr>
            </w:pPr>
            <w:r>
              <w:rPr>
                <w:rFonts w:hint="eastAsia" w:ascii="宋体" w:hAnsi="宋体" w:eastAsia="宋体" w:cs="宋体"/>
                <w:sz w:val="24"/>
                <w:szCs w:val="24"/>
                <w:lang w:eastAsia="zh-CN"/>
              </w:rPr>
              <w:drawing>
                <wp:inline distT="0" distB="0" distL="114300" distR="114300">
                  <wp:extent cx="203200" cy="203200"/>
                  <wp:effectExtent l="0" t="0" r="6350" b="5715"/>
                  <wp:docPr id="7" name="图片 2" descr="三角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三角形"/>
                          <pic:cNvPicPr>
                            <a:picLocks noChangeAspect="1"/>
                          </pic:cNvPicPr>
                        </pic:nvPicPr>
                        <pic:blipFill>
                          <a:blip r:embed="rId5"/>
                          <a:stretch>
                            <a:fillRect/>
                          </a:stretch>
                        </pic:blipFill>
                        <pic:spPr>
                          <a:xfrm>
                            <a:off x="0" y="0"/>
                            <a:ext cx="203200" cy="203200"/>
                          </a:xfrm>
                          <a:prstGeom prst="rect">
                            <a:avLst/>
                          </a:prstGeom>
                          <a:noFill/>
                          <a:ln>
                            <a:noFill/>
                          </a:ln>
                        </pic:spPr>
                      </pic:pic>
                    </a:graphicData>
                  </a:graphic>
                </wp:inline>
              </w:drawing>
            </w:r>
          </w:p>
        </w:tc>
        <w:tc>
          <w:tcPr>
            <w:tcW w:w="1134" w:type="dxa"/>
            <w:tcBorders>
              <w:top w:val="single" w:color="auto" w:sz="4" w:space="0"/>
              <w:left w:val="nil"/>
              <w:bottom w:val="single" w:color="auto" w:sz="4" w:space="0"/>
              <w:right w:val="single" w:color="auto" w:sz="4" w:space="0"/>
            </w:tcBorders>
            <w:noWrap w:val="0"/>
            <w:vAlign w:val="center"/>
          </w:tcPr>
          <w:p w14:paraId="3DED78DD">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7121" w:type="dxa"/>
            <w:tcBorders>
              <w:top w:val="single" w:color="auto" w:sz="4" w:space="0"/>
              <w:left w:val="nil"/>
              <w:bottom w:val="single" w:color="auto" w:sz="4" w:space="0"/>
              <w:right w:val="single" w:color="auto" w:sz="4" w:space="0"/>
            </w:tcBorders>
            <w:noWrap w:val="0"/>
            <w:vAlign w:val="center"/>
          </w:tcPr>
          <w:p w14:paraId="30589FE8">
            <w:pPr>
              <w:widowControl/>
              <w:jc w:val="left"/>
              <w:rPr>
                <w:rFonts w:hint="eastAsia" w:ascii="宋体" w:hAnsi="宋体" w:eastAsia="宋体" w:cs="宋体"/>
                <w:sz w:val="24"/>
                <w:szCs w:val="24"/>
              </w:rPr>
            </w:pPr>
            <w:r>
              <w:rPr>
                <w:rFonts w:hint="eastAsia" w:ascii="宋体" w:hAnsi="宋体" w:eastAsia="宋体" w:cs="宋体"/>
                <w:sz w:val="24"/>
                <w:szCs w:val="24"/>
              </w:rPr>
              <w:t>支持心内科患者信息全生命周期管理，包括添加新患者、删除不符合条件患者、编辑资料，保障患者基础信息完整准确。</w:t>
            </w:r>
          </w:p>
        </w:tc>
      </w:tr>
      <w:tr w14:paraId="49D38FC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7EB0908">
            <w:pPr>
              <w:widowControl/>
              <w:jc w:val="center"/>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2C1CBB9A">
            <w:pPr>
              <w:widowControl/>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7121" w:type="dxa"/>
            <w:tcBorders>
              <w:top w:val="single" w:color="auto" w:sz="4" w:space="0"/>
              <w:left w:val="nil"/>
              <w:bottom w:val="single" w:color="auto" w:sz="4" w:space="0"/>
              <w:right w:val="single" w:color="auto" w:sz="4" w:space="0"/>
            </w:tcBorders>
            <w:noWrap w:val="0"/>
            <w:vAlign w:val="center"/>
          </w:tcPr>
          <w:p w14:paraId="3EF6016A">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支持患者回收站功能，删除的患者会首先进入回收站，之后可在回收站内将其还原或彻底删除，避免数据冗余与信息丢失。</w:t>
            </w:r>
          </w:p>
        </w:tc>
      </w:tr>
      <w:tr w14:paraId="610B0EA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4176ADF">
            <w:pPr>
              <w:widowControl/>
              <w:jc w:val="center"/>
              <w:rPr>
                <w:rFonts w:hint="eastAsia" w:ascii="宋体" w:hAnsi="宋体" w:eastAsia="宋体" w:cs="宋体"/>
                <w:sz w:val="24"/>
                <w:szCs w:val="24"/>
              </w:rPr>
            </w:pPr>
            <w:r>
              <w:rPr>
                <w:rFonts w:hint="eastAsia" w:ascii="宋体" w:hAnsi="宋体" w:eastAsia="宋体" w:cs="宋体"/>
                <w:sz w:val="24"/>
                <w:szCs w:val="24"/>
                <w:lang w:eastAsia="zh-CN"/>
              </w:rPr>
              <w:drawing>
                <wp:inline distT="0" distB="0" distL="114300" distR="114300">
                  <wp:extent cx="203200" cy="203200"/>
                  <wp:effectExtent l="0" t="0" r="6350" b="5715"/>
                  <wp:docPr id="14" name="图片 3" descr="三角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三角形"/>
                          <pic:cNvPicPr>
                            <a:picLocks noChangeAspect="1"/>
                          </pic:cNvPicPr>
                        </pic:nvPicPr>
                        <pic:blipFill>
                          <a:blip r:embed="rId5"/>
                          <a:stretch>
                            <a:fillRect/>
                          </a:stretch>
                        </pic:blipFill>
                        <pic:spPr>
                          <a:xfrm>
                            <a:off x="0" y="0"/>
                            <a:ext cx="203200" cy="203200"/>
                          </a:xfrm>
                          <a:prstGeom prst="rect">
                            <a:avLst/>
                          </a:prstGeom>
                          <a:noFill/>
                          <a:ln>
                            <a:noFill/>
                          </a:ln>
                        </pic:spPr>
                      </pic:pic>
                    </a:graphicData>
                  </a:graphic>
                </wp:inline>
              </w:drawing>
            </w:r>
          </w:p>
        </w:tc>
        <w:tc>
          <w:tcPr>
            <w:tcW w:w="1134" w:type="dxa"/>
            <w:tcBorders>
              <w:top w:val="single" w:color="auto" w:sz="4" w:space="0"/>
              <w:left w:val="nil"/>
              <w:bottom w:val="single" w:color="auto" w:sz="4" w:space="0"/>
              <w:right w:val="single" w:color="auto" w:sz="4" w:space="0"/>
            </w:tcBorders>
            <w:noWrap w:val="0"/>
            <w:vAlign w:val="center"/>
          </w:tcPr>
          <w:p w14:paraId="66B210B0">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7121" w:type="dxa"/>
            <w:tcBorders>
              <w:top w:val="single" w:color="auto" w:sz="4" w:space="0"/>
              <w:left w:val="nil"/>
              <w:bottom w:val="single" w:color="auto" w:sz="4" w:space="0"/>
              <w:right w:val="single" w:color="auto" w:sz="4" w:space="0"/>
            </w:tcBorders>
            <w:noWrap w:val="0"/>
            <w:vAlign w:val="center"/>
          </w:tcPr>
          <w:p w14:paraId="23448A03">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以时间轴模式直观呈现心内科患者全周期诊疗事件历程，包括门诊、住院、检查、手术、不良事件等；并且可以查看每个事件的处理进展。</w:t>
            </w:r>
          </w:p>
        </w:tc>
      </w:tr>
      <w:tr w14:paraId="3518643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1BB9E8E9">
            <w:pPr>
              <w:widowControl/>
              <w:jc w:val="center"/>
              <w:rPr>
                <w:rFonts w:hint="eastAsia" w:ascii="宋体" w:hAnsi="宋体" w:eastAsia="宋体" w:cs="宋体"/>
                <w:sz w:val="24"/>
                <w:szCs w:val="24"/>
              </w:rPr>
            </w:pPr>
            <w:r>
              <w:rPr>
                <w:rFonts w:hint="eastAsia" w:ascii="宋体" w:hAnsi="宋体" w:eastAsia="宋体" w:cs="宋体"/>
                <w:sz w:val="24"/>
                <w:szCs w:val="24"/>
                <w:lang w:eastAsia="zh-CN"/>
              </w:rPr>
              <w:drawing>
                <wp:inline distT="0" distB="0" distL="114300" distR="114300">
                  <wp:extent cx="203200" cy="203200"/>
                  <wp:effectExtent l="0" t="0" r="6350" b="5715"/>
                  <wp:docPr id="9" name="图片 4" descr="三角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三角形"/>
                          <pic:cNvPicPr>
                            <a:picLocks noChangeAspect="1"/>
                          </pic:cNvPicPr>
                        </pic:nvPicPr>
                        <pic:blipFill>
                          <a:blip r:embed="rId5"/>
                          <a:stretch>
                            <a:fillRect/>
                          </a:stretch>
                        </pic:blipFill>
                        <pic:spPr>
                          <a:xfrm>
                            <a:off x="0" y="0"/>
                            <a:ext cx="203200" cy="203200"/>
                          </a:xfrm>
                          <a:prstGeom prst="rect">
                            <a:avLst/>
                          </a:prstGeom>
                          <a:noFill/>
                          <a:ln>
                            <a:noFill/>
                          </a:ln>
                        </pic:spPr>
                      </pic:pic>
                    </a:graphicData>
                  </a:graphic>
                </wp:inline>
              </w:drawing>
            </w:r>
          </w:p>
        </w:tc>
        <w:tc>
          <w:tcPr>
            <w:tcW w:w="1134" w:type="dxa"/>
            <w:tcBorders>
              <w:top w:val="single" w:color="auto" w:sz="4" w:space="0"/>
              <w:left w:val="nil"/>
              <w:bottom w:val="single" w:color="auto" w:sz="4" w:space="0"/>
              <w:right w:val="single" w:color="auto" w:sz="4" w:space="0"/>
            </w:tcBorders>
            <w:noWrap w:val="0"/>
            <w:vAlign w:val="center"/>
          </w:tcPr>
          <w:p w14:paraId="710FA70D">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7121" w:type="dxa"/>
            <w:tcBorders>
              <w:top w:val="single" w:color="auto" w:sz="4" w:space="0"/>
              <w:left w:val="nil"/>
              <w:bottom w:val="single" w:color="auto" w:sz="4" w:space="0"/>
              <w:right w:val="single" w:color="auto" w:sz="4" w:space="0"/>
            </w:tcBorders>
            <w:noWrap w:val="0"/>
            <w:vAlign w:val="center"/>
          </w:tcPr>
          <w:p w14:paraId="1DD32F4C">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支持手动核验患者信息并标注管理状态（未核验、有效、无效）；允许添加自定义标签实现精细化管理，且能快速概览患者信息、核验状态与事件进展。</w:t>
            </w:r>
          </w:p>
        </w:tc>
      </w:tr>
      <w:tr w14:paraId="3E644FE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4558581">
            <w:pPr>
              <w:widowControl/>
              <w:jc w:val="center"/>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110EF328">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7121" w:type="dxa"/>
            <w:tcBorders>
              <w:top w:val="single" w:color="auto" w:sz="4" w:space="0"/>
              <w:left w:val="nil"/>
              <w:bottom w:val="single" w:color="auto" w:sz="4" w:space="0"/>
              <w:right w:val="single" w:color="auto" w:sz="4" w:space="0"/>
            </w:tcBorders>
            <w:noWrap w:val="0"/>
            <w:vAlign w:val="center"/>
          </w:tcPr>
          <w:p w14:paraId="2225536D">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支持心内科患者基础检索，可通过姓名、性别、ID、住院日期等常用字段快速查找</w:t>
            </w:r>
          </w:p>
        </w:tc>
      </w:tr>
      <w:tr w14:paraId="37064B5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994AF71">
            <w:pPr>
              <w:widowControl/>
              <w:jc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6A939491">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7121" w:type="dxa"/>
            <w:tcBorders>
              <w:top w:val="single" w:color="auto" w:sz="4" w:space="0"/>
              <w:left w:val="nil"/>
              <w:bottom w:val="single" w:color="auto" w:sz="4" w:space="0"/>
              <w:right w:val="single" w:color="auto" w:sz="4" w:space="0"/>
            </w:tcBorders>
            <w:noWrap w:val="0"/>
            <w:vAlign w:val="center"/>
          </w:tcPr>
          <w:p w14:paraId="7517C5E8">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提供高级检索功能，可以将数据库内任一字段作为检索项，支持多条件复杂逻辑组合查询心内科患者（需提供佐证材料）。</w:t>
            </w:r>
          </w:p>
        </w:tc>
      </w:tr>
      <w:tr w14:paraId="1955DDE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02EBAA5">
            <w:pPr>
              <w:widowControl/>
              <w:jc w:val="center"/>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171E1FB7">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7121" w:type="dxa"/>
            <w:tcBorders>
              <w:top w:val="single" w:color="auto" w:sz="4" w:space="0"/>
              <w:left w:val="nil"/>
              <w:bottom w:val="single" w:color="auto" w:sz="4" w:space="0"/>
              <w:right w:val="single" w:color="auto" w:sz="4" w:space="0"/>
            </w:tcBorders>
            <w:noWrap w:val="0"/>
            <w:vAlign w:val="center"/>
          </w:tcPr>
          <w:p w14:paraId="2A9E084F">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支持自定义高级检索模板并保存到该账号下，便于下次登录快捷筛选患者。</w:t>
            </w:r>
          </w:p>
        </w:tc>
      </w:tr>
      <w:tr w14:paraId="4310B7C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7017909">
            <w:pPr>
              <w:widowControl/>
              <w:jc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7E5C183E">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121" w:type="dxa"/>
            <w:tcBorders>
              <w:top w:val="single" w:color="auto" w:sz="4" w:space="0"/>
              <w:left w:val="nil"/>
              <w:bottom w:val="single" w:color="auto" w:sz="4" w:space="0"/>
              <w:right w:val="single" w:color="auto" w:sz="4" w:space="0"/>
            </w:tcBorders>
            <w:noWrap w:val="0"/>
            <w:vAlign w:val="center"/>
          </w:tcPr>
          <w:p w14:paraId="2B89D710">
            <w:pPr>
              <w:widowControl/>
              <w:jc w:val="left"/>
              <w:rPr>
                <w:rFonts w:hint="eastAsia" w:ascii="宋体" w:hAnsi="宋体" w:eastAsia="宋体" w:cs="宋体"/>
                <w:sz w:val="24"/>
                <w:szCs w:val="24"/>
              </w:rPr>
            </w:pPr>
            <w:r>
              <w:rPr>
                <w:rFonts w:hint="eastAsia" w:ascii="宋体" w:hAnsi="宋体" w:eastAsia="宋体" w:cs="宋体"/>
                <w:sz w:val="24"/>
                <w:szCs w:val="24"/>
              </w:rPr>
              <w:t>支持根据匿名化标准进行数据导出，在导出过程中自动处理患者隐私信息（如姓名、ID 等标识性字段），确保导出数据符合隐私保护要求，同时保留研究所需的关键临床数据维度（需提供佐证材料）。</w:t>
            </w:r>
          </w:p>
        </w:tc>
      </w:tr>
      <w:tr w14:paraId="4356701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AB1008E">
            <w:pPr>
              <w:widowControl/>
              <w:jc w:val="center"/>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3118650E">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7121" w:type="dxa"/>
            <w:tcBorders>
              <w:top w:val="single" w:color="auto" w:sz="4" w:space="0"/>
              <w:left w:val="nil"/>
              <w:bottom w:val="single" w:color="auto" w:sz="4" w:space="0"/>
              <w:right w:val="single" w:color="auto" w:sz="4" w:space="0"/>
            </w:tcBorders>
            <w:noWrap w:val="0"/>
            <w:vAlign w:val="center"/>
          </w:tcPr>
          <w:p w14:paraId="2EFEA51C">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支持自定义列表展示内容，从备选列中勾选所需字段灵活配置，满足不同数据查看需求。</w:t>
            </w:r>
          </w:p>
        </w:tc>
      </w:tr>
      <w:tr w14:paraId="0F8A6DD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242224D">
            <w:pPr>
              <w:widowControl/>
              <w:jc w:val="center"/>
              <w:rPr>
                <w:rFonts w:hint="eastAsia" w:ascii="宋体" w:hAnsi="宋体" w:eastAsia="宋体" w:cs="宋体"/>
                <w:sz w:val="24"/>
                <w:szCs w:val="24"/>
              </w:rPr>
            </w:pPr>
            <w:r>
              <w:rPr>
                <w:rFonts w:hint="eastAsia" w:ascii="宋体" w:hAnsi="宋体" w:eastAsia="宋体" w:cs="宋体"/>
                <w:sz w:val="24"/>
                <w:szCs w:val="24"/>
                <w:lang w:eastAsia="zh-CN"/>
              </w:rPr>
              <w:drawing>
                <wp:inline distT="0" distB="0" distL="114300" distR="114300">
                  <wp:extent cx="203200" cy="203200"/>
                  <wp:effectExtent l="0" t="0" r="6350" b="5715"/>
                  <wp:docPr id="12" name="图片 5" descr="三角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三角形"/>
                          <pic:cNvPicPr>
                            <a:picLocks noChangeAspect="1"/>
                          </pic:cNvPicPr>
                        </pic:nvPicPr>
                        <pic:blipFill>
                          <a:blip r:embed="rId5"/>
                          <a:stretch>
                            <a:fillRect/>
                          </a:stretch>
                        </pic:blipFill>
                        <pic:spPr>
                          <a:xfrm>
                            <a:off x="0" y="0"/>
                            <a:ext cx="203200" cy="203200"/>
                          </a:xfrm>
                          <a:prstGeom prst="rect">
                            <a:avLst/>
                          </a:prstGeom>
                          <a:noFill/>
                          <a:ln>
                            <a:noFill/>
                          </a:ln>
                        </pic:spPr>
                      </pic:pic>
                    </a:graphicData>
                  </a:graphic>
                </wp:inline>
              </w:drawing>
            </w:r>
          </w:p>
        </w:tc>
        <w:tc>
          <w:tcPr>
            <w:tcW w:w="1134" w:type="dxa"/>
            <w:tcBorders>
              <w:top w:val="single" w:color="auto" w:sz="4" w:space="0"/>
              <w:left w:val="nil"/>
              <w:bottom w:val="single" w:color="auto" w:sz="4" w:space="0"/>
              <w:right w:val="single" w:color="auto" w:sz="4" w:space="0"/>
            </w:tcBorders>
            <w:noWrap w:val="0"/>
            <w:vAlign w:val="center"/>
          </w:tcPr>
          <w:p w14:paraId="5AF47A3B">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7121" w:type="dxa"/>
            <w:tcBorders>
              <w:top w:val="single" w:color="auto" w:sz="4" w:space="0"/>
              <w:left w:val="nil"/>
              <w:bottom w:val="single" w:color="auto" w:sz="4" w:space="0"/>
              <w:right w:val="single" w:color="auto" w:sz="4" w:space="0"/>
            </w:tcBorders>
            <w:noWrap w:val="0"/>
            <w:vAlign w:val="center"/>
          </w:tcPr>
          <w:p w14:paraId="006E94D0">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针对心内科相关评分量表，根据每项答案即时生成标准化结果，提高评估效率与准确性。</w:t>
            </w:r>
          </w:p>
        </w:tc>
      </w:tr>
      <w:tr w14:paraId="72EB26B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D295B9D">
            <w:pPr>
              <w:widowControl/>
              <w:jc w:val="center"/>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29CAE3C7">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7121" w:type="dxa"/>
            <w:tcBorders>
              <w:top w:val="single" w:color="auto" w:sz="4" w:space="0"/>
              <w:left w:val="nil"/>
              <w:bottom w:val="single" w:color="auto" w:sz="4" w:space="0"/>
              <w:right w:val="single" w:color="auto" w:sz="4" w:space="0"/>
            </w:tcBorders>
            <w:noWrap w:val="0"/>
            <w:vAlign w:val="center"/>
          </w:tcPr>
          <w:p w14:paraId="5A0CFFA4">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支持变更表单状态，更直观地反应当前事件中各表单的填写、提交、审核情况。</w:t>
            </w:r>
          </w:p>
        </w:tc>
      </w:tr>
      <w:tr w14:paraId="2730957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626AA3C">
            <w:pPr>
              <w:widowControl/>
              <w:jc w:val="center"/>
              <w:rPr>
                <w:rFonts w:hint="eastAsia" w:ascii="宋体" w:hAnsi="宋体" w:eastAsia="宋体" w:cs="宋体"/>
                <w:sz w:val="24"/>
                <w:szCs w:val="24"/>
              </w:rPr>
            </w:pPr>
            <w:r>
              <w:rPr>
                <w:rFonts w:hint="eastAsia" w:ascii="宋体" w:hAnsi="宋体" w:eastAsia="宋体" w:cs="宋体"/>
                <w:sz w:val="24"/>
                <w:szCs w:val="24"/>
                <w:lang w:eastAsia="zh-CN"/>
              </w:rPr>
              <w:drawing>
                <wp:inline distT="0" distB="0" distL="114300" distR="114300">
                  <wp:extent cx="203200" cy="203200"/>
                  <wp:effectExtent l="0" t="0" r="6350" b="5715"/>
                  <wp:docPr id="10" name="图片 6" descr="三角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三角形"/>
                          <pic:cNvPicPr>
                            <a:picLocks noChangeAspect="1"/>
                          </pic:cNvPicPr>
                        </pic:nvPicPr>
                        <pic:blipFill>
                          <a:blip r:embed="rId5"/>
                          <a:stretch>
                            <a:fillRect/>
                          </a:stretch>
                        </pic:blipFill>
                        <pic:spPr>
                          <a:xfrm>
                            <a:off x="0" y="0"/>
                            <a:ext cx="203200" cy="203200"/>
                          </a:xfrm>
                          <a:prstGeom prst="rect">
                            <a:avLst/>
                          </a:prstGeom>
                          <a:noFill/>
                          <a:ln>
                            <a:noFill/>
                          </a:ln>
                        </pic:spPr>
                      </pic:pic>
                    </a:graphicData>
                  </a:graphic>
                </wp:inline>
              </w:drawing>
            </w:r>
          </w:p>
        </w:tc>
        <w:tc>
          <w:tcPr>
            <w:tcW w:w="1134" w:type="dxa"/>
            <w:tcBorders>
              <w:top w:val="single" w:color="auto" w:sz="4" w:space="0"/>
              <w:left w:val="nil"/>
              <w:bottom w:val="single" w:color="auto" w:sz="4" w:space="0"/>
              <w:right w:val="single" w:color="auto" w:sz="4" w:space="0"/>
            </w:tcBorders>
            <w:noWrap w:val="0"/>
            <w:vAlign w:val="center"/>
          </w:tcPr>
          <w:p w14:paraId="23396400">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7121" w:type="dxa"/>
            <w:tcBorders>
              <w:top w:val="single" w:color="auto" w:sz="4" w:space="0"/>
              <w:left w:val="nil"/>
              <w:bottom w:val="single" w:color="auto" w:sz="4" w:space="0"/>
              <w:right w:val="single" w:color="auto" w:sz="4" w:space="0"/>
            </w:tcBorders>
            <w:noWrap w:val="0"/>
            <w:vAlign w:val="center"/>
          </w:tcPr>
          <w:p w14:paraId="5009A6A8">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提供表单题目间智能逻辑关联设置，支持基于前置条件定义的显隐规则、跳转规则与自动填充规则，根据特定题目的答案智能控制相关题目的行为，避免逻辑矛盾与数据冗余。</w:t>
            </w:r>
          </w:p>
        </w:tc>
      </w:tr>
      <w:tr w14:paraId="1D6EAAA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486401F">
            <w:pPr>
              <w:widowControl/>
              <w:jc w:val="center"/>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92FD0B2">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7121" w:type="dxa"/>
            <w:tcBorders>
              <w:top w:val="single" w:color="auto" w:sz="4" w:space="0"/>
              <w:left w:val="nil"/>
              <w:bottom w:val="single" w:color="auto" w:sz="4" w:space="0"/>
              <w:right w:val="single" w:color="auto" w:sz="4" w:space="0"/>
            </w:tcBorders>
            <w:noWrap w:val="0"/>
            <w:vAlign w:val="center"/>
          </w:tcPr>
          <w:p w14:paraId="079B32D0">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支持表单题目的智能默认值配置，基于临床规则自动填写常用内容或推荐选项，减少重复操作，提高数据录入效率，支持默认值覆盖与恢复机制。</w:t>
            </w:r>
          </w:p>
        </w:tc>
      </w:tr>
      <w:tr w14:paraId="03A0006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ACF80A8">
            <w:pPr>
              <w:widowControl/>
              <w:jc w:val="center"/>
              <w:rPr>
                <w:rFonts w:hint="eastAsia" w:ascii="宋体" w:hAnsi="宋体" w:eastAsia="宋体" w:cs="宋体"/>
                <w:sz w:val="24"/>
                <w:szCs w:val="24"/>
              </w:rPr>
            </w:pPr>
            <w:r>
              <w:rPr>
                <w:rFonts w:hint="eastAsia" w:ascii="宋体" w:hAnsi="宋体" w:eastAsia="宋体" w:cs="宋体"/>
                <w:sz w:val="24"/>
                <w:szCs w:val="24"/>
                <w:lang w:eastAsia="zh-CN"/>
              </w:rPr>
              <w:drawing>
                <wp:inline distT="0" distB="0" distL="114300" distR="114300">
                  <wp:extent cx="203200" cy="203200"/>
                  <wp:effectExtent l="0" t="0" r="6350" b="5715"/>
                  <wp:docPr id="15" name="图片 7" descr="三角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三角形"/>
                          <pic:cNvPicPr>
                            <a:picLocks noChangeAspect="1"/>
                          </pic:cNvPicPr>
                        </pic:nvPicPr>
                        <pic:blipFill>
                          <a:blip r:embed="rId5"/>
                          <a:stretch>
                            <a:fillRect/>
                          </a:stretch>
                        </pic:blipFill>
                        <pic:spPr>
                          <a:xfrm>
                            <a:off x="0" y="0"/>
                            <a:ext cx="203200" cy="203200"/>
                          </a:xfrm>
                          <a:prstGeom prst="rect">
                            <a:avLst/>
                          </a:prstGeom>
                          <a:noFill/>
                          <a:ln>
                            <a:noFill/>
                          </a:ln>
                        </pic:spPr>
                      </pic:pic>
                    </a:graphicData>
                  </a:graphic>
                </wp:inline>
              </w:drawing>
            </w:r>
          </w:p>
        </w:tc>
        <w:tc>
          <w:tcPr>
            <w:tcW w:w="1134" w:type="dxa"/>
            <w:tcBorders>
              <w:top w:val="single" w:color="auto" w:sz="4" w:space="0"/>
              <w:left w:val="nil"/>
              <w:bottom w:val="single" w:color="auto" w:sz="4" w:space="0"/>
              <w:right w:val="single" w:color="auto" w:sz="4" w:space="0"/>
            </w:tcBorders>
            <w:noWrap w:val="0"/>
            <w:vAlign w:val="center"/>
          </w:tcPr>
          <w:p w14:paraId="77014363">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7121" w:type="dxa"/>
            <w:tcBorders>
              <w:top w:val="single" w:color="auto" w:sz="4" w:space="0"/>
              <w:left w:val="nil"/>
              <w:bottom w:val="single" w:color="auto" w:sz="4" w:space="0"/>
              <w:right w:val="single" w:color="auto" w:sz="4" w:space="0"/>
            </w:tcBorders>
            <w:noWrap w:val="0"/>
            <w:vAlign w:val="center"/>
          </w:tcPr>
          <w:p w14:paraId="2AB4B368">
            <w:pPr>
              <w:widowControl/>
              <w:jc w:val="left"/>
              <w:rPr>
                <w:rFonts w:hint="eastAsia" w:ascii="宋体" w:hAnsi="宋体" w:eastAsia="宋体" w:cs="宋体"/>
                <w:sz w:val="24"/>
                <w:szCs w:val="24"/>
              </w:rPr>
            </w:pPr>
            <w:r>
              <w:rPr>
                <w:rFonts w:hint="eastAsia" w:ascii="宋体" w:hAnsi="宋体" w:eastAsia="宋体" w:cs="宋体"/>
                <w:sz w:val="24"/>
                <w:szCs w:val="24"/>
              </w:rPr>
              <w:t>设置选择题逻辑互斥机制，否定项选择后自动禁用其他选项并提供视觉反馈；实时反馈表单填写完整度，避免漏填。</w:t>
            </w:r>
          </w:p>
        </w:tc>
      </w:tr>
      <w:tr w14:paraId="756FD9D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A933CFA">
            <w:pPr>
              <w:widowControl/>
              <w:jc w:val="center"/>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34834987">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7121" w:type="dxa"/>
            <w:tcBorders>
              <w:top w:val="single" w:color="auto" w:sz="4" w:space="0"/>
              <w:left w:val="nil"/>
              <w:bottom w:val="single" w:color="auto" w:sz="4" w:space="0"/>
              <w:right w:val="single" w:color="auto" w:sz="4" w:space="0"/>
            </w:tcBorders>
            <w:noWrap w:val="0"/>
            <w:vAlign w:val="center"/>
          </w:tcPr>
          <w:p w14:paraId="39F07C2A">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支持权限变更实时同步，保障操作权限动态更新。</w:t>
            </w:r>
          </w:p>
        </w:tc>
      </w:tr>
      <w:tr w14:paraId="686D106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6020BC7">
            <w:pPr>
              <w:widowControl/>
              <w:jc w:val="center"/>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1FC252B2">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7121" w:type="dxa"/>
            <w:tcBorders>
              <w:top w:val="single" w:color="auto" w:sz="4" w:space="0"/>
              <w:left w:val="nil"/>
              <w:bottom w:val="single" w:color="auto" w:sz="4" w:space="0"/>
              <w:right w:val="single" w:color="auto" w:sz="4" w:space="0"/>
            </w:tcBorders>
            <w:noWrap w:val="0"/>
            <w:vAlign w:val="center"/>
          </w:tcPr>
          <w:p w14:paraId="7F656C6F">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分类展示待录入、已提交、待审核等任务状态，可按紧急程度、截止日期筛选，且录入后自动流转至审核环节。</w:t>
            </w:r>
          </w:p>
        </w:tc>
      </w:tr>
      <w:tr w14:paraId="6FE449B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E9E3774">
            <w:pPr>
              <w:widowControl/>
              <w:jc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48A10041">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7121" w:type="dxa"/>
            <w:tcBorders>
              <w:top w:val="single" w:color="auto" w:sz="4" w:space="0"/>
              <w:left w:val="nil"/>
              <w:bottom w:val="single" w:color="auto" w:sz="4" w:space="0"/>
              <w:right w:val="single" w:color="auto" w:sz="4" w:space="0"/>
            </w:tcBorders>
            <w:noWrap w:val="0"/>
            <w:vAlign w:val="center"/>
          </w:tcPr>
          <w:p w14:paraId="7762F138">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支持创建、编辑、停用 / 启用研究组，删除组进入回收站可还原；能设置入组条件，自动或手动入组，统计组内患者数量变化并支持定时更新汇总与数据导出（需提供佐证材料）。</w:t>
            </w:r>
          </w:p>
        </w:tc>
      </w:tr>
      <w:tr w14:paraId="0EAE17D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C013295">
            <w:pPr>
              <w:widowControl/>
              <w:jc w:val="center"/>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6011C10">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7121" w:type="dxa"/>
            <w:tcBorders>
              <w:top w:val="single" w:color="auto" w:sz="4" w:space="0"/>
              <w:left w:val="nil"/>
              <w:bottom w:val="single" w:color="auto" w:sz="4" w:space="0"/>
              <w:right w:val="single" w:color="auto" w:sz="4" w:space="0"/>
            </w:tcBorders>
            <w:noWrap w:val="0"/>
            <w:vAlign w:val="center"/>
          </w:tcPr>
          <w:p w14:paraId="27F015A0">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支持表单集填写情况定时统计和手动刷新，可查看每个表单集内各字段的填写数据，掌握数据录入整体情况。</w:t>
            </w:r>
          </w:p>
        </w:tc>
      </w:tr>
      <w:tr w14:paraId="7FC684F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FB9726F">
            <w:pPr>
              <w:widowControl/>
              <w:jc w:val="center"/>
              <w:rPr>
                <w:rFonts w:hint="eastAsia" w:ascii="宋体" w:hAnsi="宋体" w:eastAsia="宋体" w:cs="宋体"/>
                <w:sz w:val="24"/>
                <w:szCs w:val="24"/>
              </w:rPr>
            </w:pPr>
            <w:r>
              <w:rPr>
                <w:rFonts w:hint="eastAsia" w:ascii="宋体" w:hAnsi="宋体" w:eastAsia="宋体" w:cs="宋体"/>
                <w:sz w:val="24"/>
                <w:szCs w:val="24"/>
                <w:lang w:eastAsia="zh-CN"/>
              </w:rPr>
              <w:drawing>
                <wp:inline distT="0" distB="0" distL="114300" distR="114300">
                  <wp:extent cx="203200" cy="203200"/>
                  <wp:effectExtent l="0" t="0" r="6350" b="5715"/>
                  <wp:docPr id="13" name="图片 8" descr="三角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三角形"/>
                          <pic:cNvPicPr>
                            <a:picLocks noChangeAspect="1"/>
                          </pic:cNvPicPr>
                        </pic:nvPicPr>
                        <pic:blipFill>
                          <a:blip r:embed="rId5"/>
                          <a:stretch>
                            <a:fillRect/>
                          </a:stretch>
                        </pic:blipFill>
                        <pic:spPr>
                          <a:xfrm>
                            <a:off x="0" y="0"/>
                            <a:ext cx="203200" cy="203200"/>
                          </a:xfrm>
                          <a:prstGeom prst="rect">
                            <a:avLst/>
                          </a:prstGeom>
                          <a:noFill/>
                          <a:ln>
                            <a:noFill/>
                          </a:ln>
                        </pic:spPr>
                      </pic:pic>
                    </a:graphicData>
                  </a:graphic>
                </wp:inline>
              </w:drawing>
            </w:r>
          </w:p>
        </w:tc>
        <w:tc>
          <w:tcPr>
            <w:tcW w:w="1134" w:type="dxa"/>
            <w:tcBorders>
              <w:top w:val="single" w:color="auto" w:sz="4" w:space="0"/>
              <w:left w:val="nil"/>
              <w:bottom w:val="single" w:color="auto" w:sz="4" w:space="0"/>
              <w:right w:val="single" w:color="auto" w:sz="4" w:space="0"/>
            </w:tcBorders>
            <w:noWrap w:val="0"/>
            <w:vAlign w:val="center"/>
          </w:tcPr>
          <w:p w14:paraId="43828E02">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7121" w:type="dxa"/>
            <w:tcBorders>
              <w:top w:val="single" w:color="auto" w:sz="4" w:space="0"/>
              <w:left w:val="nil"/>
              <w:bottom w:val="single" w:color="auto" w:sz="4" w:space="0"/>
              <w:right w:val="single" w:color="auto" w:sz="4" w:space="0"/>
            </w:tcBorders>
            <w:noWrap w:val="0"/>
            <w:vAlign w:val="center"/>
          </w:tcPr>
          <w:p w14:paraId="33B54F11">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核心功能响应高效，单条数据检索≤1 秒，复杂检索≤3 秒。支持≥10 万例患者数据存储且可平滑扩容，支持≥200 用户同时在线无卡顿。</w:t>
            </w:r>
          </w:p>
        </w:tc>
      </w:tr>
      <w:tr w14:paraId="3B6F39B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B062BA8">
            <w:pPr>
              <w:widowControl/>
              <w:jc w:val="center"/>
              <w:rPr>
                <w:rFonts w:hint="eastAsia" w:ascii="宋体" w:hAnsi="宋体" w:eastAsia="宋体" w:cs="宋体"/>
                <w:sz w:val="24"/>
                <w:szCs w:val="24"/>
              </w:rPr>
            </w:pPr>
            <w:r>
              <w:rPr>
                <w:rFonts w:hint="eastAsia" w:ascii="宋体" w:hAnsi="宋体" w:eastAsia="宋体" w:cs="宋体"/>
                <w:sz w:val="24"/>
                <w:szCs w:val="24"/>
                <w:lang w:eastAsia="zh-CN"/>
              </w:rPr>
              <w:drawing>
                <wp:inline distT="0" distB="0" distL="114300" distR="114300">
                  <wp:extent cx="203200" cy="203200"/>
                  <wp:effectExtent l="0" t="0" r="6350" b="5715"/>
                  <wp:docPr id="11" name="图片 9" descr="三角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三角形"/>
                          <pic:cNvPicPr>
                            <a:picLocks noChangeAspect="1"/>
                          </pic:cNvPicPr>
                        </pic:nvPicPr>
                        <pic:blipFill>
                          <a:blip r:embed="rId5"/>
                          <a:stretch>
                            <a:fillRect/>
                          </a:stretch>
                        </pic:blipFill>
                        <pic:spPr>
                          <a:xfrm>
                            <a:off x="0" y="0"/>
                            <a:ext cx="203200" cy="203200"/>
                          </a:xfrm>
                          <a:prstGeom prst="rect">
                            <a:avLst/>
                          </a:prstGeom>
                          <a:noFill/>
                          <a:ln>
                            <a:noFill/>
                          </a:ln>
                        </pic:spPr>
                      </pic:pic>
                    </a:graphicData>
                  </a:graphic>
                </wp:inline>
              </w:drawing>
            </w:r>
          </w:p>
        </w:tc>
        <w:tc>
          <w:tcPr>
            <w:tcW w:w="1134" w:type="dxa"/>
            <w:tcBorders>
              <w:top w:val="single" w:color="auto" w:sz="4" w:space="0"/>
              <w:left w:val="nil"/>
              <w:bottom w:val="single" w:color="auto" w:sz="4" w:space="0"/>
              <w:right w:val="single" w:color="auto" w:sz="4" w:space="0"/>
            </w:tcBorders>
            <w:noWrap w:val="0"/>
            <w:vAlign w:val="center"/>
          </w:tcPr>
          <w:p w14:paraId="1F8BDEA3">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7121" w:type="dxa"/>
            <w:tcBorders>
              <w:top w:val="single" w:color="auto" w:sz="4" w:space="0"/>
              <w:left w:val="nil"/>
              <w:bottom w:val="single" w:color="auto" w:sz="4" w:space="0"/>
              <w:right w:val="single" w:color="auto" w:sz="4" w:space="0"/>
            </w:tcBorders>
            <w:noWrap w:val="0"/>
            <w:vAlign w:val="center"/>
          </w:tcPr>
          <w:p w14:paraId="525A7A39">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每日自动备份数据，恢复时间≤30 分钟；实现数据传输和存储加密，建立不可篡改操作日志链，通过细粒度权限管理防止未授权访问。</w:t>
            </w:r>
          </w:p>
        </w:tc>
      </w:tr>
      <w:tr w14:paraId="0FA0AD9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338B3B3C">
            <w:pPr>
              <w:widowControl/>
              <w:jc w:val="center"/>
              <w:rPr>
                <w:rFonts w:hint="eastAsia" w:ascii="宋体" w:hAnsi="宋体" w:eastAsia="宋体" w:cs="宋体"/>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02D4942E">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7121" w:type="dxa"/>
            <w:tcBorders>
              <w:top w:val="single" w:color="auto" w:sz="4" w:space="0"/>
              <w:left w:val="nil"/>
              <w:bottom w:val="single" w:color="auto" w:sz="4" w:space="0"/>
              <w:right w:val="single" w:color="auto" w:sz="4" w:space="0"/>
            </w:tcBorders>
            <w:noWrap w:val="0"/>
            <w:vAlign w:val="center"/>
          </w:tcPr>
          <w:p w14:paraId="3882B83A">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核心算法及功能模块（如数据检索、统计分析模块）性能，不低于同等 C++ 代码实现的性能的 40%。</w:t>
            </w:r>
          </w:p>
        </w:tc>
      </w:tr>
      <w:tr w14:paraId="061FF06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28F24B26">
            <w:pPr>
              <w:widowControl/>
              <w:jc w:val="center"/>
              <w:rPr>
                <w:rFonts w:hint="eastAsia" w:ascii="宋体" w:hAnsi="宋体" w:eastAsia="宋体" w:cs="宋体"/>
                <w:i w:val="0"/>
                <w:iCs w:val="0"/>
                <w:color w:val="000000"/>
                <w:kern w:val="0"/>
                <w:sz w:val="24"/>
                <w:szCs w:val="24"/>
                <w:u w:val="none"/>
                <w:lang w:val="en-US" w:eastAsia="zh-CN" w:bidi="ar"/>
              </w:rPr>
            </w:pPr>
          </w:p>
        </w:tc>
        <w:tc>
          <w:tcPr>
            <w:tcW w:w="1134" w:type="dxa"/>
            <w:tcBorders>
              <w:top w:val="single" w:color="auto" w:sz="4" w:space="0"/>
              <w:left w:val="nil"/>
              <w:bottom w:val="single" w:color="auto" w:sz="4" w:space="0"/>
              <w:right w:val="single" w:color="auto" w:sz="4" w:space="0"/>
            </w:tcBorders>
            <w:noWrap w:val="0"/>
            <w:vAlign w:val="center"/>
          </w:tcPr>
          <w:p w14:paraId="692AC96A">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7121" w:type="dxa"/>
            <w:tcBorders>
              <w:top w:val="single" w:color="auto" w:sz="4" w:space="0"/>
              <w:left w:val="nil"/>
              <w:bottom w:val="single" w:color="auto" w:sz="4" w:space="0"/>
              <w:right w:val="single" w:color="auto" w:sz="4" w:space="0"/>
            </w:tcBorders>
            <w:noWrap w:val="0"/>
            <w:vAlign w:val="center"/>
          </w:tcPr>
          <w:p w14:paraId="5AEDFC0B">
            <w:pPr>
              <w:widowControl/>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二、商务要求（编号25至27）</w:t>
            </w:r>
          </w:p>
        </w:tc>
      </w:tr>
      <w:tr w14:paraId="45BC795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F449EE8">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eastAsia="zh-CN"/>
              </w:rPr>
              <w:drawing>
                <wp:inline distT="0" distB="0" distL="114300" distR="114300">
                  <wp:extent cx="203200" cy="203200"/>
                  <wp:effectExtent l="0" t="0" r="6350" b="5715"/>
                  <wp:docPr id="8" name="图片 10" descr="三角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三角形"/>
                          <pic:cNvPicPr>
                            <a:picLocks noChangeAspect="1"/>
                          </pic:cNvPicPr>
                        </pic:nvPicPr>
                        <pic:blipFill>
                          <a:blip r:embed="rId5"/>
                          <a:stretch>
                            <a:fillRect/>
                          </a:stretch>
                        </pic:blipFill>
                        <pic:spPr>
                          <a:xfrm>
                            <a:off x="0" y="0"/>
                            <a:ext cx="203200" cy="203200"/>
                          </a:xfrm>
                          <a:prstGeom prst="rect">
                            <a:avLst/>
                          </a:prstGeom>
                          <a:noFill/>
                          <a:ln>
                            <a:noFill/>
                          </a:ln>
                        </pic:spPr>
                      </pic:pic>
                    </a:graphicData>
                  </a:graphic>
                </wp:inline>
              </w:drawing>
            </w:r>
          </w:p>
        </w:tc>
        <w:tc>
          <w:tcPr>
            <w:tcW w:w="1134" w:type="dxa"/>
            <w:tcBorders>
              <w:top w:val="single" w:color="auto" w:sz="4" w:space="0"/>
              <w:left w:val="nil"/>
              <w:bottom w:val="single" w:color="auto" w:sz="4" w:space="0"/>
              <w:right w:val="single" w:color="auto" w:sz="4" w:space="0"/>
            </w:tcBorders>
            <w:noWrap w:val="0"/>
            <w:vAlign w:val="center"/>
          </w:tcPr>
          <w:p w14:paraId="60C7140E">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7121" w:type="dxa"/>
            <w:tcBorders>
              <w:top w:val="single" w:color="auto" w:sz="4" w:space="0"/>
              <w:left w:val="nil"/>
              <w:bottom w:val="single" w:color="auto" w:sz="4" w:space="0"/>
              <w:right w:val="single" w:color="auto" w:sz="4" w:space="0"/>
            </w:tcBorders>
            <w:noWrap w:val="0"/>
            <w:vAlign w:val="center"/>
          </w:tcPr>
          <w:p w14:paraId="3983079F">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投标产品须安全可靠，可在中国信息安全测评中心《安全可靠测评结果公告》名录内的操作系统上部署，不得搭载境外操作系统。</w:t>
            </w:r>
          </w:p>
        </w:tc>
      </w:tr>
      <w:tr w14:paraId="49AA552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25B1ABB">
            <w:pPr>
              <w:widowControl/>
              <w:jc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7E38194E">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7121" w:type="dxa"/>
            <w:tcBorders>
              <w:top w:val="single" w:color="auto" w:sz="4" w:space="0"/>
              <w:left w:val="nil"/>
              <w:bottom w:val="single" w:color="auto" w:sz="4" w:space="0"/>
              <w:right w:val="single" w:color="auto" w:sz="4" w:space="0"/>
            </w:tcBorders>
            <w:noWrap w:val="0"/>
            <w:vAlign w:val="center"/>
          </w:tcPr>
          <w:p w14:paraId="20F2A613">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需要免费支持跟院内HIS系统、LIS系统、PACS系统、集成平台等相关联业务系统对接，并能够将医院需要的数据回传给院内平台。</w:t>
            </w:r>
          </w:p>
        </w:tc>
      </w:tr>
      <w:tr w14:paraId="709D64A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F2E5BCC">
            <w:pPr>
              <w:widowControl/>
              <w:jc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1F008CB9">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7121" w:type="dxa"/>
            <w:tcBorders>
              <w:top w:val="single" w:color="auto" w:sz="4" w:space="0"/>
              <w:left w:val="nil"/>
              <w:bottom w:val="single" w:color="auto" w:sz="4" w:space="0"/>
              <w:right w:val="single" w:color="auto" w:sz="4" w:space="0"/>
            </w:tcBorders>
            <w:noWrap w:val="0"/>
            <w:vAlign w:val="center"/>
          </w:tcPr>
          <w:p w14:paraId="4C5B31C3">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软件一经采购后，医院需具备永久使用权，厂商不能利用维保到期或者终止合作等理由停止软件的授权使用。</w:t>
            </w:r>
          </w:p>
        </w:tc>
      </w:tr>
      <w:tr w14:paraId="6961C56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36CAE66">
            <w:pPr>
              <w:widowControl/>
              <w:jc w:val="center"/>
              <w:rPr>
                <w:rFonts w:hint="eastAsia" w:ascii="宋体" w:hAnsi="宋体" w:eastAsia="宋体" w:cs="宋体"/>
                <w:i w:val="0"/>
                <w:iCs w:val="0"/>
                <w:color w:val="000000"/>
                <w:kern w:val="0"/>
                <w:sz w:val="24"/>
                <w:szCs w:val="24"/>
                <w:u w:val="none"/>
                <w:lang w:val="en-US" w:eastAsia="zh-CN" w:bidi="ar"/>
              </w:rPr>
            </w:pPr>
          </w:p>
        </w:tc>
        <w:tc>
          <w:tcPr>
            <w:tcW w:w="1134" w:type="dxa"/>
            <w:tcBorders>
              <w:top w:val="single" w:color="auto" w:sz="4" w:space="0"/>
              <w:left w:val="nil"/>
              <w:bottom w:val="single" w:color="auto" w:sz="4" w:space="0"/>
              <w:right w:val="single" w:color="auto" w:sz="4" w:space="0"/>
            </w:tcBorders>
            <w:noWrap w:val="0"/>
            <w:vAlign w:val="center"/>
          </w:tcPr>
          <w:p w14:paraId="14205C6D">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7121" w:type="dxa"/>
            <w:tcBorders>
              <w:top w:val="single" w:color="auto" w:sz="4" w:space="0"/>
              <w:left w:val="nil"/>
              <w:bottom w:val="single" w:color="auto" w:sz="4" w:space="0"/>
              <w:right w:val="single" w:color="auto" w:sz="4" w:space="0"/>
            </w:tcBorders>
            <w:noWrap w:val="0"/>
            <w:vAlign w:val="center"/>
          </w:tcPr>
          <w:p w14:paraId="3A9D8571">
            <w:pPr>
              <w:widowControl/>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三．售后服务要求（编号29）</w:t>
            </w:r>
          </w:p>
        </w:tc>
      </w:tr>
      <w:tr w14:paraId="501B18B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5B4C6C37">
            <w:pPr>
              <w:widowControl/>
              <w:jc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w:t>
            </w:r>
          </w:p>
        </w:tc>
        <w:tc>
          <w:tcPr>
            <w:tcW w:w="1134" w:type="dxa"/>
            <w:tcBorders>
              <w:top w:val="single" w:color="auto" w:sz="4" w:space="0"/>
              <w:left w:val="nil"/>
              <w:bottom w:val="single" w:color="auto" w:sz="4" w:space="0"/>
              <w:right w:val="single" w:color="auto" w:sz="4" w:space="0"/>
            </w:tcBorders>
            <w:noWrap w:val="0"/>
            <w:vAlign w:val="center"/>
          </w:tcPr>
          <w:p w14:paraId="5480AAA3">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7121" w:type="dxa"/>
            <w:tcBorders>
              <w:top w:val="single" w:color="auto" w:sz="4" w:space="0"/>
              <w:left w:val="nil"/>
              <w:bottom w:val="single" w:color="auto" w:sz="4" w:space="0"/>
              <w:right w:val="single" w:color="auto" w:sz="4" w:space="0"/>
            </w:tcBorders>
            <w:noWrap w:val="0"/>
            <w:vAlign w:val="center"/>
          </w:tcPr>
          <w:p w14:paraId="6AE25CEB">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软件在验收时需提供数据字典和数据库账号及口令，并且在系统更新时同步告知医院信息科。</w:t>
            </w:r>
          </w:p>
        </w:tc>
      </w:tr>
      <w:tr w14:paraId="108DDB44">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noWrap w:val="0"/>
            <w:vAlign w:val="center"/>
          </w:tcPr>
          <w:p w14:paraId="736FA2C8">
            <w:pPr>
              <w:widowControl/>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注：1.“参数性质”标“★”表示此参数为主要技术参数，任意一条不满足或负偏离则导致响应无效；</w:t>
            </w:r>
          </w:p>
          <w:p w14:paraId="2F4DD838">
            <w:pPr>
              <w:widowControl/>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2.标“</w:t>
            </w:r>
            <w:r>
              <w:rPr>
                <w:rFonts w:hint="eastAsia" w:ascii="宋体" w:hAnsi="宋体" w:eastAsia="宋体" w:cs="宋体"/>
                <w:sz w:val="18"/>
                <w:szCs w:val="18"/>
                <w:lang w:eastAsia="zh-CN"/>
              </w:rPr>
              <w:drawing>
                <wp:inline distT="0" distB="0" distL="114300" distR="114300">
                  <wp:extent cx="151765" cy="151765"/>
                  <wp:effectExtent l="0" t="0" r="635" b="635"/>
                  <wp:docPr id="17" name="图片 10" descr="三角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三角形"/>
                          <pic:cNvPicPr>
                            <a:picLocks noChangeAspect="1"/>
                          </pic:cNvPicPr>
                        </pic:nvPicPr>
                        <pic:blipFill>
                          <a:blip r:embed="rId5"/>
                          <a:stretch>
                            <a:fillRect/>
                          </a:stretch>
                        </pic:blipFill>
                        <pic:spPr>
                          <a:xfrm>
                            <a:off x="0" y="0"/>
                            <a:ext cx="151765" cy="151765"/>
                          </a:xfrm>
                          <a:prstGeom prst="rect">
                            <a:avLst/>
                          </a:prstGeom>
                          <a:noFill/>
                          <a:ln>
                            <a:noFill/>
                          </a:ln>
                        </pic:spPr>
                      </pic:pic>
                    </a:graphicData>
                  </a:graphic>
                </wp:inline>
              </w:drawing>
            </w:r>
            <w:r>
              <w:rPr>
                <w:rFonts w:hint="eastAsia" w:ascii="宋体" w:hAnsi="宋体" w:eastAsia="宋体" w:cs="宋体"/>
                <w:sz w:val="24"/>
                <w:szCs w:val="24"/>
                <w:lang w:val="en-US" w:eastAsia="zh-CN"/>
              </w:rPr>
              <w:t>”项为重要技术参数，满足即得分。</w:t>
            </w:r>
          </w:p>
        </w:tc>
      </w:tr>
    </w:tbl>
    <w:p w14:paraId="5A69116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194BFE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E22B52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E802F0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37F20B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E4E113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856B88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205867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8C46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2"/>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B4ED76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表2 综合评审表</w:t>
      </w:r>
    </w:p>
    <w:tbl>
      <w:tblPr>
        <w:tblStyle w:val="12"/>
        <w:tblpPr w:leftFromText="180" w:rightFromText="180" w:vertAnchor="text" w:horzAnchor="margin" w:tblpX="-456" w:tblpY="10"/>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6001"/>
        <w:gridCol w:w="701"/>
      </w:tblGrid>
      <w:tr w14:paraId="6A37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76" w:type="dxa"/>
            <w:gridSpan w:val="2"/>
            <w:vAlign w:val="center"/>
          </w:tcPr>
          <w:p w14:paraId="3B2AF1D8">
            <w:pPr>
              <w:pStyle w:val="11"/>
              <w:snapToGrid w:val="0"/>
              <w:jc w:val="center"/>
              <w:rPr>
                <w:rFonts w:hint="default" w:ascii="Arial" w:hAnsi="Arial" w:eastAsia="宋体" w:cs="宋体"/>
                <w:kern w:val="2"/>
                <w:sz w:val="21"/>
                <w:szCs w:val="21"/>
                <w:lang w:val="en-US" w:eastAsia="zh-CN" w:bidi="ar-SA"/>
              </w:rPr>
            </w:pPr>
            <w:r>
              <w:rPr>
                <w:rFonts w:hint="eastAsia" w:ascii="Arial" w:hAnsi="Arial" w:eastAsia="宋体" w:cs="宋体"/>
                <w:kern w:val="2"/>
                <w:sz w:val="21"/>
                <w:szCs w:val="21"/>
                <w:lang w:val="en-US" w:eastAsia="zh-CN" w:bidi="ar-SA"/>
              </w:rPr>
              <w:t>评审因素</w:t>
            </w:r>
          </w:p>
        </w:tc>
        <w:tc>
          <w:tcPr>
            <w:tcW w:w="6001" w:type="dxa"/>
            <w:vAlign w:val="center"/>
          </w:tcPr>
          <w:p w14:paraId="798CC18F">
            <w:pPr>
              <w:pStyle w:val="11"/>
              <w:snapToGrid w:val="0"/>
              <w:jc w:val="center"/>
              <w:rPr>
                <w:rFonts w:hint="eastAsia" w:ascii="Arial" w:hAnsi="Arial" w:eastAsia="宋体" w:cs="宋体"/>
                <w:kern w:val="2"/>
                <w:sz w:val="21"/>
                <w:szCs w:val="21"/>
                <w:lang w:val="en-US" w:eastAsia="zh-CN" w:bidi="ar-SA"/>
              </w:rPr>
            </w:pPr>
            <w:r>
              <w:rPr>
                <w:rFonts w:hint="eastAsia" w:ascii="Arial" w:hAnsi="Arial" w:eastAsia="宋体" w:cs="宋体"/>
                <w:kern w:val="2"/>
                <w:sz w:val="21"/>
                <w:szCs w:val="21"/>
                <w:lang w:val="en-US" w:eastAsia="zh-CN" w:bidi="ar-SA"/>
              </w:rPr>
              <w:t>评分标准</w:t>
            </w:r>
          </w:p>
        </w:tc>
        <w:tc>
          <w:tcPr>
            <w:tcW w:w="701" w:type="dxa"/>
            <w:vAlign w:val="center"/>
          </w:tcPr>
          <w:p w14:paraId="27EA7FD7">
            <w:pPr>
              <w:pStyle w:val="11"/>
              <w:snapToGrid w:val="0"/>
              <w:jc w:val="center"/>
              <w:rPr>
                <w:rFonts w:hint="eastAsia" w:ascii="Arial" w:hAnsi="Arial" w:eastAsia="宋体" w:cs="宋体"/>
                <w:kern w:val="2"/>
                <w:sz w:val="21"/>
                <w:szCs w:val="21"/>
                <w:lang w:val="en-US" w:eastAsia="zh-CN" w:bidi="ar-SA"/>
              </w:rPr>
            </w:pPr>
            <w:r>
              <w:rPr>
                <w:rFonts w:hint="eastAsia" w:ascii="Arial" w:hAnsi="Arial" w:eastAsia="宋体" w:cs="宋体"/>
                <w:kern w:val="2"/>
                <w:sz w:val="21"/>
                <w:szCs w:val="21"/>
                <w:lang w:val="en-US" w:eastAsia="zh-CN" w:bidi="ar-SA"/>
              </w:rPr>
              <w:t>满分</w:t>
            </w:r>
          </w:p>
        </w:tc>
      </w:tr>
      <w:tr w14:paraId="086F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01" w:type="dxa"/>
            <w:vAlign w:val="center"/>
          </w:tcPr>
          <w:p w14:paraId="5F482401">
            <w:pPr>
              <w:pStyle w:val="11"/>
              <w:snapToGrid w:val="0"/>
              <w:jc w:val="center"/>
              <w:rPr>
                <w:rFonts w:hint="eastAsia" w:ascii="Arial" w:hAnsi="Arial" w:eastAsia="宋体" w:cs="宋体"/>
                <w:kern w:val="2"/>
                <w:sz w:val="21"/>
                <w:szCs w:val="21"/>
                <w:lang w:val="en-US" w:eastAsia="zh-CN" w:bidi="ar-SA"/>
              </w:rPr>
            </w:pPr>
            <w:r>
              <w:rPr>
                <w:rFonts w:hint="eastAsia" w:ascii="Arial" w:hAnsi="Arial" w:eastAsia="宋体" w:cs="宋体"/>
                <w:kern w:val="2"/>
                <w:sz w:val="21"/>
                <w:szCs w:val="21"/>
                <w:lang w:val="en-US" w:eastAsia="zh-CN" w:bidi="ar-SA"/>
              </w:rPr>
              <w:t>价格部分</w:t>
            </w:r>
          </w:p>
          <w:p w14:paraId="6D9A1CBE">
            <w:pPr>
              <w:pStyle w:val="11"/>
              <w:snapToGrid w:val="0"/>
              <w:jc w:val="center"/>
              <w:rPr>
                <w:rFonts w:ascii="仿宋" w:hAnsi="仿宋" w:eastAsia="仿宋" w:cs="仿宋"/>
                <w:color w:val="000000"/>
                <w:sz w:val="21"/>
                <w:szCs w:val="21"/>
              </w:rPr>
            </w:pPr>
            <w:r>
              <w:rPr>
                <w:rFonts w:hint="eastAsia" w:ascii="Arial" w:hAnsi="Arial" w:eastAsia="宋体" w:cs="宋体"/>
                <w:kern w:val="2"/>
                <w:sz w:val="21"/>
                <w:szCs w:val="21"/>
                <w:lang w:val="en-US" w:eastAsia="zh-CN" w:bidi="ar-SA"/>
              </w:rPr>
              <w:t>（30分</w:t>
            </w:r>
            <w:r>
              <w:rPr>
                <w:rFonts w:hint="eastAsia" w:ascii="仿宋" w:hAnsi="仿宋" w:eastAsia="仿宋" w:cs="仿宋"/>
                <w:color w:val="000000"/>
                <w:sz w:val="21"/>
                <w:szCs w:val="21"/>
              </w:rPr>
              <w:t>）</w:t>
            </w:r>
          </w:p>
        </w:tc>
        <w:tc>
          <w:tcPr>
            <w:tcW w:w="1275" w:type="dxa"/>
            <w:vAlign w:val="center"/>
          </w:tcPr>
          <w:p w14:paraId="4C4D91D2">
            <w:pPr>
              <w:pStyle w:val="11"/>
              <w:adjustRightInd w:val="0"/>
              <w:snapToGrid w:val="0"/>
              <w:spacing w:before="0" w:beforeAutospacing="0" w:after="0" w:afterAutospacing="0"/>
              <w:jc w:val="center"/>
              <w:rPr>
                <w:rFonts w:ascii="仿宋" w:hAnsi="仿宋" w:eastAsia="仿宋" w:cs="仿宋"/>
                <w:color w:val="000000"/>
                <w:sz w:val="21"/>
                <w:szCs w:val="21"/>
              </w:rPr>
            </w:pPr>
            <w:r>
              <w:rPr>
                <w:rFonts w:hint="eastAsia" w:ascii="Arial" w:hAnsi="Arial" w:eastAsia="宋体" w:cs="宋体"/>
                <w:kern w:val="2"/>
                <w:sz w:val="21"/>
                <w:szCs w:val="21"/>
                <w:lang w:val="en-US" w:eastAsia="zh-CN" w:bidi="ar-SA"/>
              </w:rPr>
              <w:t>价格得分</w:t>
            </w:r>
          </w:p>
        </w:tc>
        <w:tc>
          <w:tcPr>
            <w:tcW w:w="6001" w:type="dxa"/>
            <w:vAlign w:val="center"/>
          </w:tcPr>
          <w:p w14:paraId="56DFF53D">
            <w:pPr>
              <w:adjustRightInd w:val="0"/>
              <w:jc w:val="left"/>
              <w:rPr>
                <w:rFonts w:hint="eastAsia" w:ascii="Arial" w:hAnsi="Arial" w:eastAsia="宋体" w:cs="宋体"/>
                <w:kern w:val="2"/>
                <w:sz w:val="21"/>
                <w:szCs w:val="21"/>
                <w:lang w:val="en-US" w:eastAsia="zh-CN" w:bidi="ar-SA"/>
              </w:rPr>
            </w:pPr>
            <w:r>
              <w:rPr>
                <w:rFonts w:hint="eastAsia" w:ascii="Arial" w:hAnsi="Arial" w:eastAsia="宋体" w:cs="宋体"/>
                <w:kern w:val="2"/>
                <w:sz w:val="21"/>
                <w:szCs w:val="21"/>
                <w:lang w:val="en-US" w:eastAsia="zh-CN" w:bidi="ar-SA"/>
              </w:rPr>
              <w:t>投标人报价得分＝（评标基准价/投标报价）×30</w:t>
            </w:r>
          </w:p>
          <w:p w14:paraId="68CFF7BB">
            <w:pPr>
              <w:adjustRightInd w:val="0"/>
              <w:jc w:val="left"/>
              <w:rPr>
                <w:rFonts w:hint="eastAsia" w:ascii="Arial" w:hAnsi="Arial" w:eastAsia="宋体" w:cs="宋体"/>
                <w:kern w:val="2"/>
                <w:sz w:val="21"/>
                <w:szCs w:val="21"/>
                <w:lang w:val="en-US" w:eastAsia="zh-CN" w:bidi="ar-SA"/>
              </w:rPr>
            </w:pPr>
            <w:r>
              <w:rPr>
                <w:rFonts w:hint="eastAsia" w:ascii="Arial" w:hAnsi="Arial" w:eastAsia="宋体" w:cs="宋体"/>
                <w:kern w:val="2"/>
                <w:sz w:val="21"/>
                <w:szCs w:val="21"/>
                <w:lang w:val="en-US" w:eastAsia="zh-CN" w:bidi="ar-SA"/>
              </w:rPr>
              <w:t>注解：</w:t>
            </w:r>
          </w:p>
          <w:p w14:paraId="4E8AD2EE">
            <w:pPr>
              <w:adjustRightInd w:val="0"/>
              <w:jc w:val="left"/>
              <w:rPr>
                <w:rFonts w:ascii="仿宋" w:hAnsi="仿宋" w:cs="仿宋"/>
                <w:color w:val="000000"/>
                <w:kern w:val="0"/>
                <w:szCs w:val="21"/>
              </w:rPr>
            </w:pPr>
            <w:r>
              <w:rPr>
                <w:rFonts w:hint="eastAsia" w:ascii="Arial" w:hAnsi="Arial" w:eastAsia="宋体" w:cs="宋体"/>
                <w:kern w:val="2"/>
                <w:sz w:val="21"/>
                <w:szCs w:val="21"/>
                <w:lang w:val="en-US" w:eastAsia="zh-CN" w:bidi="ar-SA"/>
              </w:rPr>
              <w:t>1、评标基准价为满足招标文件要求且投标价格最低的投标报价；</w:t>
            </w:r>
          </w:p>
        </w:tc>
        <w:tc>
          <w:tcPr>
            <w:tcW w:w="701" w:type="dxa"/>
            <w:vAlign w:val="center"/>
          </w:tcPr>
          <w:p w14:paraId="3ECAE2E8">
            <w:pPr>
              <w:pStyle w:val="11"/>
              <w:adjustRightInd w:val="0"/>
              <w:snapToGrid w:val="0"/>
              <w:spacing w:before="0" w:beforeAutospacing="0" w:after="0" w:afterAutospacing="0"/>
              <w:jc w:val="center"/>
              <w:rPr>
                <w:rFonts w:hint="default" w:ascii="仿宋" w:hAnsi="仿宋" w:eastAsia="仿宋" w:cs="仿宋"/>
                <w:color w:val="000000"/>
                <w:sz w:val="21"/>
                <w:szCs w:val="21"/>
                <w:lang w:val="en-US"/>
              </w:rPr>
            </w:pPr>
            <w:r>
              <w:rPr>
                <w:rFonts w:hint="eastAsia" w:ascii="Arial" w:hAnsi="Arial" w:eastAsia="宋体" w:cs="宋体"/>
                <w:kern w:val="2"/>
                <w:sz w:val="21"/>
                <w:szCs w:val="21"/>
                <w:lang w:val="en-US" w:eastAsia="zh-CN" w:bidi="ar-SA"/>
              </w:rPr>
              <w:t>30分</w:t>
            </w:r>
          </w:p>
        </w:tc>
      </w:tr>
      <w:tr w14:paraId="3393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01" w:type="dxa"/>
            <w:vMerge w:val="restart"/>
            <w:vAlign w:val="center"/>
          </w:tcPr>
          <w:p w14:paraId="3F762043">
            <w:pPr>
              <w:pStyle w:val="11"/>
              <w:snapToGrid w:val="0"/>
              <w:jc w:val="center"/>
              <w:rPr>
                <w:rFonts w:hint="eastAsia" w:ascii="Arial" w:hAnsi="Arial" w:eastAsia="宋体" w:cs="宋体"/>
                <w:kern w:val="2"/>
                <w:sz w:val="21"/>
                <w:szCs w:val="21"/>
                <w:lang w:val="en-US" w:eastAsia="zh-CN" w:bidi="ar-SA"/>
              </w:rPr>
            </w:pPr>
            <w:r>
              <w:rPr>
                <w:rFonts w:hint="eastAsia" w:ascii="Arial" w:hAnsi="Arial" w:eastAsia="宋体" w:cs="宋体"/>
                <w:kern w:val="2"/>
                <w:sz w:val="21"/>
                <w:szCs w:val="21"/>
                <w:lang w:val="en-US" w:eastAsia="zh-CN" w:bidi="ar-SA"/>
              </w:rPr>
              <w:t>技术部分</w:t>
            </w:r>
          </w:p>
          <w:p w14:paraId="31C092DE">
            <w:pPr>
              <w:pStyle w:val="11"/>
              <w:snapToGrid w:val="0"/>
              <w:jc w:val="center"/>
              <w:rPr>
                <w:rFonts w:ascii="仿宋" w:hAnsi="仿宋" w:eastAsia="仿宋" w:cs="仿宋"/>
                <w:color w:val="000000"/>
                <w:sz w:val="21"/>
                <w:szCs w:val="21"/>
              </w:rPr>
            </w:pPr>
            <w:r>
              <w:rPr>
                <w:rFonts w:hint="eastAsia" w:ascii="Arial" w:hAnsi="Arial" w:eastAsia="宋体" w:cs="宋体"/>
                <w:kern w:val="2"/>
                <w:sz w:val="21"/>
                <w:szCs w:val="21"/>
                <w:lang w:val="en-US" w:eastAsia="zh-CN" w:bidi="ar-SA"/>
              </w:rPr>
              <w:t>（</w:t>
            </w:r>
            <w:r>
              <w:rPr>
                <w:rFonts w:hint="eastAsia" w:ascii="Arial" w:hAnsi="Arial" w:cs="宋体"/>
                <w:kern w:val="2"/>
                <w:sz w:val="21"/>
                <w:szCs w:val="21"/>
                <w:lang w:val="en-US" w:eastAsia="zh-CN" w:bidi="ar-SA"/>
              </w:rPr>
              <w:t>5</w:t>
            </w:r>
            <w:r>
              <w:rPr>
                <w:rFonts w:hint="eastAsia" w:ascii="Arial" w:hAnsi="Arial" w:eastAsia="宋体" w:cs="宋体"/>
                <w:kern w:val="2"/>
                <w:sz w:val="21"/>
                <w:szCs w:val="21"/>
                <w:lang w:val="en-US" w:eastAsia="zh-CN" w:bidi="ar-SA"/>
              </w:rPr>
              <w:t>0分</w:t>
            </w:r>
            <w:r>
              <w:rPr>
                <w:rFonts w:hint="eastAsia" w:ascii="仿宋" w:hAnsi="仿宋" w:eastAsia="仿宋" w:cs="仿宋"/>
                <w:color w:val="000000"/>
                <w:sz w:val="21"/>
                <w:szCs w:val="21"/>
              </w:rPr>
              <w:t>）</w:t>
            </w:r>
          </w:p>
        </w:tc>
        <w:tc>
          <w:tcPr>
            <w:tcW w:w="1275" w:type="dxa"/>
            <w:vAlign w:val="center"/>
          </w:tcPr>
          <w:p w14:paraId="425F509D">
            <w:pPr>
              <w:pStyle w:val="28"/>
              <w:spacing w:line="240" w:lineRule="auto"/>
              <w:ind w:left="0" w:leftChars="0" w:firstLine="0" w:firstLineChars="0"/>
              <w:jc w:val="both"/>
              <w:rPr>
                <w:rFonts w:hint="eastAsia"/>
                <w:sz w:val="21"/>
                <w:szCs w:val="21"/>
              </w:rPr>
            </w:pPr>
            <w:r>
              <w:rPr>
                <w:rFonts w:hint="eastAsia"/>
                <w:sz w:val="21"/>
                <w:szCs w:val="21"/>
              </w:rPr>
              <w:t>技术参数响应</w:t>
            </w:r>
          </w:p>
          <w:p w14:paraId="7541CF00">
            <w:pPr>
              <w:pStyle w:val="11"/>
              <w:adjustRightInd w:val="0"/>
              <w:snapToGrid w:val="0"/>
              <w:spacing w:before="0" w:beforeAutospacing="0" w:after="0" w:afterAutospacing="0"/>
              <w:jc w:val="center"/>
              <w:rPr>
                <w:rFonts w:ascii="仿宋" w:hAnsi="仿宋" w:eastAsia="仿宋" w:cs="仿宋"/>
                <w:color w:val="000000"/>
                <w:sz w:val="21"/>
                <w:szCs w:val="21"/>
              </w:rPr>
            </w:pPr>
          </w:p>
        </w:tc>
        <w:tc>
          <w:tcPr>
            <w:tcW w:w="6001" w:type="dxa"/>
            <w:vAlign w:val="center"/>
          </w:tcPr>
          <w:p w14:paraId="79CD5D8F">
            <w:pPr>
              <w:pStyle w:val="28"/>
              <w:spacing w:line="240" w:lineRule="auto"/>
              <w:ind w:left="0" w:leftChars="0" w:firstLine="0" w:firstLineChars="0"/>
              <w:jc w:val="left"/>
              <w:rPr>
                <w:rFonts w:ascii="仿宋" w:hAnsi="仿宋" w:cs="仿宋"/>
                <w:b/>
                <w:color w:val="000000"/>
                <w:szCs w:val="21"/>
              </w:rPr>
            </w:pPr>
            <w:r>
              <w:rPr>
                <w:rFonts w:hint="eastAsia"/>
                <w:sz w:val="21"/>
                <w:szCs w:val="21"/>
                <w:lang w:val="en-US" w:eastAsia="zh-CN"/>
              </w:rPr>
              <w:t>技术参数中，标</w:t>
            </w:r>
            <w:r>
              <w:rPr>
                <w:rFonts w:hint="eastAsia" w:eastAsia="宋体" w:cs="宋体"/>
                <w:sz w:val="21"/>
                <w:szCs w:val="21"/>
                <w:lang w:eastAsia="zh-CN"/>
              </w:rPr>
              <w:drawing>
                <wp:inline distT="0" distB="0" distL="114300" distR="114300">
                  <wp:extent cx="203200" cy="203200"/>
                  <wp:effectExtent l="0" t="0" r="6350" b="5715"/>
                  <wp:docPr id="6" name="图片 6" descr="三角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三角形"/>
                          <pic:cNvPicPr>
                            <a:picLocks noChangeAspect="1"/>
                          </pic:cNvPicPr>
                        </pic:nvPicPr>
                        <pic:blipFill>
                          <a:blip r:embed="rId6"/>
                          <a:stretch>
                            <a:fillRect/>
                          </a:stretch>
                        </pic:blipFill>
                        <pic:spPr>
                          <a:xfrm>
                            <a:off x="0" y="0"/>
                            <a:ext cx="203200" cy="203200"/>
                          </a:xfrm>
                          <a:prstGeom prst="rect">
                            <a:avLst/>
                          </a:prstGeom>
                          <a:noFill/>
                          <a:ln>
                            <a:noFill/>
                          </a:ln>
                        </pic:spPr>
                      </pic:pic>
                    </a:graphicData>
                  </a:graphic>
                </wp:inline>
              </w:drawing>
            </w:r>
            <w:r>
              <w:rPr>
                <w:rFonts w:hint="eastAsia" w:eastAsia="宋体" w:cs="宋体"/>
                <w:sz w:val="21"/>
                <w:szCs w:val="21"/>
                <w:lang w:val="en-US" w:eastAsia="zh-CN"/>
              </w:rPr>
              <w:t>的参数</w:t>
            </w:r>
            <w:r>
              <w:rPr>
                <w:rFonts w:hint="eastAsia"/>
                <w:sz w:val="21"/>
                <w:szCs w:val="21"/>
              </w:rPr>
              <w:t>投标人每存在1项不满足或负偏离的扣</w:t>
            </w:r>
            <w:r>
              <w:rPr>
                <w:rFonts w:hint="eastAsia"/>
                <w:sz w:val="21"/>
                <w:szCs w:val="21"/>
                <w:lang w:val="en-US" w:eastAsia="zh-CN"/>
              </w:rPr>
              <w:t>3</w:t>
            </w:r>
            <w:r>
              <w:rPr>
                <w:rFonts w:hint="eastAsia"/>
                <w:sz w:val="21"/>
                <w:szCs w:val="21"/>
              </w:rPr>
              <w:t>分，扣完为止。（共计</w:t>
            </w:r>
            <w:r>
              <w:rPr>
                <w:rFonts w:hint="eastAsia"/>
                <w:sz w:val="21"/>
                <w:szCs w:val="21"/>
                <w:lang w:val="en-US" w:eastAsia="zh-CN"/>
              </w:rPr>
              <w:t>10</w:t>
            </w:r>
            <w:r>
              <w:rPr>
                <w:rFonts w:hint="eastAsia"/>
                <w:sz w:val="21"/>
                <w:szCs w:val="21"/>
              </w:rPr>
              <w:t>项）。</w:t>
            </w:r>
          </w:p>
        </w:tc>
        <w:tc>
          <w:tcPr>
            <w:tcW w:w="701" w:type="dxa"/>
            <w:vAlign w:val="center"/>
          </w:tcPr>
          <w:p w14:paraId="568B283D">
            <w:pPr>
              <w:pStyle w:val="11"/>
              <w:adjustRightInd w:val="0"/>
              <w:snapToGrid w:val="0"/>
              <w:spacing w:before="0" w:beforeAutospacing="0" w:after="0" w:afterAutospacing="0"/>
              <w:jc w:val="center"/>
              <w:rPr>
                <w:rFonts w:hint="default" w:ascii="仿宋" w:hAnsi="仿宋" w:eastAsia="仿宋" w:cs="仿宋"/>
                <w:color w:val="000000"/>
                <w:sz w:val="21"/>
                <w:szCs w:val="21"/>
                <w:lang w:val="en-US"/>
              </w:rPr>
            </w:pPr>
            <w:r>
              <w:rPr>
                <w:rFonts w:hint="eastAsia" w:ascii="Arial" w:hAnsi="Arial" w:eastAsia="宋体" w:cs="宋体"/>
                <w:kern w:val="2"/>
                <w:sz w:val="21"/>
                <w:szCs w:val="21"/>
                <w:lang w:val="en-US" w:eastAsia="zh-CN" w:bidi="ar-SA"/>
              </w:rPr>
              <w:t>30分</w:t>
            </w:r>
          </w:p>
        </w:tc>
      </w:tr>
      <w:tr w14:paraId="28C3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01" w:type="dxa"/>
            <w:vMerge w:val="continue"/>
            <w:vAlign w:val="center"/>
          </w:tcPr>
          <w:p w14:paraId="41375541">
            <w:pPr>
              <w:pStyle w:val="11"/>
              <w:snapToGrid w:val="0"/>
              <w:jc w:val="center"/>
              <w:rPr>
                <w:rFonts w:ascii="仿宋" w:hAnsi="仿宋" w:eastAsia="仿宋" w:cs="仿宋"/>
                <w:color w:val="000000"/>
                <w:sz w:val="21"/>
                <w:szCs w:val="21"/>
              </w:rPr>
            </w:pPr>
          </w:p>
        </w:tc>
        <w:tc>
          <w:tcPr>
            <w:tcW w:w="1275" w:type="dxa"/>
            <w:vAlign w:val="center"/>
          </w:tcPr>
          <w:p w14:paraId="02CE6F04">
            <w:pPr>
              <w:jc w:val="center"/>
              <w:rPr>
                <w:rFonts w:ascii="仿宋" w:hAnsi="仿宋" w:cs="仿宋"/>
                <w:color w:val="000000"/>
                <w:szCs w:val="21"/>
              </w:rPr>
            </w:pPr>
            <w:r>
              <w:rPr>
                <w:rFonts w:hint="eastAsia" w:ascii="Arial" w:hAnsi="Arial" w:eastAsia="宋体" w:cs="宋体"/>
                <w:kern w:val="2"/>
                <w:sz w:val="21"/>
                <w:szCs w:val="21"/>
                <w:lang w:val="en-US" w:eastAsia="zh-CN" w:bidi="ar-SA"/>
              </w:rPr>
              <w:t>项目整体方案</w:t>
            </w:r>
          </w:p>
        </w:tc>
        <w:tc>
          <w:tcPr>
            <w:tcW w:w="6001" w:type="dxa"/>
            <w:vAlign w:val="center"/>
          </w:tcPr>
          <w:p w14:paraId="163D2993">
            <w:pPr>
              <w:pStyle w:val="28"/>
              <w:spacing w:line="240" w:lineRule="auto"/>
              <w:ind w:left="0" w:leftChars="0" w:firstLine="0" w:firstLineChars="0"/>
              <w:jc w:val="left"/>
              <w:rPr>
                <w:rFonts w:hint="default" w:ascii="Arial" w:hAnsi="Arial" w:eastAsia="宋体" w:cs="宋体"/>
                <w:kern w:val="2"/>
                <w:sz w:val="21"/>
                <w:szCs w:val="21"/>
                <w:lang w:val="en-US" w:eastAsia="zh-CN" w:bidi="ar-SA"/>
              </w:rPr>
            </w:pPr>
            <w:r>
              <w:rPr>
                <w:rFonts w:hint="eastAsia" w:ascii="Arial" w:hAnsi="Arial" w:eastAsia="宋体" w:cs="宋体"/>
                <w:kern w:val="2"/>
                <w:sz w:val="21"/>
                <w:szCs w:val="21"/>
                <w:lang w:val="en-US" w:eastAsia="zh-CN" w:bidi="ar-SA"/>
              </w:rPr>
              <w:t>投标人需提供项目整体方案</w:t>
            </w:r>
            <w:r>
              <w:rPr>
                <w:rFonts w:hint="eastAsia" w:cs="宋体"/>
                <w:kern w:val="2"/>
                <w:sz w:val="21"/>
                <w:szCs w:val="21"/>
                <w:lang w:val="en-US" w:eastAsia="zh-CN" w:bidi="ar-SA"/>
              </w:rPr>
              <w:t>，包括但不限于</w:t>
            </w:r>
            <w:r>
              <w:rPr>
                <w:rFonts w:hint="eastAsia" w:ascii="Arial" w:hAnsi="Arial" w:eastAsia="宋体" w:cs="宋体"/>
                <w:kern w:val="2"/>
                <w:sz w:val="21"/>
                <w:szCs w:val="21"/>
                <w:lang w:val="en-US" w:eastAsia="zh-CN" w:bidi="ar-SA"/>
              </w:rPr>
              <w:t>项目现状、项目建设目标、项目建设原则、建设内容、总体框架及整体规划等</w:t>
            </w:r>
            <w:r>
              <w:rPr>
                <w:rFonts w:hint="eastAsia" w:cs="宋体"/>
                <w:kern w:val="2"/>
                <w:sz w:val="21"/>
                <w:szCs w:val="21"/>
                <w:lang w:val="en-US" w:eastAsia="zh-CN" w:bidi="ar-SA"/>
              </w:rPr>
              <w:t>内容。</w:t>
            </w:r>
          </w:p>
          <w:p w14:paraId="7C182AB0">
            <w:pPr>
              <w:pStyle w:val="28"/>
              <w:spacing w:line="240" w:lineRule="auto"/>
              <w:ind w:left="0" w:leftChars="0" w:firstLine="0" w:firstLineChars="0"/>
              <w:jc w:val="left"/>
              <w:rPr>
                <w:rFonts w:hint="eastAsia"/>
                <w:color w:val="auto"/>
                <w:sz w:val="21"/>
                <w:szCs w:val="21"/>
                <w:lang w:val="en-US" w:eastAsia="zh-CN"/>
              </w:rPr>
            </w:pPr>
            <w:r>
              <w:rPr>
                <w:rFonts w:hint="eastAsia"/>
                <w:color w:val="auto"/>
                <w:sz w:val="21"/>
                <w:szCs w:val="21"/>
                <w:lang w:val="en-US" w:eastAsia="zh-CN"/>
              </w:rPr>
              <w:t>提供方案者得基础分7分。</w:t>
            </w:r>
          </w:p>
          <w:p w14:paraId="308C3421">
            <w:pPr>
              <w:adjustRightInd w:val="0"/>
              <w:snapToGrid w:val="0"/>
              <w:spacing w:line="360" w:lineRule="auto"/>
              <w:rPr>
                <w:rFonts w:hint="eastAsia"/>
                <w:b/>
                <w:bCs/>
                <w:color w:val="auto"/>
                <w:sz w:val="21"/>
                <w:szCs w:val="21"/>
                <w:lang w:val="en-US" w:eastAsia="zh-CN"/>
              </w:rPr>
            </w:pPr>
            <w:r>
              <w:rPr>
                <w:rFonts w:hint="eastAsia" w:ascii="仿宋_GB2312" w:eastAsia="仿宋_GB2312"/>
                <w:b/>
                <w:bCs/>
                <w:color w:val="auto"/>
                <w:sz w:val="22"/>
                <w:szCs w:val="21"/>
                <w:lang w:val="en-US" w:eastAsia="zh-CN"/>
              </w:rPr>
              <w:t>额外加分标准：</w:t>
            </w:r>
          </w:p>
          <w:p w14:paraId="1F917930">
            <w:pPr>
              <w:pStyle w:val="28"/>
              <w:spacing w:line="240" w:lineRule="auto"/>
              <w:ind w:left="0" w:leftChars="0" w:firstLine="0" w:firstLineChars="0"/>
              <w:jc w:val="left"/>
              <w:rPr>
                <w:rFonts w:hint="eastAsia"/>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1</w:t>
            </w:r>
            <w:r>
              <w:rPr>
                <w:rFonts w:hint="eastAsia"/>
                <w:color w:val="auto"/>
                <w:sz w:val="21"/>
                <w:szCs w:val="21"/>
                <w:lang w:eastAsia="zh-CN"/>
              </w:rPr>
              <w:t>）</w:t>
            </w:r>
            <w:r>
              <w:rPr>
                <w:rFonts w:hint="eastAsia"/>
                <w:color w:val="auto"/>
                <w:sz w:val="21"/>
                <w:szCs w:val="21"/>
              </w:rPr>
              <w:t>方案</w:t>
            </w:r>
            <w:r>
              <w:rPr>
                <w:rFonts w:hint="eastAsia"/>
                <w:color w:val="auto"/>
                <w:sz w:val="21"/>
                <w:szCs w:val="21"/>
                <w:lang w:val="en-US" w:eastAsia="zh-CN"/>
              </w:rPr>
              <w:t>内容</w:t>
            </w:r>
            <w:r>
              <w:rPr>
                <w:rFonts w:hint="eastAsia"/>
                <w:color w:val="auto"/>
                <w:sz w:val="21"/>
                <w:szCs w:val="21"/>
              </w:rPr>
              <w:t>合理、全面且详细、专业可行</w:t>
            </w:r>
            <w:r>
              <w:rPr>
                <w:rFonts w:hint="eastAsia"/>
                <w:color w:val="auto"/>
                <w:sz w:val="21"/>
                <w:szCs w:val="21"/>
                <w:lang w:eastAsia="zh-CN"/>
              </w:rPr>
              <w:t>，</w:t>
            </w:r>
            <w:r>
              <w:rPr>
                <w:rFonts w:hint="eastAsia"/>
                <w:color w:val="auto"/>
                <w:sz w:val="21"/>
                <w:szCs w:val="21"/>
                <w:lang w:val="en-US" w:eastAsia="zh-CN"/>
              </w:rPr>
              <w:t>得</w:t>
            </w:r>
            <w:r>
              <w:rPr>
                <w:rFonts w:hint="eastAsia"/>
                <w:color w:val="auto"/>
                <w:sz w:val="21"/>
                <w:szCs w:val="21"/>
              </w:rPr>
              <w:t>3分</w:t>
            </w:r>
            <w:r>
              <w:rPr>
                <w:rFonts w:hint="eastAsia"/>
                <w:color w:val="auto"/>
                <w:sz w:val="21"/>
                <w:szCs w:val="21"/>
                <w:lang w:eastAsia="zh-CN"/>
              </w:rPr>
              <w:t>；</w:t>
            </w:r>
          </w:p>
          <w:p w14:paraId="7FF21F5B">
            <w:pPr>
              <w:pStyle w:val="28"/>
              <w:spacing w:line="240" w:lineRule="auto"/>
              <w:ind w:left="0" w:leftChars="0" w:firstLine="0" w:firstLineChars="0"/>
              <w:jc w:val="left"/>
              <w:rPr>
                <w:rFonts w:hint="eastAsia" w:eastAsia="宋体" w:cs="宋体"/>
                <w:color w:val="auto"/>
                <w:sz w:val="21"/>
                <w:szCs w:val="21"/>
              </w:rPr>
            </w:pPr>
            <w:r>
              <w:rPr>
                <w:rFonts w:hint="eastAsia"/>
                <w:color w:val="auto"/>
                <w:sz w:val="21"/>
                <w:szCs w:val="21"/>
                <w:lang w:eastAsia="zh-CN"/>
              </w:rPr>
              <w:t>（</w:t>
            </w:r>
            <w:r>
              <w:rPr>
                <w:rFonts w:hint="eastAsia"/>
                <w:color w:val="auto"/>
                <w:sz w:val="21"/>
                <w:szCs w:val="21"/>
                <w:lang w:val="en-US" w:eastAsia="zh-CN"/>
              </w:rPr>
              <w:t>2</w:t>
            </w:r>
            <w:r>
              <w:rPr>
                <w:rFonts w:hint="eastAsia"/>
                <w:color w:val="auto"/>
                <w:sz w:val="21"/>
                <w:szCs w:val="21"/>
                <w:lang w:eastAsia="zh-CN"/>
              </w:rPr>
              <w:t>）</w:t>
            </w:r>
            <w:r>
              <w:rPr>
                <w:rFonts w:hint="eastAsia" w:eastAsia="宋体" w:cs="宋体"/>
                <w:color w:val="auto"/>
                <w:sz w:val="21"/>
                <w:szCs w:val="21"/>
              </w:rPr>
              <w:t>方案</w:t>
            </w:r>
            <w:r>
              <w:rPr>
                <w:rFonts w:hint="eastAsia" w:cs="宋体"/>
                <w:color w:val="auto"/>
                <w:sz w:val="21"/>
                <w:szCs w:val="21"/>
                <w:lang w:val="en-US" w:eastAsia="zh-CN"/>
              </w:rPr>
              <w:t>内容</w:t>
            </w:r>
            <w:r>
              <w:rPr>
                <w:rFonts w:hint="eastAsia" w:eastAsia="宋体" w:cs="宋体"/>
                <w:color w:val="auto"/>
                <w:sz w:val="21"/>
                <w:szCs w:val="21"/>
              </w:rPr>
              <w:t>相对完整</w:t>
            </w:r>
            <w:r>
              <w:rPr>
                <w:rFonts w:hint="eastAsia" w:eastAsia="宋体" w:cs="宋体"/>
                <w:color w:val="auto"/>
                <w:sz w:val="21"/>
                <w:szCs w:val="21"/>
                <w:lang w:val="en-US" w:eastAsia="zh-CN"/>
              </w:rPr>
              <w:t>，</w:t>
            </w:r>
            <w:r>
              <w:rPr>
                <w:rFonts w:hint="eastAsia" w:ascii="Arial" w:hAnsi="Arial" w:eastAsia="宋体" w:cs="宋体"/>
                <w:color w:val="auto"/>
                <w:kern w:val="2"/>
                <w:sz w:val="21"/>
                <w:szCs w:val="21"/>
                <w:lang w:val="en-US" w:eastAsia="zh-CN" w:bidi="ar-SA"/>
              </w:rPr>
              <w:t>基本满足项目要求</w:t>
            </w:r>
            <w:r>
              <w:rPr>
                <w:rFonts w:hint="eastAsia" w:cs="宋体"/>
                <w:color w:val="auto"/>
                <w:kern w:val="2"/>
                <w:sz w:val="21"/>
                <w:szCs w:val="21"/>
                <w:lang w:val="en-US" w:eastAsia="zh-CN" w:bidi="ar-SA"/>
              </w:rPr>
              <w:t>，</w:t>
            </w:r>
            <w:r>
              <w:rPr>
                <w:rFonts w:hint="eastAsia" w:eastAsia="宋体" w:cs="宋体"/>
                <w:color w:val="auto"/>
                <w:sz w:val="21"/>
                <w:szCs w:val="21"/>
              </w:rPr>
              <w:t>得</w:t>
            </w:r>
            <w:r>
              <w:rPr>
                <w:rFonts w:hint="eastAsia" w:eastAsia="宋体" w:cs="宋体"/>
                <w:color w:val="auto"/>
                <w:sz w:val="21"/>
                <w:szCs w:val="21"/>
                <w:lang w:val="en-US" w:eastAsia="zh-CN"/>
              </w:rPr>
              <w:t>2</w:t>
            </w:r>
            <w:r>
              <w:rPr>
                <w:rFonts w:hint="eastAsia" w:eastAsia="宋体" w:cs="宋体"/>
                <w:color w:val="auto"/>
                <w:sz w:val="21"/>
                <w:szCs w:val="21"/>
              </w:rPr>
              <w:t>分；</w:t>
            </w:r>
          </w:p>
          <w:p w14:paraId="61033FED">
            <w:pPr>
              <w:pStyle w:val="28"/>
              <w:spacing w:line="240" w:lineRule="auto"/>
              <w:ind w:left="0" w:leftChars="0" w:firstLine="0" w:firstLineChars="0"/>
              <w:jc w:val="left"/>
              <w:rPr>
                <w:rFonts w:hint="eastAsia" w:eastAsia="宋体" w:cs="宋体"/>
                <w:color w:val="auto"/>
                <w:sz w:val="21"/>
                <w:szCs w:val="21"/>
              </w:rPr>
            </w:pPr>
            <w:r>
              <w:rPr>
                <w:rFonts w:hint="eastAsia"/>
                <w:color w:val="auto"/>
                <w:sz w:val="21"/>
                <w:szCs w:val="21"/>
                <w:lang w:eastAsia="zh-CN"/>
              </w:rPr>
              <w:t>（</w:t>
            </w:r>
            <w:r>
              <w:rPr>
                <w:rFonts w:hint="eastAsia"/>
                <w:color w:val="auto"/>
                <w:sz w:val="21"/>
                <w:szCs w:val="21"/>
                <w:lang w:val="en-US" w:eastAsia="zh-CN"/>
              </w:rPr>
              <w:t>3</w:t>
            </w:r>
            <w:r>
              <w:rPr>
                <w:rFonts w:hint="eastAsia"/>
                <w:color w:val="auto"/>
                <w:sz w:val="21"/>
                <w:szCs w:val="21"/>
                <w:lang w:eastAsia="zh-CN"/>
              </w:rPr>
              <w:t>）</w:t>
            </w:r>
            <w:r>
              <w:rPr>
                <w:rFonts w:hint="eastAsia" w:eastAsia="宋体" w:cs="宋体"/>
                <w:color w:val="auto"/>
                <w:sz w:val="21"/>
                <w:szCs w:val="21"/>
              </w:rPr>
              <w:t>方案</w:t>
            </w:r>
            <w:r>
              <w:rPr>
                <w:rFonts w:hint="eastAsia" w:cs="宋体"/>
                <w:color w:val="auto"/>
                <w:sz w:val="21"/>
                <w:szCs w:val="21"/>
                <w:lang w:val="en-US" w:eastAsia="zh-CN"/>
              </w:rPr>
              <w:t>内容</w:t>
            </w:r>
            <w:r>
              <w:rPr>
                <w:rFonts w:hint="eastAsia" w:eastAsia="宋体" w:cs="宋体"/>
                <w:color w:val="auto"/>
                <w:sz w:val="21"/>
                <w:szCs w:val="21"/>
              </w:rPr>
              <w:t>存在缺项</w:t>
            </w:r>
            <w:r>
              <w:rPr>
                <w:rFonts w:hint="eastAsia" w:eastAsia="宋体" w:cs="宋体"/>
                <w:color w:val="auto"/>
                <w:sz w:val="21"/>
                <w:szCs w:val="21"/>
                <w:lang w:eastAsia="zh-CN"/>
              </w:rPr>
              <w:t>，</w:t>
            </w:r>
            <w:r>
              <w:rPr>
                <w:rFonts w:hint="eastAsia" w:ascii="Arial" w:hAnsi="Arial" w:eastAsia="宋体" w:cs="宋体"/>
                <w:color w:val="auto"/>
                <w:kern w:val="2"/>
                <w:sz w:val="21"/>
                <w:szCs w:val="21"/>
                <w:lang w:val="en-US" w:eastAsia="zh-CN" w:bidi="ar-SA"/>
              </w:rPr>
              <w:t>不能全部满足项目要求</w:t>
            </w:r>
            <w:r>
              <w:rPr>
                <w:rFonts w:hint="eastAsia" w:cs="宋体"/>
                <w:color w:val="auto"/>
                <w:kern w:val="2"/>
                <w:sz w:val="21"/>
                <w:szCs w:val="21"/>
                <w:lang w:val="en-US" w:eastAsia="zh-CN" w:bidi="ar-SA"/>
              </w:rPr>
              <w:t>，</w:t>
            </w:r>
            <w:r>
              <w:rPr>
                <w:rFonts w:hint="eastAsia" w:eastAsia="宋体" w:cs="宋体"/>
                <w:color w:val="auto"/>
                <w:sz w:val="21"/>
                <w:szCs w:val="21"/>
              </w:rPr>
              <w:t>得</w:t>
            </w:r>
            <w:r>
              <w:rPr>
                <w:rFonts w:hint="eastAsia" w:eastAsia="宋体" w:cs="宋体"/>
                <w:color w:val="auto"/>
                <w:sz w:val="21"/>
                <w:szCs w:val="21"/>
                <w:lang w:val="en-US" w:eastAsia="zh-CN"/>
              </w:rPr>
              <w:t>1</w:t>
            </w:r>
            <w:r>
              <w:rPr>
                <w:rFonts w:hint="eastAsia" w:eastAsia="宋体" w:cs="宋体"/>
                <w:color w:val="auto"/>
                <w:sz w:val="21"/>
                <w:szCs w:val="21"/>
              </w:rPr>
              <w:t xml:space="preserve">分; </w:t>
            </w:r>
          </w:p>
          <w:p w14:paraId="3230E121">
            <w:pPr>
              <w:jc w:val="left"/>
              <w:rPr>
                <w:rFonts w:hint="eastAsia" w:ascii="Arial" w:hAnsi="Arial" w:eastAsia="宋体" w:cs="宋体"/>
                <w:kern w:val="2"/>
                <w:sz w:val="21"/>
                <w:szCs w:val="21"/>
                <w:lang w:val="en-US" w:eastAsia="zh-CN" w:bidi="ar-SA"/>
              </w:rPr>
            </w:pPr>
            <w:r>
              <w:rPr>
                <w:rFonts w:hint="eastAsia"/>
                <w:color w:val="auto"/>
                <w:sz w:val="21"/>
                <w:szCs w:val="21"/>
                <w:lang w:eastAsia="zh-CN"/>
              </w:rPr>
              <w:t>（</w:t>
            </w:r>
            <w:r>
              <w:rPr>
                <w:rFonts w:hint="eastAsia"/>
                <w:color w:val="auto"/>
                <w:sz w:val="21"/>
                <w:szCs w:val="21"/>
                <w:lang w:val="en-US" w:eastAsia="zh-CN"/>
              </w:rPr>
              <w:t>4</w:t>
            </w:r>
            <w:r>
              <w:rPr>
                <w:rFonts w:hint="eastAsia"/>
                <w:color w:val="auto"/>
                <w:sz w:val="21"/>
                <w:szCs w:val="21"/>
                <w:lang w:eastAsia="zh-CN"/>
              </w:rPr>
              <w:t>）</w:t>
            </w:r>
            <w:r>
              <w:rPr>
                <w:rFonts w:hint="eastAsia" w:eastAsia="宋体" w:cs="宋体"/>
                <w:color w:val="auto"/>
                <w:sz w:val="21"/>
                <w:szCs w:val="21"/>
              </w:rPr>
              <w:t>不提供</w:t>
            </w:r>
            <w:r>
              <w:rPr>
                <w:rFonts w:hint="eastAsia" w:eastAsia="宋体" w:cs="宋体"/>
                <w:color w:val="auto"/>
                <w:sz w:val="21"/>
                <w:szCs w:val="21"/>
                <w:lang w:eastAsia="zh-CN"/>
              </w:rPr>
              <w:t>，</w:t>
            </w:r>
            <w:r>
              <w:rPr>
                <w:rFonts w:hint="eastAsia" w:eastAsia="宋体" w:cs="宋体"/>
                <w:color w:val="auto"/>
                <w:sz w:val="21"/>
                <w:szCs w:val="21"/>
                <w:lang w:val="en-US" w:eastAsia="zh-CN"/>
              </w:rPr>
              <w:t>不</w:t>
            </w:r>
            <w:r>
              <w:rPr>
                <w:rFonts w:hint="eastAsia" w:ascii="Arial" w:hAnsi="Arial" w:eastAsia="宋体" w:cs="宋体"/>
                <w:color w:val="auto"/>
                <w:kern w:val="2"/>
                <w:sz w:val="21"/>
                <w:szCs w:val="21"/>
                <w:lang w:val="en-US" w:eastAsia="zh-CN" w:bidi="ar-SA"/>
              </w:rPr>
              <w:t>得分</w:t>
            </w:r>
            <w:r>
              <w:rPr>
                <w:rFonts w:hint="eastAsia"/>
                <w:color w:val="auto"/>
                <w:sz w:val="21"/>
                <w:szCs w:val="21"/>
              </w:rPr>
              <w:t>。</w:t>
            </w:r>
          </w:p>
        </w:tc>
        <w:tc>
          <w:tcPr>
            <w:tcW w:w="701" w:type="dxa"/>
            <w:vAlign w:val="center"/>
          </w:tcPr>
          <w:p w14:paraId="1B3704E5">
            <w:pPr>
              <w:pStyle w:val="11"/>
              <w:adjustRightInd w:val="0"/>
              <w:snapToGrid w:val="0"/>
              <w:spacing w:before="0" w:beforeAutospacing="0" w:after="0" w:afterAutospacing="0"/>
              <w:jc w:val="center"/>
              <w:rPr>
                <w:rFonts w:hint="default" w:ascii="仿宋" w:hAnsi="仿宋" w:eastAsia="仿宋" w:cs="仿宋"/>
                <w:color w:val="000000"/>
                <w:sz w:val="21"/>
                <w:szCs w:val="21"/>
                <w:lang w:val="en-US"/>
              </w:rPr>
            </w:pPr>
            <w:r>
              <w:rPr>
                <w:rFonts w:hint="eastAsia" w:ascii="Arial" w:hAnsi="Arial" w:eastAsia="宋体" w:cs="宋体"/>
                <w:kern w:val="2"/>
                <w:sz w:val="21"/>
                <w:szCs w:val="21"/>
                <w:lang w:val="en-US" w:eastAsia="zh-CN" w:bidi="ar-SA"/>
              </w:rPr>
              <w:t>10分</w:t>
            </w:r>
          </w:p>
        </w:tc>
      </w:tr>
      <w:tr w14:paraId="6C45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trPr>
        <w:tc>
          <w:tcPr>
            <w:tcW w:w="1101" w:type="dxa"/>
            <w:vMerge w:val="continue"/>
            <w:vAlign w:val="center"/>
          </w:tcPr>
          <w:p w14:paraId="07FE4510">
            <w:pPr>
              <w:pStyle w:val="11"/>
              <w:snapToGrid w:val="0"/>
              <w:jc w:val="center"/>
              <w:rPr>
                <w:rFonts w:ascii="仿宋" w:hAnsi="仿宋" w:eastAsia="仿宋" w:cs="仿宋"/>
                <w:color w:val="000000"/>
                <w:sz w:val="21"/>
                <w:szCs w:val="21"/>
              </w:rPr>
            </w:pPr>
          </w:p>
        </w:tc>
        <w:tc>
          <w:tcPr>
            <w:tcW w:w="1275" w:type="dxa"/>
            <w:vAlign w:val="center"/>
          </w:tcPr>
          <w:p w14:paraId="50BF67F4">
            <w:pPr>
              <w:jc w:val="center"/>
              <w:rPr>
                <w:rFonts w:hint="eastAsia" w:ascii="Arial" w:hAnsi="Arial" w:eastAsia="宋体" w:cs="宋体"/>
                <w:kern w:val="2"/>
                <w:sz w:val="21"/>
                <w:szCs w:val="21"/>
                <w:lang w:val="en-US" w:eastAsia="zh-CN" w:bidi="ar-SA"/>
              </w:rPr>
            </w:pPr>
            <w:r>
              <w:rPr>
                <w:rFonts w:hint="eastAsia" w:ascii="Arial" w:hAnsi="Arial" w:eastAsia="宋体" w:cs="宋体"/>
                <w:kern w:val="2"/>
                <w:sz w:val="21"/>
                <w:szCs w:val="21"/>
                <w:lang w:val="en-US" w:eastAsia="zh-CN" w:bidi="ar-SA"/>
              </w:rPr>
              <w:t>项目实施及管理方案</w:t>
            </w:r>
          </w:p>
        </w:tc>
        <w:tc>
          <w:tcPr>
            <w:tcW w:w="6001" w:type="dxa"/>
            <w:vAlign w:val="center"/>
          </w:tcPr>
          <w:p w14:paraId="620FDF8F">
            <w:pPr>
              <w:adjustRightInd w:val="0"/>
              <w:snapToGrid w:val="0"/>
              <w:spacing w:line="360" w:lineRule="auto"/>
              <w:rPr>
                <w:rFonts w:hint="eastAsia"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投标人需提供项目实施方案，包含但不限于实施思路、人员分工、实施计划、实施步骤、风险控制、上线方案、验收方案、质量保障方案等内容。提供方案者得基础分7分。</w:t>
            </w:r>
          </w:p>
          <w:p w14:paraId="3B62F008">
            <w:pPr>
              <w:adjustRightInd w:val="0"/>
              <w:snapToGrid w:val="0"/>
              <w:spacing w:line="360" w:lineRule="auto"/>
              <w:rPr>
                <w:rFonts w:hint="eastAsia" w:ascii="仿宋_GB2312" w:eastAsia="仿宋_GB2312"/>
                <w:color w:val="0D0D0D"/>
                <w:sz w:val="22"/>
                <w:szCs w:val="21"/>
              </w:rPr>
            </w:pPr>
            <w:r>
              <w:rPr>
                <w:rFonts w:hint="eastAsia" w:ascii="仿宋_GB2312" w:eastAsia="仿宋_GB2312"/>
                <w:b/>
                <w:bCs/>
                <w:color w:val="0D0D0D"/>
                <w:sz w:val="22"/>
                <w:szCs w:val="21"/>
                <w:lang w:val="en-US" w:eastAsia="zh-CN"/>
              </w:rPr>
              <w:t>额外加分标准：</w:t>
            </w:r>
            <w:r>
              <w:rPr>
                <w:rFonts w:hint="eastAsia" w:ascii="仿宋_GB2312" w:eastAsia="仿宋_GB2312"/>
                <w:color w:val="0D0D0D"/>
                <w:sz w:val="22"/>
                <w:szCs w:val="21"/>
              </w:rPr>
              <w:t xml:space="preserve"> </w:t>
            </w:r>
          </w:p>
          <w:p w14:paraId="12F8B096">
            <w:pPr>
              <w:adjustRightInd w:val="0"/>
              <w:snapToGrid w:val="0"/>
              <w:spacing w:line="360" w:lineRule="auto"/>
              <w:rPr>
                <w:rFonts w:hint="eastAsia" w:ascii="Arial" w:hAnsi="Arial" w:eastAsia="宋体" w:cs="宋体"/>
                <w:color w:val="auto"/>
                <w:kern w:val="2"/>
                <w:sz w:val="21"/>
                <w:szCs w:val="21"/>
                <w:lang w:val="en-US" w:eastAsia="zh-CN" w:bidi="ar-SA"/>
              </w:rPr>
            </w:pPr>
            <w:r>
              <w:rPr>
                <w:rFonts w:hint="eastAsia"/>
                <w:color w:val="auto"/>
                <w:sz w:val="21"/>
                <w:szCs w:val="21"/>
                <w:lang w:eastAsia="zh-CN"/>
              </w:rPr>
              <w:t>（</w:t>
            </w:r>
            <w:r>
              <w:rPr>
                <w:rFonts w:hint="eastAsia"/>
                <w:color w:val="auto"/>
                <w:sz w:val="21"/>
                <w:szCs w:val="21"/>
                <w:lang w:val="en-US" w:eastAsia="zh-CN"/>
              </w:rPr>
              <w:t>1</w:t>
            </w:r>
            <w:r>
              <w:rPr>
                <w:rFonts w:hint="eastAsia"/>
                <w:color w:val="auto"/>
                <w:sz w:val="21"/>
                <w:szCs w:val="21"/>
                <w:lang w:eastAsia="zh-CN"/>
              </w:rPr>
              <w:t>）</w:t>
            </w:r>
            <w:r>
              <w:rPr>
                <w:rFonts w:hint="eastAsia" w:ascii="Arial" w:hAnsi="Arial" w:eastAsia="宋体" w:cs="宋体"/>
                <w:color w:val="auto"/>
                <w:kern w:val="2"/>
                <w:sz w:val="21"/>
                <w:szCs w:val="21"/>
                <w:lang w:val="en-US" w:eastAsia="zh-CN" w:bidi="ar-SA"/>
              </w:rPr>
              <w:t>方案内容合理全面，能完全满足或优于项目要求，得3分；</w:t>
            </w:r>
          </w:p>
          <w:p w14:paraId="22547E31">
            <w:pPr>
              <w:adjustRightInd w:val="0"/>
              <w:snapToGrid w:val="0"/>
              <w:spacing w:line="360" w:lineRule="auto"/>
              <w:ind w:left="5670" w:hanging="5670" w:hangingChars="2700"/>
              <w:rPr>
                <w:rFonts w:hint="eastAsia" w:ascii="Arial" w:hAnsi="Arial" w:eastAsia="宋体" w:cs="宋体"/>
                <w:color w:val="auto"/>
                <w:kern w:val="2"/>
                <w:sz w:val="21"/>
                <w:szCs w:val="21"/>
                <w:lang w:val="en-US" w:eastAsia="zh-CN" w:bidi="ar-SA"/>
              </w:rPr>
            </w:pPr>
            <w:r>
              <w:rPr>
                <w:rFonts w:hint="eastAsia"/>
                <w:color w:val="auto"/>
                <w:sz w:val="21"/>
                <w:szCs w:val="21"/>
                <w:lang w:eastAsia="zh-CN"/>
              </w:rPr>
              <w:t>（</w:t>
            </w:r>
            <w:r>
              <w:rPr>
                <w:rFonts w:hint="eastAsia"/>
                <w:color w:val="auto"/>
                <w:sz w:val="21"/>
                <w:szCs w:val="21"/>
                <w:lang w:val="en-US" w:eastAsia="zh-CN"/>
              </w:rPr>
              <w:t>2</w:t>
            </w:r>
            <w:r>
              <w:rPr>
                <w:rFonts w:hint="eastAsia"/>
                <w:color w:val="auto"/>
                <w:sz w:val="21"/>
                <w:szCs w:val="21"/>
                <w:lang w:eastAsia="zh-CN"/>
              </w:rPr>
              <w:t>）</w:t>
            </w:r>
            <w:r>
              <w:rPr>
                <w:rFonts w:hint="eastAsia" w:ascii="Arial" w:hAnsi="Arial" w:eastAsia="宋体" w:cs="宋体"/>
                <w:color w:val="auto"/>
                <w:kern w:val="2"/>
                <w:sz w:val="21"/>
                <w:szCs w:val="21"/>
                <w:lang w:val="en-US" w:eastAsia="zh-CN" w:bidi="ar-SA"/>
              </w:rPr>
              <w:t>方案相对完整，基本满足项目要求，得2分；</w:t>
            </w:r>
          </w:p>
          <w:p w14:paraId="474008E6">
            <w:pPr>
              <w:adjustRightInd w:val="0"/>
              <w:snapToGrid w:val="0"/>
              <w:spacing w:line="360" w:lineRule="auto"/>
              <w:rPr>
                <w:rFonts w:hint="eastAsia" w:ascii="Arial" w:hAnsi="Arial" w:eastAsia="宋体" w:cs="宋体"/>
                <w:color w:val="auto"/>
                <w:kern w:val="2"/>
                <w:sz w:val="21"/>
                <w:szCs w:val="21"/>
                <w:lang w:val="en-US" w:eastAsia="zh-CN" w:bidi="ar-SA"/>
              </w:rPr>
            </w:pPr>
            <w:r>
              <w:rPr>
                <w:rFonts w:hint="eastAsia"/>
                <w:color w:val="auto"/>
                <w:sz w:val="21"/>
                <w:szCs w:val="21"/>
                <w:lang w:eastAsia="zh-CN"/>
              </w:rPr>
              <w:t>（</w:t>
            </w:r>
            <w:r>
              <w:rPr>
                <w:rFonts w:hint="eastAsia"/>
                <w:color w:val="auto"/>
                <w:sz w:val="21"/>
                <w:szCs w:val="21"/>
                <w:lang w:val="en-US" w:eastAsia="zh-CN"/>
              </w:rPr>
              <w:t>3</w:t>
            </w:r>
            <w:r>
              <w:rPr>
                <w:rFonts w:hint="eastAsia"/>
                <w:color w:val="auto"/>
                <w:sz w:val="21"/>
                <w:szCs w:val="21"/>
                <w:lang w:eastAsia="zh-CN"/>
              </w:rPr>
              <w:t>）</w:t>
            </w:r>
            <w:r>
              <w:rPr>
                <w:rFonts w:hint="eastAsia" w:ascii="Arial" w:hAnsi="Arial" w:eastAsia="宋体" w:cs="宋体"/>
                <w:color w:val="auto"/>
                <w:kern w:val="2"/>
                <w:sz w:val="21"/>
                <w:szCs w:val="21"/>
                <w:lang w:val="en-US" w:eastAsia="zh-CN" w:bidi="ar-SA"/>
              </w:rPr>
              <w:t xml:space="preserve">方案存在缺项，不能全部满足项目要求，得1分; </w:t>
            </w:r>
          </w:p>
          <w:p w14:paraId="4597D857">
            <w:pPr>
              <w:adjustRightInd w:val="0"/>
              <w:snapToGrid w:val="0"/>
              <w:spacing w:line="360" w:lineRule="auto"/>
              <w:rPr>
                <w:rFonts w:hint="eastAsia" w:eastAsia="宋体" w:cs="宋体"/>
                <w:color w:val="auto"/>
                <w:sz w:val="21"/>
                <w:szCs w:val="21"/>
              </w:rPr>
            </w:pPr>
            <w:r>
              <w:rPr>
                <w:rFonts w:hint="eastAsia"/>
                <w:color w:val="auto"/>
                <w:sz w:val="21"/>
                <w:szCs w:val="21"/>
                <w:lang w:eastAsia="zh-CN"/>
              </w:rPr>
              <w:t>（</w:t>
            </w:r>
            <w:r>
              <w:rPr>
                <w:rFonts w:hint="eastAsia"/>
                <w:color w:val="auto"/>
                <w:sz w:val="21"/>
                <w:szCs w:val="21"/>
                <w:lang w:val="en-US" w:eastAsia="zh-CN"/>
              </w:rPr>
              <w:t>4</w:t>
            </w:r>
            <w:r>
              <w:rPr>
                <w:rFonts w:hint="eastAsia"/>
                <w:color w:val="auto"/>
                <w:sz w:val="21"/>
                <w:szCs w:val="21"/>
                <w:lang w:eastAsia="zh-CN"/>
              </w:rPr>
              <w:t>）</w:t>
            </w:r>
            <w:r>
              <w:rPr>
                <w:rFonts w:hint="eastAsia" w:ascii="Arial" w:hAnsi="Arial" w:eastAsia="宋体" w:cs="宋体"/>
                <w:color w:val="auto"/>
                <w:kern w:val="2"/>
                <w:sz w:val="21"/>
                <w:szCs w:val="21"/>
                <w:lang w:val="en-US" w:eastAsia="zh-CN" w:bidi="ar-SA"/>
              </w:rPr>
              <w:t>不提供，不得分。</w:t>
            </w:r>
          </w:p>
        </w:tc>
        <w:tc>
          <w:tcPr>
            <w:tcW w:w="701" w:type="dxa"/>
            <w:vAlign w:val="center"/>
          </w:tcPr>
          <w:p w14:paraId="3D966D4F">
            <w:pPr>
              <w:pStyle w:val="11"/>
              <w:adjustRightInd w:val="0"/>
              <w:snapToGrid w:val="0"/>
              <w:spacing w:before="0" w:beforeAutospacing="0" w:after="0" w:afterAutospacing="0"/>
              <w:jc w:val="center"/>
              <w:rPr>
                <w:rFonts w:hint="default" w:ascii="Arial" w:hAnsi="Arial" w:eastAsia="宋体" w:cs="宋体"/>
                <w:kern w:val="2"/>
                <w:sz w:val="21"/>
                <w:szCs w:val="21"/>
                <w:lang w:val="en-US" w:eastAsia="zh-CN" w:bidi="ar-SA"/>
              </w:rPr>
            </w:pPr>
            <w:r>
              <w:rPr>
                <w:rFonts w:hint="eastAsia" w:ascii="Arial" w:hAnsi="Arial" w:cs="宋体"/>
                <w:kern w:val="2"/>
                <w:sz w:val="21"/>
                <w:szCs w:val="21"/>
                <w:lang w:val="en-US" w:eastAsia="zh-CN" w:bidi="ar-SA"/>
              </w:rPr>
              <w:t>10分</w:t>
            </w:r>
          </w:p>
        </w:tc>
      </w:tr>
      <w:tr w14:paraId="7959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1101" w:type="dxa"/>
            <w:vMerge w:val="restart"/>
            <w:vAlign w:val="center"/>
          </w:tcPr>
          <w:p w14:paraId="0AE19A21">
            <w:pPr>
              <w:pStyle w:val="11"/>
              <w:snapToGrid w:val="0"/>
              <w:jc w:val="center"/>
              <w:rPr>
                <w:rFonts w:ascii="仿宋" w:hAnsi="仿宋" w:eastAsia="仿宋" w:cs="仿宋"/>
                <w:color w:val="000000"/>
                <w:sz w:val="21"/>
                <w:szCs w:val="21"/>
              </w:rPr>
            </w:pPr>
            <w:r>
              <w:rPr>
                <w:rFonts w:hint="eastAsia" w:ascii="Arial" w:hAnsi="Arial" w:eastAsia="宋体" w:cs="宋体"/>
                <w:color w:val="auto"/>
                <w:kern w:val="2"/>
                <w:sz w:val="21"/>
                <w:szCs w:val="21"/>
                <w:lang w:val="en-US" w:eastAsia="zh-CN" w:bidi="ar-SA"/>
              </w:rPr>
              <w:t>商务部分（</w:t>
            </w:r>
            <w:r>
              <w:rPr>
                <w:rFonts w:hint="eastAsia" w:ascii="Arial" w:hAnsi="Arial" w:cs="宋体"/>
                <w:color w:val="auto"/>
                <w:kern w:val="2"/>
                <w:sz w:val="21"/>
                <w:szCs w:val="21"/>
                <w:lang w:val="en-US" w:eastAsia="zh-CN" w:bidi="ar-SA"/>
              </w:rPr>
              <w:t>2</w:t>
            </w:r>
            <w:r>
              <w:rPr>
                <w:rFonts w:hint="eastAsia" w:ascii="Arial" w:hAnsi="Arial" w:eastAsia="宋体" w:cs="宋体"/>
                <w:color w:val="auto"/>
                <w:kern w:val="2"/>
                <w:sz w:val="21"/>
                <w:szCs w:val="21"/>
                <w:lang w:val="en-US" w:eastAsia="zh-CN" w:bidi="ar-SA"/>
              </w:rPr>
              <w:t>0分</w:t>
            </w:r>
            <w:r>
              <w:rPr>
                <w:rFonts w:hint="eastAsia" w:ascii="仿宋" w:hAnsi="仿宋" w:eastAsia="仿宋" w:cs="仿宋"/>
                <w:color w:val="000000"/>
                <w:sz w:val="21"/>
                <w:szCs w:val="21"/>
              </w:rPr>
              <w:t>）</w:t>
            </w:r>
          </w:p>
        </w:tc>
        <w:tc>
          <w:tcPr>
            <w:tcW w:w="1275" w:type="dxa"/>
            <w:shd w:val="clear" w:color="auto" w:fill="auto"/>
            <w:vAlign w:val="center"/>
          </w:tcPr>
          <w:p w14:paraId="06874466">
            <w:pPr>
              <w:widowControl/>
              <w:adjustRightInd w:val="0"/>
              <w:jc w:val="left"/>
              <w:rPr>
                <w:rFonts w:hint="eastAsia"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类似项目业绩</w:t>
            </w:r>
          </w:p>
          <w:p w14:paraId="5D9BFC5C">
            <w:pPr>
              <w:widowControl/>
              <w:adjustRightInd w:val="0"/>
              <w:jc w:val="left"/>
              <w:rPr>
                <w:rFonts w:hint="eastAsia" w:ascii="Arial" w:hAnsi="Arial" w:eastAsia="宋体" w:cs="宋体"/>
                <w:color w:val="auto"/>
                <w:kern w:val="2"/>
                <w:sz w:val="21"/>
                <w:szCs w:val="21"/>
                <w:lang w:val="en-US" w:eastAsia="zh-CN" w:bidi="ar-SA"/>
              </w:rPr>
            </w:pPr>
          </w:p>
        </w:tc>
        <w:tc>
          <w:tcPr>
            <w:tcW w:w="6001" w:type="dxa"/>
            <w:shd w:val="clear" w:color="auto" w:fill="auto"/>
            <w:vAlign w:val="center"/>
          </w:tcPr>
          <w:p w14:paraId="706EF3F5">
            <w:pPr>
              <w:widowControl/>
              <w:adjustRightInd w:val="0"/>
              <w:jc w:val="left"/>
              <w:rPr>
                <w:rFonts w:hint="eastAsia"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投标人提供2023年6月1日至今类似项目业绩。要求时间以合同签订时间为准。业绩（销售或服务合同）中甲乙双方签章、合同签订时间、合同金额和项目名称必须清晰，否则不予承认。每提供一份有效业绩资料得3分，最多得12分。</w:t>
            </w:r>
          </w:p>
        </w:tc>
        <w:tc>
          <w:tcPr>
            <w:tcW w:w="701" w:type="dxa"/>
            <w:shd w:val="clear" w:color="auto" w:fill="auto"/>
            <w:vAlign w:val="center"/>
          </w:tcPr>
          <w:p w14:paraId="3200127E">
            <w:pPr>
              <w:widowControl/>
              <w:adjustRightInd w:val="0"/>
              <w:jc w:val="left"/>
              <w:rPr>
                <w:rFonts w:hint="default"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12分</w:t>
            </w:r>
          </w:p>
        </w:tc>
      </w:tr>
      <w:tr w14:paraId="658C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01" w:type="dxa"/>
            <w:vMerge w:val="continue"/>
            <w:vAlign w:val="center"/>
          </w:tcPr>
          <w:p w14:paraId="59A6743C">
            <w:pPr>
              <w:widowControl/>
              <w:adjustRightInd w:val="0"/>
              <w:jc w:val="left"/>
              <w:rPr>
                <w:rFonts w:hint="eastAsia" w:ascii="Arial" w:hAnsi="Arial" w:eastAsia="宋体" w:cs="宋体"/>
                <w:color w:val="auto"/>
                <w:kern w:val="2"/>
                <w:sz w:val="21"/>
                <w:szCs w:val="21"/>
                <w:lang w:val="en-US" w:eastAsia="zh-CN" w:bidi="ar-SA"/>
              </w:rPr>
            </w:pPr>
          </w:p>
        </w:tc>
        <w:tc>
          <w:tcPr>
            <w:tcW w:w="1275" w:type="dxa"/>
            <w:vAlign w:val="center"/>
          </w:tcPr>
          <w:p w14:paraId="62B705AC">
            <w:pPr>
              <w:widowControl/>
              <w:adjustRightInd w:val="0"/>
              <w:jc w:val="left"/>
              <w:rPr>
                <w:rFonts w:hint="eastAsia"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售后服务与运维保障体系</w:t>
            </w:r>
          </w:p>
        </w:tc>
        <w:tc>
          <w:tcPr>
            <w:tcW w:w="6001" w:type="dxa"/>
            <w:vAlign w:val="center"/>
          </w:tcPr>
          <w:p w14:paraId="781959D3">
            <w:pPr>
              <w:widowControl/>
              <w:adjustRightInd w:val="0"/>
              <w:jc w:val="left"/>
              <w:rPr>
                <w:rFonts w:hint="eastAsia"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1、原厂质保服务（4分）：针对心内科临床数据平台专属业务场景，提供3年及以上免费全功能原厂质保、免费故障修复、免费系统补丁更新、免费漏洞修复及终身免费技术咨询服务，承诺完整规范得4分；提供2年完整原厂免费质保得3分；仅提供1年原厂免费质保得1分；质保期不足1年、仅部分模块质保或非原厂质保不得分。</w:t>
            </w:r>
          </w:p>
          <w:p w14:paraId="13A16B03">
            <w:pPr>
              <w:widowControl/>
              <w:adjustRightInd w:val="0"/>
              <w:jc w:val="left"/>
              <w:rPr>
                <w:rFonts w:hint="eastAsia"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2、应急响应处置（2分）：具备完整的医疗临床信息系统专属应急处置预案，明确承诺工作日工作时段10分钟内响应、30分钟内远程排查处置、重大数据故障2小时内现场上门处置，非工作时段30分钟内响应对接，预案完整、时效清晰得2分；缺少响应时效、无现场处置承诺、预案不完善的不得分。</w:t>
            </w:r>
          </w:p>
          <w:p w14:paraId="23AF54CB">
            <w:pPr>
              <w:widowControl/>
              <w:adjustRightInd w:val="0"/>
              <w:jc w:val="left"/>
              <w:rPr>
                <w:rFonts w:hint="eastAsia"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3、专科免费升级（2分）：质保期内承诺免费适配国家及省市医疗数据标准更新、心内科专科诊疗规范迭代、医保政策调整、医院个性化临床业务优化及系统整体版本升级，覆盖全面、贴合专科需求得2分；仅提供基础系统升级，无专科业务、数据标准适配升级承诺的不得分。</w:t>
            </w:r>
          </w:p>
        </w:tc>
        <w:tc>
          <w:tcPr>
            <w:tcW w:w="701" w:type="dxa"/>
            <w:vAlign w:val="center"/>
          </w:tcPr>
          <w:p w14:paraId="45A1CC31">
            <w:pPr>
              <w:widowControl/>
              <w:adjustRightInd w:val="0"/>
              <w:jc w:val="left"/>
              <w:rPr>
                <w:rFonts w:hint="default"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8分</w:t>
            </w:r>
          </w:p>
        </w:tc>
      </w:tr>
      <w:tr w14:paraId="4D7B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377" w:type="dxa"/>
            <w:gridSpan w:val="3"/>
            <w:vAlign w:val="center"/>
          </w:tcPr>
          <w:p w14:paraId="613AB320">
            <w:pPr>
              <w:widowControl/>
              <w:adjustRightInd w:val="0"/>
              <w:jc w:val="left"/>
              <w:rPr>
                <w:rFonts w:hint="eastAsia"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合  计</w:t>
            </w:r>
          </w:p>
        </w:tc>
        <w:tc>
          <w:tcPr>
            <w:tcW w:w="701" w:type="dxa"/>
            <w:vAlign w:val="center"/>
          </w:tcPr>
          <w:p w14:paraId="23F6C8A4">
            <w:pPr>
              <w:widowControl/>
              <w:adjustRightInd w:val="0"/>
              <w:jc w:val="left"/>
              <w:rPr>
                <w:rFonts w:hint="default" w:ascii="Arial" w:hAnsi="Arial" w:eastAsia="宋体" w:cs="宋体"/>
                <w:color w:val="auto"/>
                <w:kern w:val="2"/>
                <w:sz w:val="21"/>
                <w:szCs w:val="21"/>
                <w:lang w:val="en-US" w:eastAsia="zh-CN" w:bidi="ar-SA"/>
              </w:rPr>
            </w:pPr>
            <w:r>
              <w:rPr>
                <w:rFonts w:hint="eastAsia" w:ascii="Arial" w:hAnsi="Arial" w:eastAsia="宋体" w:cs="宋体"/>
                <w:color w:val="auto"/>
                <w:kern w:val="2"/>
                <w:sz w:val="21"/>
                <w:szCs w:val="21"/>
                <w:lang w:val="en-US" w:eastAsia="zh-CN" w:bidi="ar-SA"/>
              </w:rPr>
              <w:t>100分</w:t>
            </w:r>
          </w:p>
        </w:tc>
      </w:tr>
    </w:tbl>
    <w:p w14:paraId="48F8FC9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6E02D4A">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4FE4D4E6">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27CBAF6A">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45C2A44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78AA2CB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5591D930">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2EE43DC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4FCD909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5336C47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262C8E5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73567E6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2D12C23C">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5011F01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7EB9F41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F856F8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C57DB1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DFBD89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3DDF78C">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F416C6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21A2633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34F4FA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2E7AC3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325BBC2">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D37ACD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2D13D3D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168FA0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7A059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75F271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3A9D44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A8FDF02">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34392C1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十五、综合评审各项要求</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十六、其它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426205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F6BB010">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2"/>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17F60C46">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综合评审各项要求</w:t>
      </w: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十六、其它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9D3B3E"/>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4FF24E14"/>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4">
    <w:name w:val="Default Paragraph Font"/>
    <w:autoRedefine/>
    <w:semiHidden/>
    <w:qFormat/>
    <w:uiPriority w:val="2"/>
  </w:style>
  <w:style w:type="table" w:default="1" w:styleId="12">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Date"/>
    <w:basedOn w:val="1"/>
    <w:next w:val="1"/>
    <w:qFormat/>
    <w:uiPriority w:val="0"/>
    <w:rPr>
      <w:rFonts w:ascii="宋体" w:hAnsi="Times New Roman"/>
      <w:kern w:val="0"/>
      <w:sz w:val="24"/>
      <w:szCs w:val="20"/>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3">
    <w:name w:val="Table Grid"/>
    <w:basedOn w:val="12"/>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26"/>
    <w:pPr>
      <w:ind w:firstLine="200"/>
    </w:pPr>
    <w:rPr>
      <w:rFonts w:ascii="Times New Roman" w:hAnsi="Times New Roman" w:eastAsia="宋体" w:cs="Times New Roman"/>
      <w:sz w:val="28"/>
      <w:szCs w:val="28"/>
    </w:rPr>
  </w:style>
  <w:style w:type="character" w:customStyle="1" w:styleId="16">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7">
    <w:name w:val="font11"/>
    <w:basedOn w:val="14"/>
    <w:autoRedefine/>
    <w:qFormat/>
    <w:uiPriority w:val="0"/>
    <w:rPr>
      <w:rFonts w:hint="eastAsia" w:ascii="宋体" w:hAnsi="宋体" w:eastAsia="宋体" w:cs="宋体"/>
      <w:color w:val="000000"/>
      <w:sz w:val="24"/>
      <w:szCs w:val="24"/>
      <w:u w:val="none"/>
    </w:rPr>
  </w:style>
  <w:style w:type="character" w:customStyle="1" w:styleId="18">
    <w:name w:val="font31"/>
    <w:basedOn w:val="14"/>
    <w:autoRedefine/>
    <w:qFormat/>
    <w:uiPriority w:val="0"/>
    <w:rPr>
      <w:rFonts w:hint="eastAsia" w:ascii="宋体" w:hAnsi="宋体" w:eastAsia="宋体" w:cs="宋体"/>
      <w:color w:val="000000"/>
      <w:sz w:val="21"/>
      <w:szCs w:val="21"/>
      <w:u w:val="none"/>
    </w:rPr>
  </w:style>
  <w:style w:type="paragraph" w:customStyle="1" w:styleId="19">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0">
    <w:name w:val="font41"/>
    <w:basedOn w:val="14"/>
    <w:autoRedefine/>
    <w:qFormat/>
    <w:uiPriority w:val="0"/>
    <w:rPr>
      <w:rFonts w:ascii="Calibri" w:hAnsi="Calibri" w:cs="Calibri"/>
      <w:color w:val="000000"/>
      <w:sz w:val="28"/>
      <w:szCs w:val="28"/>
      <w:u w:val="none"/>
    </w:rPr>
  </w:style>
  <w:style w:type="character" w:customStyle="1" w:styleId="21">
    <w:name w:val="font21"/>
    <w:basedOn w:val="14"/>
    <w:autoRedefine/>
    <w:qFormat/>
    <w:uiPriority w:val="0"/>
    <w:rPr>
      <w:rFonts w:hint="eastAsia" w:ascii="宋体" w:hAnsi="宋体" w:eastAsia="宋体" w:cs="宋体"/>
      <w:color w:val="000000"/>
      <w:sz w:val="21"/>
      <w:szCs w:val="21"/>
      <w:u w:val="none"/>
    </w:rPr>
  </w:style>
  <w:style w:type="table" w:customStyle="1" w:styleId="22">
    <w:name w:val="网格型1"/>
    <w:basedOn w:val="23"/>
    <w:qFormat/>
    <w:uiPriority w:val="0"/>
    <w:pPr>
      <w:widowControl w:val="0"/>
      <w:jc w:val="both"/>
    </w:pPr>
  </w:style>
  <w:style w:type="table" w:customStyle="1" w:styleId="23">
    <w:name w:val="普通表格1"/>
    <w:semiHidden/>
    <w:qFormat/>
    <w:uiPriority w:val="0"/>
  </w:style>
  <w:style w:type="paragraph" w:customStyle="1" w:styleId="24">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5">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6">
    <w:name w:val="列出段落1"/>
    <w:basedOn w:val="1"/>
    <w:qFormat/>
    <w:uiPriority w:val="34"/>
    <w:pPr>
      <w:ind w:firstLine="420" w:firstLineChars="200"/>
    </w:pPr>
    <w:rPr>
      <w:rFonts w:ascii="Times New Roman" w:hAnsi="Times New Roman" w:eastAsia="宋体" w:cs="Times New Roman"/>
      <w:sz w:val="28"/>
      <w:szCs w:val="21"/>
    </w:rPr>
  </w:style>
  <w:style w:type="paragraph" w:customStyle="1" w:styleId="27">
    <w:name w:val="四级标题"/>
    <w:basedOn w:val="8"/>
    <w:qFormat/>
    <w:uiPriority w:val="0"/>
    <w:pPr>
      <w:spacing w:line="360" w:lineRule="auto"/>
    </w:pPr>
    <w:rPr>
      <w:rFonts w:ascii="Times New Roman" w:hAnsi="Times New Roman" w:eastAsia="黑体"/>
      <w:kern w:val="2"/>
      <w:lang w:val="en-US" w:eastAsia="zh-CN"/>
    </w:rPr>
  </w:style>
  <w:style w:type="paragraph" w:customStyle="1" w:styleId="28">
    <w:name w:val="表格文字"/>
    <w:basedOn w:val="29"/>
    <w:qFormat/>
    <w:uiPriority w:val="0"/>
    <w:pPr>
      <w:widowControl w:val="0"/>
      <w:spacing w:before="50" w:beforeLines="50" w:after="50" w:afterLines="50" w:line="580" w:lineRule="exact"/>
      <w:ind w:firstLine="200" w:firstLineChars="200"/>
      <w:jc w:val="center"/>
    </w:pPr>
    <w:rPr>
      <w:rFonts w:ascii="Arial" w:hAnsi="Arial" w:eastAsia="宋体" w:cs="宋体"/>
      <w:kern w:val="2"/>
      <w:sz w:val="28"/>
      <w:szCs w:val="21"/>
      <w:lang w:val="en-US" w:eastAsia="zh-CN" w:bidi="ar-SA"/>
    </w:rPr>
  </w:style>
  <w:style w:type="paragraph" w:customStyle="1" w:styleId="29">
    <w:name w:val="方案正文"/>
    <w:qFormat/>
    <w:uiPriority w:val="0"/>
    <w:pPr>
      <w:widowControl w:val="0"/>
      <w:spacing w:before="50" w:beforeLines="50" w:after="50" w:afterLines="50" w:line="580" w:lineRule="exact"/>
      <w:ind w:firstLine="200" w:firstLineChars="200"/>
      <w:jc w:val="both"/>
    </w:pPr>
    <w:rPr>
      <w:rFonts w:eastAsia="仿宋" w:cs="宋体" w:asciiTheme="minorHAnsi" w:hAnsiTheme="minorHAns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7353</Words>
  <Characters>8328</Characters>
  <Lines>0</Lines>
  <Paragraphs>0</Paragraphs>
  <TotalTime>2</TotalTime>
  <ScaleCrop>false</ScaleCrop>
  <LinksUpToDate>false</LinksUpToDate>
  <CharactersWithSpaces>8874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2026-06-04T08:30:47Z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3D0AA989C9324F68A2302A0F482936E6_13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