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b/>
          <w:bCs/>
          <w:sz w:val="44"/>
          <w:szCs w:val="44"/>
          <w:lang w:val="en-US" w:eastAsia="zh-CN"/>
        </w:rPr>
      </w:pPr>
      <w:r>
        <w:rPr>
          <w:rFonts w:hint="eastAsia"/>
          <w:b/>
          <w:bCs/>
          <w:sz w:val="44"/>
          <w:szCs w:val="44"/>
          <w:lang w:val="en-US" w:eastAsia="zh-CN"/>
        </w:rPr>
        <w:t>鄂尔多斯市中心医院</w:t>
      </w:r>
    </w:p>
    <w:p w14:paraId="4460EAC3">
      <w:pPr>
        <w:numPr>
          <w:ilvl w:val="0"/>
          <w:numId w:val="0"/>
        </w:numPr>
        <w:jc w:val="center"/>
        <w:rPr>
          <w:rFonts w:hint="eastAsia"/>
          <w:b/>
          <w:bCs/>
          <w:sz w:val="44"/>
          <w:szCs w:val="44"/>
          <w:lang w:val="en-US" w:eastAsia="zh-CN"/>
        </w:rPr>
      </w:pPr>
    </w:p>
    <w:p w14:paraId="7855E913">
      <w:pPr>
        <w:numPr>
          <w:ilvl w:val="0"/>
          <w:numId w:val="0"/>
        </w:numPr>
        <w:jc w:val="center"/>
        <w:rPr>
          <w:rFonts w:hint="eastAsia"/>
          <w:b/>
          <w:bCs/>
          <w:sz w:val="44"/>
          <w:szCs w:val="44"/>
          <w:lang w:val="en-US" w:eastAsia="zh-CN"/>
        </w:rPr>
      </w:pPr>
    </w:p>
    <w:p w14:paraId="24BCF1D6">
      <w:pPr>
        <w:numPr>
          <w:ilvl w:val="0"/>
          <w:numId w:val="0"/>
        </w:numPr>
        <w:ind w:firstLine="2641" w:firstLineChars="600"/>
        <w:jc w:val="both"/>
        <w:rPr>
          <w:rFonts w:hint="default"/>
          <w:b/>
          <w:bCs/>
          <w:sz w:val="44"/>
          <w:szCs w:val="44"/>
          <w:lang w:val="en-US" w:eastAsia="zh-CN"/>
        </w:rPr>
      </w:pPr>
      <w:r>
        <w:rPr>
          <w:rFonts w:hint="eastAsia"/>
          <w:b/>
          <w:bCs/>
          <w:sz w:val="44"/>
          <w:szCs w:val="44"/>
          <w:lang w:val="en-US" w:eastAsia="zh-CN"/>
        </w:rPr>
        <w:t>院内招采文件</w:t>
      </w:r>
    </w:p>
    <w:p w14:paraId="1A2146B2">
      <w:pPr>
        <w:numPr>
          <w:ilvl w:val="0"/>
          <w:numId w:val="0"/>
        </w:numPr>
        <w:jc w:val="center"/>
        <w:rPr>
          <w:rFonts w:hint="eastAsia"/>
          <w:b/>
          <w:bCs/>
          <w:sz w:val="28"/>
          <w:szCs w:val="28"/>
          <w:lang w:val="en-US" w:eastAsia="zh-CN"/>
        </w:rPr>
      </w:pPr>
      <w:r>
        <w:rPr>
          <w:rFonts w:hint="eastAsia"/>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lang w:val="en-US" w:eastAsia="zh-CN"/>
        </w:rPr>
      </w:pPr>
      <w:r>
        <w:rPr>
          <w:rFonts w:hint="eastAsia"/>
          <w:lang w:val="en-US" w:eastAsia="zh-CN"/>
        </w:rPr>
        <w:t xml:space="preserve">                          </w:t>
      </w:r>
    </w:p>
    <w:p w14:paraId="4765CAF4">
      <w:pPr>
        <w:numPr>
          <w:ilvl w:val="0"/>
          <w:numId w:val="0"/>
        </w:numPr>
        <w:rPr>
          <w:rFonts w:hint="eastAsia"/>
          <w:lang w:val="en-US" w:eastAsia="zh-CN"/>
        </w:rPr>
      </w:pPr>
    </w:p>
    <w:p w14:paraId="1EA16BF7">
      <w:pPr>
        <w:numPr>
          <w:ilvl w:val="0"/>
          <w:numId w:val="0"/>
        </w:numPr>
        <w:rPr>
          <w:rFonts w:hint="eastAsia"/>
          <w:lang w:val="en-US" w:eastAsia="zh-CN"/>
        </w:rPr>
      </w:pPr>
    </w:p>
    <w:p w14:paraId="594118B3">
      <w:pPr>
        <w:numPr>
          <w:ilvl w:val="0"/>
          <w:numId w:val="0"/>
        </w:numPr>
        <w:rPr>
          <w:rFonts w:hint="eastAsia"/>
          <w:lang w:val="en-US" w:eastAsia="zh-CN"/>
        </w:rPr>
      </w:pPr>
    </w:p>
    <w:p w14:paraId="15ACEF2E">
      <w:pPr>
        <w:numPr>
          <w:ilvl w:val="0"/>
          <w:numId w:val="0"/>
        </w:numPr>
        <w:rPr>
          <w:rFonts w:hint="eastAsia"/>
          <w:lang w:val="en-US" w:eastAsia="zh-CN"/>
        </w:rPr>
      </w:pPr>
    </w:p>
    <w:p w14:paraId="3A088841">
      <w:pPr>
        <w:numPr>
          <w:ilvl w:val="0"/>
          <w:numId w:val="0"/>
        </w:numPr>
        <w:rPr>
          <w:rFonts w:hint="eastAsia"/>
          <w:lang w:val="en-US" w:eastAsia="zh-CN"/>
        </w:rPr>
      </w:pPr>
    </w:p>
    <w:p w14:paraId="7725592C">
      <w:pPr>
        <w:numPr>
          <w:ilvl w:val="0"/>
          <w:numId w:val="0"/>
        </w:numPr>
        <w:rPr>
          <w:rFonts w:hint="eastAsia"/>
          <w:lang w:val="en-US" w:eastAsia="zh-CN"/>
        </w:rPr>
      </w:pPr>
    </w:p>
    <w:p w14:paraId="2CA2E641">
      <w:pPr>
        <w:pStyle w:val="8"/>
        <w:rPr>
          <w:rFonts w:hint="eastAsia"/>
          <w:lang w:val="en-US" w:eastAsia="zh-CN"/>
        </w:rPr>
      </w:pPr>
    </w:p>
    <w:p w14:paraId="573D04A4">
      <w:pPr>
        <w:rPr>
          <w:rFonts w:hint="eastAsia"/>
          <w:lang w:val="en-US" w:eastAsia="zh-CN"/>
        </w:rPr>
      </w:pPr>
    </w:p>
    <w:p w14:paraId="40D4F4C5">
      <w:pPr>
        <w:numPr>
          <w:ilvl w:val="0"/>
          <w:numId w:val="0"/>
        </w:numPr>
        <w:rPr>
          <w:rFonts w:hint="eastAsia"/>
          <w:lang w:val="en-US" w:eastAsia="zh-CN"/>
        </w:rPr>
      </w:pPr>
    </w:p>
    <w:p w14:paraId="3753AF03">
      <w:pPr>
        <w:numPr>
          <w:ilvl w:val="0"/>
          <w:numId w:val="0"/>
        </w:num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东胜部院区楼顶大字更换项目</w:t>
      </w:r>
    </w:p>
    <w:p w14:paraId="13F46CBC">
      <w:pPr>
        <w:numPr>
          <w:ilvl w:val="0"/>
          <w:numId w:val="0"/>
        </w:numPr>
        <w:jc w:val="center"/>
        <w:rPr>
          <w:rFonts w:hint="default"/>
          <w:b/>
          <w:bCs/>
          <w:sz w:val="36"/>
          <w:szCs w:val="36"/>
          <w:lang w:val="en-US" w:eastAsia="zh-CN"/>
        </w:rPr>
      </w:pPr>
      <w:r>
        <w:rPr>
          <w:rFonts w:hint="eastAsia"/>
          <w:b/>
          <w:bCs/>
          <w:sz w:val="36"/>
          <w:szCs w:val="36"/>
          <w:lang w:val="en-US" w:eastAsia="zh-CN"/>
        </w:rPr>
        <w:t>2026年6月5日</w:t>
      </w:r>
    </w:p>
    <w:p w14:paraId="3DED3793">
      <w:pPr>
        <w:numPr>
          <w:ilvl w:val="0"/>
          <w:numId w:val="0"/>
        </w:numPr>
        <w:rPr>
          <w:rFonts w:hint="default"/>
          <w:b/>
          <w:bCs/>
          <w:sz w:val="28"/>
          <w:szCs w:val="28"/>
          <w:lang w:val="en-US" w:eastAsia="zh-CN"/>
        </w:rPr>
      </w:pPr>
      <w:r>
        <w:rPr>
          <w:rFonts w:hint="eastAsia"/>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bookmarkStart w:id="1" w:name="_GoBack"/>
      <w:bookmarkEnd w:id="1"/>
    </w:p>
    <w:p w14:paraId="1680CABB">
      <w:pPr>
        <w:numPr>
          <w:ilvl w:val="0"/>
          <w:numId w:val="0"/>
        </w:numPr>
        <w:spacing w:line="360" w:lineRule="auto"/>
        <w:jc w:val="left"/>
        <w:rPr>
          <w:rFonts w:hint="eastAsia" w:hAnsi="宋体"/>
          <w:sz w:val="24"/>
          <w:szCs w:val="24"/>
          <w:lang w:val="en-US" w:eastAsia="zh-CN"/>
        </w:rPr>
      </w:pPr>
    </w:p>
    <w:p w14:paraId="2A493FE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45BBB4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                                       货币单位：元</w:t>
      </w:r>
    </w:p>
    <w:tbl>
      <w:tblPr>
        <w:tblStyle w:val="16"/>
        <w:tblW w:w="87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
        <w:gridCol w:w="2865"/>
        <w:gridCol w:w="903"/>
        <w:gridCol w:w="826"/>
        <w:gridCol w:w="1338"/>
        <w:gridCol w:w="1841"/>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939" w:type="dxa"/>
            <w:vAlign w:val="center"/>
          </w:tcPr>
          <w:p w14:paraId="5A0A37CE">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序号</w:t>
            </w:r>
          </w:p>
        </w:tc>
        <w:tc>
          <w:tcPr>
            <w:tcW w:w="2865" w:type="dxa"/>
            <w:vAlign w:val="center"/>
          </w:tcPr>
          <w:p w14:paraId="3E37CC33">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名称</w:t>
            </w:r>
          </w:p>
        </w:tc>
        <w:tc>
          <w:tcPr>
            <w:tcW w:w="903" w:type="dxa"/>
            <w:vAlign w:val="center"/>
          </w:tcPr>
          <w:p w14:paraId="07310B12">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单位</w:t>
            </w:r>
          </w:p>
        </w:tc>
        <w:tc>
          <w:tcPr>
            <w:tcW w:w="826" w:type="dxa"/>
            <w:vAlign w:val="center"/>
          </w:tcPr>
          <w:p w14:paraId="20208E75">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数量</w:t>
            </w:r>
          </w:p>
        </w:tc>
        <w:tc>
          <w:tcPr>
            <w:tcW w:w="1338" w:type="dxa"/>
            <w:vAlign w:val="center"/>
          </w:tcPr>
          <w:p w14:paraId="4C60CD53">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预算单价</w:t>
            </w:r>
          </w:p>
        </w:tc>
        <w:tc>
          <w:tcPr>
            <w:tcW w:w="1841" w:type="dxa"/>
            <w:vAlign w:val="center"/>
          </w:tcPr>
          <w:p w14:paraId="14356791">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939" w:type="dxa"/>
            <w:vAlign w:val="center"/>
          </w:tcPr>
          <w:p w14:paraId="6CB33721">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w:t>
            </w:r>
          </w:p>
        </w:tc>
        <w:tc>
          <w:tcPr>
            <w:tcW w:w="2865" w:type="dxa"/>
            <w:vAlign w:val="center"/>
          </w:tcPr>
          <w:p w14:paraId="76F16622">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东胜部院区楼顶大字更换项目</w:t>
            </w:r>
          </w:p>
        </w:tc>
        <w:tc>
          <w:tcPr>
            <w:tcW w:w="903" w:type="dxa"/>
            <w:vAlign w:val="center"/>
          </w:tcPr>
          <w:p w14:paraId="569A970B">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项</w:t>
            </w:r>
          </w:p>
        </w:tc>
        <w:tc>
          <w:tcPr>
            <w:tcW w:w="826" w:type="dxa"/>
            <w:vAlign w:val="center"/>
          </w:tcPr>
          <w:p w14:paraId="535899AF">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w:t>
            </w:r>
          </w:p>
        </w:tc>
        <w:tc>
          <w:tcPr>
            <w:tcW w:w="1338" w:type="dxa"/>
            <w:vAlign w:val="center"/>
          </w:tcPr>
          <w:p w14:paraId="70A9229F">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409709</w:t>
            </w:r>
          </w:p>
        </w:tc>
        <w:tc>
          <w:tcPr>
            <w:tcW w:w="1841" w:type="dxa"/>
            <w:vAlign w:val="center"/>
          </w:tcPr>
          <w:p w14:paraId="1D45D755">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409709</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939" w:type="dxa"/>
            <w:vAlign w:val="center"/>
          </w:tcPr>
          <w:p w14:paraId="72D96DA2">
            <w:pPr>
              <w:rPr>
                <w:rFonts w:hint="eastAsia" w:ascii="宋体" w:hAnsi="宋体" w:eastAsia="宋体" w:cs="宋体"/>
                <w:color w:val="auto"/>
                <w:kern w:val="0"/>
                <w:sz w:val="24"/>
                <w:szCs w:val="24"/>
                <w:lang w:val="en-US" w:eastAsia="zh-CN"/>
              </w:rPr>
            </w:pPr>
          </w:p>
        </w:tc>
        <w:tc>
          <w:tcPr>
            <w:tcW w:w="5932" w:type="dxa"/>
            <w:gridSpan w:val="4"/>
            <w:vAlign w:val="center"/>
          </w:tcPr>
          <w:p w14:paraId="1341120E">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总价合计</w:t>
            </w:r>
          </w:p>
        </w:tc>
        <w:tc>
          <w:tcPr>
            <w:tcW w:w="1841" w:type="dxa"/>
            <w:vAlign w:val="center"/>
          </w:tcPr>
          <w:p w14:paraId="1CE8AE64">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409709</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1" w:hRule="atLeast"/>
          <w:jc w:val="center"/>
        </w:trPr>
        <w:tc>
          <w:tcPr>
            <w:tcW w:w="939" w:type="dxa"/>
            <w:vAlign w:val="center"/>
          </w:tcPr>
          <w:p w14:paraId="6A9593E4">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w:t>
            </w:r>
          </w:p>
        </w:tc>
        <w:tc>
          <w:tcPr>
            <w:tcW w:w="2865" w:type="dxa"/>
            <w:vAlign w:val="center"/>
          </w:tcPr>
          <w:p w14:paraId="57359E43">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工期</w:t>
            </w:r>
          </w:p>
        </w:tc>
        <w:tc>
          <w:tcPr>
            <w:tcW w:w="4908" w:type="dxa"/>
            <w:gridSpan w:val="4"/>
            <w:vAlign w:val="center"/>
          </w:tcPr>
          <w:p w14:paraId="4D32C55C">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50个日历日</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939" w:type="dxa"/>
            <w:vAlign w:val="center"/>
          </w:tcPr>
          <w:p w14:paraId="4F6EE918">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w:t>
            </w:r>
          </w:p>
        </w:tc>
        <w:tc>
          <w:tcPr>
            <w:tcW w:w="2865" w:type="dxa"/>
            <w:vAlign w:val="center"/>
          </w:tcPr>
          <w:p w14:paraId="01AB15DF">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付款方式</w:t>
            </w:r>
          </w:p>
        </w:tc>
        <w:tc>
          <w:tcPr>
            <w:tcW w:w="4908" w:type="dxa"/>
            <w:gridSpan w:val="4"/>
            <w:vAlign w:val="center"/>
          </w:tcPr>
          <w:p w14:paraId="06580548">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施工完成验收合格后付款95%，剩余5%质保金一年质保期满无质量问题付清。</w:t>
            </w:r>
          </w:p>
        </w:tc>
      </w:tr>
      <w:tr w14:paraId="1ACAA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939" w:type="dxa"/>
            <w:vAlign w:val="center"/>
          </w:tcPr>
          <w:p w14:paraId="0D279945">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w:t>
            </w:r>
          </w:p>
        </w:tc>
        <w:tc>
          <w:tcPr>
            <w:tcW w:w="2865" w:type="dxa"/>
            <w:vAlign w:val="center"/>
          </w:tcPr>
          <w:p w14:paraId="4D36D1AB">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质保期</w:t>
            </w:r>
          </w:p>
        </w:tc>
        <w:tc>
          <w:tcPr>
            <w:tcW w:w="4908" w:type="dxa"/>
            <w:gridSpan w:val="4"/>
            <w:vAlign w:val="center"/>
          </w:tcPr>
          <w:p w14:paraId="53BBDC35">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1年</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939" w:type="dxa"/>
            <w:vAlign w:val="center"/>
          </w:tcPr>
          <w:p w14:paraId="4C4A9400">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w:t>
            </w:r>
          </w:p>
        </w:tc>
        <w:tc>
          <w:tcPr>
            <w:tcW w:w="2865" w:type="dxa"/>
            <w:vAlign w:val="center"/>
          </w:tcPr>
          <w:p w14:paraId="2FD57B8A">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交付地点</w:t>
            </w:r>
          </w:p>
        </w:tc>
        <w:tc>
          <w:tcPr>
            <w:tcW w:w="4908" w:type="dxa"/>
            <w:gridSpan w:val="4"/>
            <w:vAlign w:val="center"/>
          </w:tcPr>
          <w:p w14:paraId="4B29C0FC">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鄂尔多斯市中心医院东胜部</w:t>
            </w:r>
          </w:p>
        </w:tc>
      </w:tr>
      <w:tr w14:paraId="425AC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939" w:type="dxa"/>
            <w:vAlign w:val="center"/>
          </w:tcPr>
          <w:p w14:paraId="6C49B35E">
            <w:pPr>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6</w:t>
            </w:r>
          </w:p>
        </w:tc>
        <w:tc>
          <w:tcPr>
            <w:tcW w:w="2865" w:type="dxa"/>
            <w:vAlign w:val="center"/>
          </w:tcPr>
          <w:p w14:paraId="608CA05E">
            <w:pPr>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进场时间</w:t>
            </w:r>
          </w:p>
        </w:tc>
        <w:tc>
          <w:tcPr>
            <w:tcW w:w="4908" w:type="dxa"/>
            <w:gridSpan w:val="4"/>
            <w:vAlign w:val="center"/>
          </w:tcPr>
          <w:p w14:paraId="3017A6E7">
            <w:pPr>
              <w:jc w:val="both"/>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签订合同后一周内</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687F0533">
      <w:pPr>
        <w:rPr>
          <w:rFonts w:hint="eastAsia" w:ascii="仿宋" w:hAnsi="仿宋" w:eastAsia="仿宋" w:cs="仿宋"/>
          <w:sz w:val="32"/>
          <w:szCs w:val="32"/>
        </w:rPr>
      </w:pPr>
      <w:r>
        <w:rPr>
          <w:rFonts w:hint="eastAsia" w:hAnsi="宋体"/>
          <w:sz w:val="28"/>
          <w:szCs w:val="28"/>
          <w:lang w:val="en-US" w:eastAsia="zh-CN"/>
        </w:rPr>
        <w:t>二、项目要求</w:t>
      </w:r>
    </w:p>
    <w:p w14:paraId="2E248110">
      <w:pPr>
        <w:pStyle w:val="8"/>
        <w:rPr>
          <w:rFonts w:hint="eastAsia"/>
        </w:rPr>
      </w:pPr>
    </w:p>
    <w:p w14:paraId="0B7F6509">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（一）项目基本情况介绍：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拆除东胜部住院25层住院楼顶原有红十字标志及“市中心医院”蒙汉文三套楼顶大字、拆除已腐蚀氧化的钢结构。重新焊接加固钢结构、重新制作安装“鄂尔多斯市中心医院”三套楼顶发光大字及红十字医院标志。新制作安装门诊楼“健康医学中心”冲孔发光字。</w:t>
      </w:r>
      <w:r>
        <w:rPr>
          <w:rFonts w:hint="eastAsia" w:ascii="宋体" w:hAnsi="宋体" w:eastAsia="宋体" w:cs="宋体"/>
          <w:color w:val="auto"/>
          <w:sz w:val="24"/>
          <w:szCs w:val="24"/>
          <w:u w:val="single"/>
        </w:rPr>
        <w:t xml:space="preserve"> </w:t>
      </w:r>
    </w:p>
    <w:p w14:paraId="19F28E77">
      <w:pPr>
        <w:spacing w:line="360" w:lineRule="auto"/>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（二）技术参数和要求（功能和质量）</w:t>
      </w:r>
    </w:p>
    <w:tbl>
      <w:tblPr>
        <w:tblStyle w:val="15"/>
        <w:tblW w:w="9358" w:type="dxa"/>
        <w:jc w:val="center"/>
        <w:tblLayout w:type="fixed"/>
        <w:tblCellMar>
          <w:top w:w="0" w:type="dxa"/>
          <w:left w:w="108" w:type="dxa"/>
          <w:bottom w:w="0" w:type="dxa"/>
          <w:right w:w="108" w:type="dxa"/>
        </w:tblCellMar>
      </w:tblPr>
      <w:tblGrid>
        <w:gridCol w:w="1459"/>
        <w:gridCol w:w="1073"/>
        <w:gridCol w:w="6826"/>
      </w:tblGrid>
      <w:tr w14:paraId="53379888">
        <w:tblPrEx>
          <w:tblCellMar>
            <w:top w:w="0" w:type="dxa"/>
            <w:left w:w="108" w:type="dxa"/>
            <w:bottom w:w="0" w:type="dxa"/>
            <w:right w:w="108" w:type="dxa"/>
          </w:tblCellMar>
        </w:tblPrEx>
        <w:trPr>
          <w:trHeight w:val="487"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23A627DC">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参数性质</w:t>
            </w:r>
          </w:p>
        </w:tc>
        <w:tc>
          <w:tcPr>
            <w:tcW w:w="1073" w:type="dxa"/>
            <w:tcBorders>
              <w:top w:val="single" w:color="auto" w:sz="4" w:space="0"/>
              <w:left w:val="nil"/>
              <w:bottom w:val="single" w:color="auto" w:sz="4" w:space="0"/>
              <w:right w:val="single" w:color="auto" w:sz="4" w:space="0"/>
            </w:tcBorders>
            <w:vAlign w:val="center"/>
          </w:tcPr>
          <w:p w14:paraId="44565D03">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编号</w:t>
            </w:r>
          </w:p>
        </w:tc>
        <w:tc>
          <w:tcPr>
            <w:tcW w:w="6826" w:type="dxa"/>
            <w:tcBorders>
              <w:top w:val="single" w:color="auto" w:sz="4" w:space="0"/>
              <w:left w:val="nil"/>
              <w:bottom w:val="single" w:color="auto" w:sz="4" w:space="0"/>
              <w:right w:val="single" w:color="auto" w:sz="4" w:space="0"/>
            </w:tcBorders>
            <w:vAlign w:val="center"/>
          </w:tcPr>
          <w:p w14:paraId="24829465">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技术参数和要求</w:t>
            </w:r>
          </w:p>
        </w:tc>
      </w:tr>
      <w:tr w14:paraId="1790692A">
        <w:tblPrEx>
          <w:tblCellMar>
            <w:top w:w="0" w:type="dxa"/>
            <w:left w:w="108" w:type="dxa"/>
            <w:bottom w:w="0" w:type="dxa"/>
            <w:right w:w="108" w:type="dxa"/>
          </w:tblCellMar>
        </w:tblPrEx>
        <w:trPr>
          <w:trHeight w:val="323"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32DEC358">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073" w:type="dxa"/>
            <w:tcBorders>
              <w:top w:val="single" w:color="auto" w:sz="4" w:space="0"/>
              <w:left w:val="nil"/>
              <w:bottom w:val="single" w:color="auto" w:sz="4" w:space="0"/>
              <w:right w:val="single" w:color="auto" w:sz="4" w:space="0"/>
            </w:tcBorders>
            <w:vAlign w:val="center"/>
          </w:tcPr>
          <w:p w14:paraId="4F7F6708">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6826" w:type="dxa"/>
            <w:tcBorders>
              <w:top w:val="single" w:color="auto" w:sz="4" w:space="0"/>
              <w:left w:val="nil"/>
              <w:bottom w:val="single" w:color="auto" w:sz="4" w:space="0"/>
              <w:right w:val="single" w:color="auto" w:sz="4" w:space="0"/>
            </w:tcBorders>
            <w:vAlign w:val="center"/>
          </w:tcPr>
          <w:p w14:paraId="35768752">
            <w:pPr>
              <w:widowControl/>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1.5mm厚度镀锌板烤漆</w:t>
            </w:r>
          </w:p>
        </w:tc>
      </w:tr>
      <w:tr w14:paraId="2878B34E">
        <w:tblPrEx>
          <w:tblCellMar>
            <w:top w:w="0" w:type="dxa"/>
            <w:left w:w="108" w:type="dxa"/>
            <w:bottom w:w="0" w:type="dxa"/>
            <w:right w:w="108" w:type="dxa"/>
          </w:tblCellMar>
        </w:tblPrEx>
        <w:trPr>
          <w:trHeight w:val="773"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1EC4F27B">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073" w:type="dxa"/>
            <w:tcBorders>
              <w:top w:val="single" w:color="auto" w:sz="4" w:space="0"/>
              <w:left w:val="nil"/>
              <w:bottom w:val="single" w:color="auto" w:sz="4" w:space="0"/>
              <w:right w:val="single" w:color="auto" w:sz="4" w:space="0"/>
            </w:tcBorders>
            <w:vAlign w:val="center"/>
          </w:tcPr>
          <w:p w14:paraId="7BBDA1DE">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6826" w:type="dxa"/>
            <w:tcBorders>
              <w:top w:val="single" w:color="auto" w:sz="4" w:space="0"/>
              <w:left w:val="nil"/>
              <w:bottom w:val="single" w:color="auto" w:sz="4" w:space="0"/>
              <w:right w:val="single" w:color="auto" w:sz="4" w:space="0"/>
            </w:tcBorders>
            <w:vAlign w:val="center"/>
          </w:tcPr>
          <w:p w14:paraId="6E8D04BD">
            <w:pPr>
              <w:widowControl/>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2cm蓝景LED灯、使用防水电源</w:t>
            </w:r>
          </w:p>
        </w:tc>
      </w:tr>
      <w:tr w14:paraId="35027F10">
        <w:tblPrEx>
          <w:tblCellMar>
            <w:top w:w="0" w:type="dxa"/>
            <w:left w:w="108" w:type="dxa"/>
            <w:bottom w:w="0" w:type="dxa"/>
            <w:right w:w="108" w:type="dxa"/>
          </w:tblCellMar>
        </w:tblPrEx>
        <w:trPr>
          <w:trHeight w:val="773"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4D470F63">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1073" w:type="dxa"/>
            <w:tcBorders>
              <w:top w:val="single" w:color="auto" w:sz="4" w:space="0"/>
              <w:left w:val="nil"/>
              <w:bottom w:val="single" w:color="auto" w:sz="4" w:space="0"/>
              <w:right w:val="single" w:color="auto" w:sz="4" w:space="0"/>
            </w:tcBorders>
            <w:vAlign w:val="center"/>
          </w:tcPr>
          <w:p w14:paraId="621B29EA">
            <w:pPr>
              <w:widowControl/>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6826" w:type="dxa"/>
            <w:tcBorders>
              <w:top w:val="single" w:color="auto" w:sz="4" w:space="0"/>
              <w:left w:val="nil"/>
              <w:bottom w:val="single" w:color="auto" w:sz="4" w:space="0"/>
              <w:right w:val="single" w:color="auto" w:sz="4" w:space="0"/>
            </w:tcBorders>
            <w:vAlign w:val="center"/>
          </w:tcPr>
          <w:p w14:paraId="783BF830">
            <w:pPr>
              <w:widowControl/>
              <w:tabs>
                <w:tab w:val="left" w:pos="1513"/>
              </w:tabs>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角钢/镀锌管等钢结构材料要求：壁厚2.0mm</w:t>
            </w:r>
          </w:p>
        </w:tc>
      </w:tr>
      <w:tr w14:paraId="43A80B57">
        <w:tblPrEx>
          <w:tblCellMar>
            <w:top w:w="0" w:type="dxa"/>
            <w:left w:w="108" w:type="dxa"/>
            <w:bottom w:w="0" w:type="dxa"/>
            <w:right w:w="108" w:type="dxa"/>
          </w:tblCellMar>
        </w:tblPrEx>
        <w:trPr>
          <w:trHeight w:val="773"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11486349">
            <w:pPr>
              <w:widowControl/>
              <w:jc w:val="center"/>
              <w:rPr>
                <w:rFonts w:hint="eastAsia" w:ascii="宋体" w:hAnsi="宋体" w:eastAsia="宋体" w:cs="宋体"/>
                <w:color w:val="auto"/>
                <w:sz w:val="24"/>
                <w:szCs w:val="24"/>
                <w:lang w:val="en-US" w:eastAsia="zh-CN"/>
              </w:rPr>
            </w:pPr>
          </w:p>
        </w:tc>
        <w:tc>
          <w:tcPr>
            <w:tcW w:w="1073" w:type="dxa"/>
            <w:tcBorders>
              <w:top w:val="single" w:color="auto" w:sz="4" w:space="0"/>
              <w:left w:val="nil"/>
              <w:bottom w:val="single" w:color="auto" w:sz="4" w:space="0"/>
              <w:right w:val="single" w:color="auto" w:sz="4" w:space="0"/>
            </w:tcBorders>
            <w:vAlign w:val="center"/>
          </w:tcPr>
          <w:p w14:paraId="0EBE53A6">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6826" w:type="dxa"/>
            <w:tcBorders>
              <w:top w:val="single" w:color="auto" w:sz="4" w:space="0"/>
              <w:left w:val="nil"/>
              <w:bottom w:val="single" w:color="auto" w:sz="4" w:space="0"/>
              <w:right w:val="single" w:color="auto" w:sz="4" w:space="0"/>
            </w:tcBorders>
            <w:shd w:val="clear" w:color="auto" w:fill="auto"/>
            <w:vAlign w:val="center"/>
          </w:tcPr>
          <w:p w14:paraId="7CA589E3">
            <w:pPr>
              <w:widowControl/>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拆除工程：使用高空作业车、拆除人员需持有高空作业证、焊接与热切割工作证等相关证件。</w:t>
            </w:r>
          </w:p>
        </w:tc>
      </w:tr>
      <w:tr w14:paraId="19F343BC">
        <w:tblPrEx>
          <w:tblCellMar>
            <w:top w:w="0" w:type="dxa"/>
            <w:left w:w="108" w:type="dxa"/>
            <w:bottom w:w="0" w:type="dxa"/>
            <w:right w:w="108" w:type="dxa"/>
          </w:tblCellMar>
        </w:tblPrEx>
        <w:trPr>
          <w:trHeight w:val="773"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0400AA04">
            <w:pPr>
              <w:widowControl/>
              <w:jc w:val="center"/>
              <w:rPr>
                <w:rFonts w:hint="eastAsia" w:ascii="宋体" w:hAnsi="宋体" w:eastAsia="宋体" w:cs="宋体"/>
                <w:color w:val="auto"/>
                <w:sz w:val="24"/>
                <w:szCs w:val="24"/>
                <w:lang w:val="en-US" w:eastAsia="zh-CN"/>
              </w:rPr>
            </w:pPr>
          </w:p>
        </w:tc>
        <w:tc>
          <w:tcPr>
            <w:tcW w:w="1073" w:type="dxa"/>
            <w:tcBorders>
              <w:top w:val="single" w:color="auto" w:sz="4" w:space="0"/>
              <w:left w:val="nil"/>
              <w:bottom w:val="single" w:color="auto" w:sz="4" w:space="0"/>
              <w:right w:val="single" w:color="auto" w:sz="4" w:space="0"/>
            </w:tcBorders>
            <w:vAlign w:val="center"/>
          </w:tcPr>
          <w:p w14:paraId="2B267E6F">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6826" w:type="dxa"/>
            <w:tcBorders>
              <w:top w:val="single" w:color="auto" w:sz="4" w:space="0"/>
              <w:left w:val="nil"/>
              <w:bottom w:val="single" w:color="auto" w:sz="4" w:space="0"/>
              <w:right w:val="single" w:color="auto" w:sz="4" w:space="0"/>
            </w:tcBorders>
            <w:shd w:val="clear" w:color="auto" w:fill="auto"/>
            <w:vAlign w:val="center"/>
          </w:tcPr>
          <w:p w14:paraId="45E219D7">
            <w:pPr>
              <w:widowControl/>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装修工程：参与人员需持有焊接与热切割工作证、特种作业上岗操作证等相关证件。</w:t>
            </w:r>
          </w:p>
        </w:tc>
      </w:tr>
      <w:tr w14:paraId="4B2D57F8">
        <w:tblPrEx>
          <w:tblCellMar>
            <w:top w:w="0" w:type="dxa"/>
            <w:left w:w="108" w:type="dxa"/>
            <w:bottom w:w="0" w:type="dxa"/>
            <w:right w:w="108" w:type="dxa"/>
          </w:tblCellMar>
        </w:tblPrEx>
        <w:trPr>
          <w:trHeight w:val="773"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6864255F">
            <w:pPr>
              <w:widowControl/>
              <w:jc w:val="center"/>
              <w:rPr>
                <w:rFonts w:hint="eastAsia" w:ascii="宋体" w:hAnsi="宋体" w:eastAsia="宋体" w:cs="宋体"/>
                <w:color w:val="auto"/>
                <w:sz w:val="24"/>
                <w:szCs w:val="24"/>
                <w:lang w:val="en-US" w:eastAsia="zh-CN"/>
              </w:rPr>
            </w:pPr>
          </w:p>
        </w:tc>
        <w:tc>
          <w:tcPr>
            <w:tcW w:w="1073" w:type="dxa"/>
            <w:tcBorders>
              <w:top w:val="single" w:color="auto" w:sz="4" w:space="0"/>
              <w:left w:val="nil"/>
              <w:bottom w:val="single" w:color="auto" w:sz="4" w:space="0"/>
              <w:right w:val="single" w:color="auto" w:sz="4" w:space="0"/>
            </w:tcBorders>
            <w:vAlign w:val="center"/>
          </w:tcPr>
          <w:p w14:paraId="4B5F0C53">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6826" w:type="dxa"/>
            <w:tcBorders>
              <w:top w:val="single" w:color="auto" w:sz="4" w:space="0"/>
              <w:left w:val="nil"/>
              <w:bottom w:val="single" w:color="auto" w:sz="4" w:space="0"/>
              <w:right w:val="single" w:color="auto" w:sz="4" w:space="0"/>
            </w:tcBorders>
            <w:shd w:val="clear" w:color="auto" w:fill="auto"/>
            <w:vAlign w:val="center"/>
          </w:tcPr>
          <w:p w14:paraId="44C052D6">
            <w:pPr>
              <w:widowControl/>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安装工程：安装人员需持有高空作业证、焊接与热切割工作证、特种作业上岗操作证等。</w:t>
            </w:r>
          </w:p>
        </w:tc>
      </w:tr>
      <w:tr w14:paraId="60B3A759">
        <w:tblPrEx>
          <w:tblCellMar>
            <w:top w:w="0" w:type="dxa"/>
            <w:left w:w="108" w:type="dxa"/>
            <w:bottom w:w="0" w:type="dxa"/>
            <w:right w:w="108" w:type="dxa"/>
          </w:tblCellMar>
        </w:tblPrEx>
        <w:trPr>
          <w:trHeight w:val="773"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53A2E8F2">
            <w:pPr>
              <w:widowControl/>
              <w:jc w:val="center"/>
              <w:rPr>
                <w:rFonts w:hint="eastAsia" w:ascii="宋体" w:hAnsi="宋体" w:eastAsia="宋体" w:cs="宋体"/>
                <w:color w:val="auto"/>
                <w:sz w:val="24"/>
                <w:szCs w:val="24"/>
                <w:lang w:val="en-US" w:eastAsia="zh-CN"/>
              </w:rPr>
            </w:pPr>
          </w:p>
        </w:tc>
        <w:tc>
          <w:tcPr>
            <w:tcW w:w="1073" w:type="dxa"/>
            <w:tcBorders>
              <w:top w:val="single" w:color="auto" w:sz="4" w:space="0"/>
              <w:left w:val="nil"/>
              <w:bottom w:val="single" w:color="auto" w:sz="4" w:space="0"/>
              <w:right w:val="single" w:color="auto" w:sz="4" w:space="0"/>
            </w:tcBorders>
            <w:vAlign w:val="center"/>
          </w:tcPr>
          <w:p w14:paraId="7774179E">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6826" w:type="dxa"/>
            <w:tcBorders>
              <w:top w:val="single" w:color="auto" w:sz="4" w:space="0"/>
              <w:left w:val="nil"/>
              <w:bottom w:val="single" w:color="auto" w:sz="4" w:space="0"/>
              <w:right w:val="single" w:color="auto" w:sz="4" w:space="0"/>
            </w:tcBorders>
            <w:shd w:val="clear" w:color="auto" w:fill="auto"/>
            <w:vAlign w:val="center"/>
          </w:tcPr>
          <w:p w14:paraId="35DEE9EF">
            <w:pPr>
              <w:widowControl/>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质量、安生、环境管理体系与措施：编制符合本项目的质量管理体系、其中管理措施需合理、有效。</w:t>
            </w:r>
          </w:p>
        </w:tc>
      </w:tr>
      <w:tr w14:paraId="449A555E">
        <w:tblPrEx>
          <w:tblCellMar>
            <w:top w:w="0" w:type="dxa"/>
            <w:left w:w="108" w:type="dxa"/>
            <w:bottom w:w="0" w:type="dxa"/>
            <w:right w:w="108" w:type="dxa"/>
          </w:tblCellMar>
        </w:tblPrEx>
        <w:trPr>
          <w:trHeight w:val="773"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07D3D0BE">
            <w:pPr>
              <w:widowControl/>
              <w:jc w:val="center"/>
              <w:rPr>
                <w:rFonts w:hint="eastAsia" w:ascii="宋体" w:hAnsi="宋体" w:eastAsia="宋体" w:cs="宋体"/>
                <w:color w:val="auto"/>
                <w:sz w:val="24"/>
                <w:szCs w:val="24"/>
                <w:lang w:val="en-US" w:eastAsia="zh-CN"/>
              </w:rPr>
            </w:pPr>
          </w:p>
        </w:tc>
        <w:tc>
          <w:tcPr>
            <w:tcW w:w="1073" w:type="dxa"/>
            <w:tcBorders>
              <w:top w:val="single" w:color="auto" w:sz="4" w:space="0"/>
              <w:left w:val="nil"/>
              <w:bottom w:val="single" w:color="auto" w:sz="4" w:space="0"/>
              <w:right w:val="single" w:color="auto" w:sz="4" w:space="0"/>
            </w:tcBorders>
            <w:vAlign w:val="center"/>
          </w:tcPr>
          <w:p w14:paraId="1C292DA2">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6826" w:type="dxa"/>
            <w:tcBorders>
              <w:top w:val="single" w:color="auto" w:sz="4" w:space="0"/>
              <w:left w:val="nil"/>
              <w:bottom w:val="single" w:color="auto" w:sz="4" w:space="0"/>
              <w:right w:val="single" w:color="auto" w:sz="4" w:space="0"/>
            </w:tcBorders>
            <w:shd w:val="clear" w:color="auto" w:fill="auto"/>
            <w:vAlign w:val="center"/>
          </w:tcPr>
          <w:p w14:paraId="034D6A01">
            <w:pPr>
              <w:widowControl/>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资源配备计划:根据项目施工工期投入适当的劳动力与施工设备，投入劳动力与施工设备的数量、种类需全面，计划方案合理、有效。</w:t>
            </w:r>
          </w:p>
        </w:tc>
      </w:tr>
      <w:tr w14:paraId="52E6D3A9">
        <w:tblPrEx>
          <w:tblCellMar>
            <w:top w:w="0" w:type="dxa"/>
            <w:left w:w="108" w:type="dxa"/>
            <w:bottom w:w="0" w:type="dxa"/>
            <w:right w:w="108" w:type="dxa"/>
          </w:tblCellMar>
        </w:tblPrEx>
        <w:trPr>
          <w:trHeight w:val="773" w:hRule="atLeast"/>
          <w:jc w:val="center"/>
        </w:trPr>
        <w:tc>
          <w:tcPr>
            <w:tcW w:w="1459" w:type="dxa"/>
            <w:tcBorders>
              <w:top w:val="single" w:color="auto" w:sz="4" w:space="0"/>
              <w:left w:val="single" w:color="auto" w:sz="4" w:space="0"/>
              <w:bottom w:val="single" w:color="auto" w:sz="4" w:space="0"/>
              <w:right w:val="single" w:color="auto" w:sz="4" w:space="0"/>
            </w:tcBorders>
            <w:vAlign w:val="center"/>
          </w:tcPr>
          <w:p w14:paraId="3D3B649E">
            <w:pPr>
              <w:widowControl/>
              <w:jc w:val="center"/>
              <w:rPr>
                <w:rFonts w:hint="eastAsia" w:ascii="宋体" w:hAnsi="宋体" w:eastAsia="宋体" w:cs="宋体"/>
                <w:color w:val="auto"/>
                <w:sz w:val="24"/>
                <w:szCs w:val="24"/>
                <w:lang w:val="en-US" w:eastAsia="zh-CN"/>
              </w:rPr>
            </w:pPr>
          </w:p>
        </w:tc>
        <w:tc>
          <w:tcPr>
            <w:tcW w:w="1073" w:type="dxa"/>
            <w:tcBorders>
              <w:top w:val="single" w:color="auto" w:sz="4" w:space="0"/>
              <w:left w:val="nil"/>
              <w:bottom w:val="single" w:color="auto" w:sz="4" w:space="0"/>
              <w:right w:val="single" w:color="auto" w:sz="4" w:space="0"/>
            </w:tcBorders>
            <w:vAlign w:val="center"/>
          </w:tcPr>
          <w:p w14:paraId="2335442A">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6826" w:type="dxa"/>
            <w:tcBorders>
              <w:top w:val="single" w:color="auto" w:sz="4" w:space="0"/>
              <w:left w:val="nil"/>
              <w:bottom w:val="single" w:color="auto" w:sz="4" w:space="0"/>
              <w:right w:val="single" w:color="auto" w:sz="4" w:space="0"/>
            </w:tcBorders>
            <w:shd w:val="clear" w:color="auto" w:fill="auto"/>
            <w:vAlign w:val="center"/>
          </w:tcPr>
          <w:p w14:paraId="5FFBF836">
            <w:pPr>
              <w:widowControl/>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进度计划与措施:</w:t>
            </w:r>
          </w:p>
          <w:p w14:paraId="274BAC10">
            <w:pPr>
              <w:widowControl/>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根据医院现状编制符合医院运行规律的工程进度计划与措施，需保证方案与措施合理、可靠、有效。</w:t>
            </w:r>
          </w:p>
        </w:tc>
      </w:tr>
    </w:tbl>
    <w:p w14:paraId="515FD345">
      <w:pPr>
        <w:rPr>
          <w:rFonts w:hint="eastAsia"/>
        </w:rPr>
      </w:pPr>
    </w:p>
    <w:p w14:paraId="4DA06762">
      <w:pPr>
        <w:rPr>
          <w:rFonts w:hint="eastAsia"/>
        </w:rPr>
      </w:pPr>
    </w:p>
    <w:p w14:paraId="07EBC646">
      <w:pPr>
        <w:rPr>
          <w:rFonts w:hint="eastAsia"/>
        </w:rPr>
      </w:pPr>
    </w:p>
    <w:p w14:paraId="515AFA2E">
      <w:pPr>
        <w:rPr>
          <w:rFonts w:hint="eastAsia"/>
        </w:rPr>
      </w:pPr>
    </w:p>
    <w:p w14:paraId="13CE1F13">
      <w:pPr>
        <w:rPr>
          <w:rFonts w:hint="eastAsia"/>
        </w:rPr>
      </w:pPr>
    </w:p>
    <w:p w14:paraId="0971E61E">
      <w:pPr>
        <w:rPr>
          <w:rFonts w:hint="eastAsia"/>
        </w:rPr>
      </w:pPr>
    </w:p>
    <w:p w14:paraId="47211D83">
      <w:pPr>
        <w:rPr>
          <w:rFonts w:hint="eastAsia"/>
        </w:rPr>
      </w:pPr>
    </w:p>
    <w:p w14:paraId="12557881">
      <w:pPr>
        <w:rPr>
          <w:rFonts w:hint="eastAsia"/>
        </w:rPr>
      </w:pPr>
    </w:p>
    <w:p w14:paraId="28D951CB">
      <w:pPr>
        <w:rPr>
          <w:rFonts w:hint="eastAsia"/>
        </w:rPr>
      </w:pPr>
    </w:p>
    <w:p w14:paraId="6B6CDF45">
      <w:pPr>
        <w:rPr>
          <w:rFonts w:hint="eastAsia"/>
        </w:rPr>
      </w:pPr>
    </w:p>
    <w:p w14:paraId="2698D967">
      <w:pPr>
        <w:rPr>
          <w:rFonts w:hint="eastAsia"/>
        </w:rPr>
      </w:pPr>
    </w:p>
    <w:p w14:paraId="53BBC529">
      <w:pPr>
        <w:rPr>
          <w:rFonts w:hint="eastAsia"/>
        </w:rPr>
      </w:pPr>
    </w:p>
    <w:p w14:paraId="22A53E6C">
      <w:pPr>
        <w:rPr>
          <w:rFonts w:hint="eastAsia"/>
        </w:rPr>
      </w:pPr>
    </w:p>
    <w:p w14:paraId="1461FBC4">
      <w:pPr>
        <w:rPr>
          <w:rFonts w:hint="eastAsia"/>
        </w:rPr>
      </w:pPr>
    </w:p>
    <w:p w14:paraId="4E2D6CAB">
      <w:pPr>
        <w:rPr>
          <w:rFonts w:hint="eastAsia"/>
        </w:rPr>
      </w:pPr>
    </w:p>
    <w:p w14:paraId="139433AA">
      <w:pPr>
        <w:rPr>
          <w:rFonts w:hint="eastAsia"/>
        </w:rPr>
      </w:pPr>
    </w:p>
    <w:p w14:paraId="17CB3C8B">
      <w:pPr>
        <w:rPr>
          <w:rFonts w:hint="eastAsia"/>
        </w:rPr>
      </w:pPr>
    </w:p>
    <w:p w14:paraId="06703EDB">
      <w:pPr>
        <w:rPr>
          <w:rFonts w:hint="eastAsia"/>
        </w:rPr>
      </w:pPr>
    </w:p>
    <w:p w14:paraId="7836C2DA">
      <w:pPr>
        <w:rPr>
          <w:rFonts w:hint="eastAsia"/>
        </w:rPr>
      </w:pPr>
    </w:p>
    <w:p w14:paraId="39BC3DC4">
      <w:pPr>
        <w:rPr>
          <w:rFonts w:hint="eastAsia"/>
        </w:rPr>
      </w:pPr>
    </w:p>
    <w:p w14:paraId="50D7E21B">
      <w:pPr>
        <w:rPr>
          <w:rFonts w:hint="eastAsia"/>
        </w:rPr>
      </w:pPr>
    </w:p>
    <w:p w14:paraId="74342575">
      <w:pPr>
        <w:rPr>
          <w:rFonts w:hint="eastAsia"/>
        </w:rPr>
      </w:pPr>
    </w:p>
    <w:p w14:paraId="025B9D46">
      <w:pPr>
        <w:rPr>
          <w:rFonts w:hint="eastAsia"/>
        </w:rPr>
      </w:pPr>
    </w:p>
    <w:p w14:paraId="72A0580B">
      <w:pPr>
        <w:rPr>
          <w:rFonts w:hint="eastAsia"/>
        </w:rPr>
      </w:pPr>
    </w:p>
    <w:p w14:paraId="5689BD9C">
      <w:pPr>
        <w:rPr>
          <w:rFonts w:hint="eastAsia"/>
        </w:rPr>
      </w:pPr>
    </w:p>
    <w:p w14:paraId="32AC0535">
      <w:pPr>
        <w:rPr>
          <w:rFonts w:hint="eastAsia"/>
        </w:rPr>
      </w:pPr>
    </w:p>
    <w:p w14:paraId="2751FE4A">
      <w:pPr>
        <w:rPr>
          <w:rFonts w:hint="eastAsia"/>
        </w:rPr>
      </w:pPr>
    </w:p>
    <w:p w14:paraId="53D5B454">
      <w:pPr>
        <w:rPr>
          <w:rFonts w:hint="eastAsia"/>
        </w:rPr>
      </w:pPr>
    </w:p>
    <w:p w14:paraId="5EC98330">
      <w:pPr>
        <w:rPr>
          <w:rFonts w:hint="eastAsia"/>
        </w:rPr>
      </w:pPr>
    </w:p>
    <w:p w14:paraId="3A3A2BC4">
      <w:pPr>
        <w:rPr>
          <w:rFonts w:hint="eastAsia"/>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三、表1资格审查表</w:t>
      </w:r>
    </w:p>
    <w:tbl>
      <w:tblPr>
        <w:tblStyle w:val="15"/>
        <w:tblW w:w="86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8"/>
        <w:gridCol w:w="2102"/>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528"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2102"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528"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528"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528"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528"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528"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528"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528"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528"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528"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528"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528"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2102"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528"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2102"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528"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2102"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528"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528"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2102"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3B0B769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50AC073F">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0225D28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A6D70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EE371B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6FFCEBF">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736732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468DD1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26378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2B4667B">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9186DB6">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B95F7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D7A08F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20CC6CC">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A3EB52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73051A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F44896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1B081B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4FBED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2B9E43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461CB1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DDB9B2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招采</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w:t>
      </w:r>
      <w:r>
        <w:rPr>
          <w:rFonts w:hint="eastAsia" w:ascii="宋体" w:hAnsi="宋体" w:eastAsia="宋体" w:cs="宋体"/>
          <w:b w:val="0"/>
          <w:color w:val="000000"/>
          <w:sz w:val="24"/>
          <w:szCs w:val="24"/>
          <w:lang w:val="en-US" w:eastAsia="zh-CN"/>
        </w:rPr>
        <w:t>工程量清单..</w:t>
      </w:r>
      <w:r>
        <w:rPr>
          <w:rFonts w:ascii="宋体" w:hAnsi="宋体" w:eastAsia="宋体" w:cs="宋体"/>
          <w:b w:val="0"/>
          <w:color w:val="000000"/>
          <w:sz w:val="24"/>
          <w:szCs w:val="24"/>
        </w:rPr>
        <w:t>.....</w:t>
      </w:r>
      <w:r>
        <w:rPr>
          <w:rFonts w:hint="eastAsia" w:ascii="宋体" w:hAnsi="宋体" w:eastAsia="宋体" w:cs="宋体"/>
          <w:b w:val="0"/>
          <w:color w:val="000000"/>
          <w:sz w:val="24"/>
          <w:szCs w:val="24"/>
          <w:lang w:val="en-US" w:eastAsia="zh-CN"/>
        </w:rPr>
        <w:t>..................</w:t>
      </w:r>
      <w:r>
        <w:rPr>
          <w:rFonts w:ascii="宋体" w:hAnsi="宋体" w:eastAsia="宋体" w:cs="宋体"/>
          <w:b w:val="0"/>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033AA20">
      <w:pPr>
        <w:pStyle w:val="8"/>
        <w:rPr>
          <w:rFonts w:hint="eastAsia" w:ascii="宋体" w:hAnsi="宋体" w:eastAsia="宋体" w:cs="宋体"/>
          <w:b w:val="0"/>
          <w:color w:val="000000"/>
          <w:sz w:val="24"/>
          <w:szCs w:val="24"/>
          <w:lang w:val="en-US" w:eastAsia="zh-CN" w:bidi="ar-SA"/>
        </w:rPr>
      </w:pPr>
    </w:p>
    <w:p w14:paraId="0E53127B">
      <w:pPr>
        <w:rPr>
          <w:rFonts w:hint="eastAsia" w:ascii="宋体" w:hAnsi="宋体" w:eastAsia="宋体" w:cs="宋体"/>
          <w:b w:val="0"/>
          <w:color w:val="000000"/>
          <w:sz w:val="24"/>
          <w:szCs w:val="24"/>
          <w:lang w:val="en-US" w:eastAsia="zh-CN" w:bidi="ar-SA"/>
        </w:rPr>
      </w:pPr>
    </w:p>
    <w:p w14:paraId="733B076F">
      <w:pPr>
        <w:pStyle w:val="8"/>
        <w:rPr>
          <w:rFonts w:hint="eastAsia" w:ascii="宋体" w:hAnsi="宋体" w:eastAsia="宋体" w:cs="宋体"/>
          <w:b w:val="0"/>
          <w:color w:val="000000"/>
          <w:sz w:val="24"/>
          <w:szCs w:val="24"/>
          <w:lang w:val="en-US" w:eastAsia="zh-CN" w:bidi="ar-SA"/>
        </w:rPr>
      </w:pPr>
    </w:p>
    <w:p w14:paraId="68D71BD6">
      <w:pPr>
        <w:rPr>
          <w:rFonts w:hint="eastAsia" w:ascii="宋体" w:hAnsi="宋体" w:eastAsia="宋体" w:cs="宋体"/>
          <w:b w:val="0"/>
          <w:color w:val="000000"/>
          <w:sz w:val="24"/>
          <w:szCs w:val="24"/>
          <w:lang w:val="en-US" w:eastAsia="zh-CN" w:bidi="ar-SA"/>
        </w:rPr>
      </w:pPr>
    </w:p>
    <w:p w14:paraId="756E997C">
      <w:pPr>
        <w:pStyle w:val="8"/>
        <w:rPr>
          <w:rFonts w:hint="eastAsia"/>
          <w:lang w:val="en-US" w:eastAsia="zh-CN"/>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D407A75">
      <w:pPr>
        <w:pStyle w:val="8"/>
        <w:rPr>
          <w:rFonts w:hint="eastAsia" w:ascii="宋体" w:hAnsi="宋体" w:eastAsia="宋体" w:cs="宋体"/>
          <w:b w:val="0"/>
          <w:color w:val="000000"/>
          <w:sz w:val="24"/>
          <w:szCs w:val="24"/>
          <w:lang w:val="en-US" w:eastAsia="zh-CN" w:bidi="ar-SA"/>
        </w:rPr>
      </w:pPr>
    </w:p>
    <w:p w14:paraId="4DACECC6">
      <w:pPr>
        <w:rPr>
          <w:rFonts w:hint="eastAsia"/>
          <w:lang w:val="en-US" w:eastAsia="zh-CN"/>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工程、服务项目除外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5"/>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68686F9A">
      <w:pPr>
        <w:pStyle w:val="4"/>
        <w:keepNext w:val="0"/>
        <w:keepLines w:val="0"/>
        <w:pageBreakBefore w:val="0"/>
        <w:widowControl/>
        <w:numPr>
          <w:ilvl w:val="0"/>
          <w:numId w:val="0"/>
        </w:numPr>
        <w:kinsoku/>
        <w:overflowPunct/>
        <w:topLinePunct w:val="0"/>
        <w:autoSpaceDE/>
        <w:autoSpaceDN/>
        <w:bidi w:val="0"/>
        <w:adjustRightInd/>
        <w:snapToGrid/>
        <w:ind w:firstLine="562" w:firstLineChars="200"/>
        <w:jc w:val="left"/>
        <w:textAlignment w:val="auto"/>
        <w:outlineLvl w:val="2"/>
        <w:rPr>
          <w:rFonts w:hint="default"/>
          <w:lang w:val="en-US" w:eastAsia="zh-CN"/>
        </w:rPr>
      </w:pPr>
      <w:r>
        <w:rPr>
          <w:rFonts w:hint="eastAsia" w:eastAsia="宋体" w:cs="宋体"/>
          <w:b/>
          <w:sz w:val="28"/>
          <w:szCs w:val="28"/>
          <w:lang w:val="en-US" w:eastAsia="zh-CN"/>
        </w:rPr>
        <w:t>十四、工程量清单</w:t>
      </w:r>
    </w:p>
    <w:p w14:paraId="0F28D169">
      <w:pPr>
        <w:keepNext w:val="0"/>
        <w:keepLines w:val="0"/>
        <w:pageBreakBefore w:val="0"/>
        <w:widowControl/>
        <w:kinsoku/>
        <w:overflowPunct/>
        <w:topLinePunct w:val="0"/>
        <w:autoSpaceDE/>
        <w:autoSpaceDN/>
        <w:bidi w:val="0"/>
        <w:adjustRightInd/>
        <w:snapToGrid/>
        <w:ind w:firstLine="420" w:firstLineChars="200"/>
        <w:textAlignment w:val="auto"/>
        <w:rPr>
          <w:rFonts w:hint="eastAsia"/>
          <w:lang w:val="en-US" w:eastAsia="zh-CN"/>
        </w:rPr>
      </w:pP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Chars="200"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2706D64"/>
    <w:rsid w:val="036C2F53"/>
    <w:rsid w:val="05076A5B"/>
    <w:rsid w:val="06B07F83"/>
    <w:rsid w:val="07EE0F70"/>
    <w:rsid w:val="080A65A2"/>
    <w:rsid w:val="0CC91539"/>
    <w:rsid w:val="0DA07F51"/>
    <w:rsid w:val="0F4E11A2"/>
    <w:rsid w:val="10D60D02"/>
    <w:rsid w:val="114A4798"/>
    <w:rsid w:val="11AB1717"/>
    <w:rsid w:val="11EF4694"/>
    <w:rsid w:val="150E71F6"/>
    <w:rsid w:val="1696735F"/>
    <w:rsid w:val="16E14FBF"/>
    <w:rsid w:val="17A708DF"/>
    <w:rsid w:val="19545A30"/>
    <w:rsid w:val="198E5E9E"/>
    <w:rsid w:val="19BD2CB7"/>
    <w:rsid w:val="1BB9254A"/>
    <w:rsid w:val="1DCA77EF"/>
    <w:rsid w:val="1ED20D4A"/>
    <w:rsid w:val="20341AF8"/>
    <w:rsid w:val="2092329D"/>
    <w:rsid w:val="214C62A1"/>
    <w:rsid w:val="216D46C6"/>
    <w:rsid w:val="224C6733"/>
    <w:rsid w:val="23507ADC"/>
    <w:rsid w:val="241F1D5F"/>
    <w:rsid w:val="24A7212A"/>
    <w:rsid w:val="25757733"/>
    <w:rsid w:val="26470B4A"/>
    <w:rsid w:val="266437D3"/>
    <w:rsid w:val="267A5F90"/>
    <w:rsid w:val="26915EA6"/>
    <w:rsid w:val="26DE053E"/>
    <w:rsid w:val="276714E7"/>
    <w:rsid w:val="281659F6"/>
    <w:rsid w:val="293A1937"/>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78A70E6"/>
    <w:rsid w:val="37FC75FC"/>
    <w:rsid w:val="383D56F7"/>
    <w:rsid w:val="393C0F46"/>
    <w:rsid w:val="3AE74716"/>
    <w:rsid w:val="3E650D1D"/>
    <w:rsid w:val="3E9002A8"/>
    <w:rsid w:val="3F552A03"/>
    <w:rsid w:val="420378CC"/>
    <w:rsid w:val="44AA028A"/>
    <w:rsid w:val="4603606C"/>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71E5CB6"/>
    <w:rsid w:val="576C6B11"/>
    <w:rsid w:val="58156ACB"/>
    <w:rsid w:val="58FA0BA3"/>
    <w:rsid w:val="59137211"/>
    <w:rsid w:val="5A17370E"/>
    <w:rsid w:val="5C344BB6"/>
    <w:rsid w:val="5DFF20EB"/>
    <w:rsid w:val="5E1C5429"/>
    <w:rsid w:val="5ED418C8"/>
    <w:rsid w:val="5EF71E76"/>
    <w:rsid w:val="616C33F6"/>
    <w:rsid w:val="6212481D"/>
    <w:rsid w:val="62DE1443"/>
    <w:rsid w:val="62E24E32"/>
    <w:rsid w:val="64A55108"/>
    <w:rsid w:val="64E47B74"/>
    <w:rsid w:val="6585763E"/>
    <w:rsid w:val="661108EC"/>
    <w:rsid w:val="665F0BE6"/>
    <w:rsid w:val="667A1CDF"/>
    <w:rsid w:val="669049D8"/>
    <w:rsid w:val="67D14995"/>
    <w:rsid w:val="68204E22"/>
    <w:rsid w:val="69C8489A"/>
    <w:rsid w:val="6C0D60E9"/>
    <w:rsid w:val="6CF91F25"/>
    <w:rsid w:val="6D4F63E7"/>
    <w:rsid w:val="6EF0008F"/>
    <w:rsid w:val="6F236889"/>
    <w:rsid w:val="6F3911E0"/>
    <w:rsid w:val="6F5104C0"/>
    <w:rsid w:val="6F7A7F8F"/>
    <w:rsid w:val="704F20EA"/>
    <w:rsid w:val="70CD0FAF"/>
    <w:rsid w:val="710F0089"/>
    <w:rsid w:val="719B7B32"/>
    <w:rsid w:val="71DA20A9"/>
    <w:rsid w:val="72D20C3B"/>
    <w:rsid w:val="736027D2"/>
    <w:rsid w:val="75080C92"/>
    <w:rsid w:val="75554A93"/>
    <w:rsid w:val="764374DD"/>
    <w:rsid w:val="76B838A9"/>
    <w:rsid w:val="78564BB1"/>
    <w:rsid w:val="79003D12"/>
    <w:rsid w:val="7A8D5099"/>
    <w:rsid w:val="7BB21433"/>
    <w:rsid w:val="7D0D1339"/>
    <w:rsid w:val="7D582F68"/>
    <w:rsid w:val="7DC23B16"/>
    <w:rsid w:val="7F112C06"/>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paragraph" w:styleId="5">
    <w:name w:val="heading 4"/>
    <w:basedOn w:val="1"/>
    <w:next w:val="1"/>
    <w:unhideWhenUsed/>
    <w:qFormat/>
    <w:uiPriority w:val="0"/>
    <w:pPr>
      <w:keepNext/>
      <w:keepLines/>
      <w:outlineLvl w:val="3"/>
    </w:pPr>
    <w:rPr>
      <w:rFonts w:ascii="Arial" w:hAnsi="Arial" w:eastAsia="黑体"/>
      <w:sz w:val="24"/>
    </w:rPr>
  </w:style>
  <w:style w:type="character" w:default="1" w:styleId="17">
    <w:name w:val="Default Paragraph Font"/>
    <w:autoRedefine/>
    <w:semiHidden/>
    <w:qFormat/>
    <w:uiPriority w:val="2"/>
  </w:style>
  <w:style w:type="table" w:default="1" w:styleId="15">
    <w:name w:val="Normal Table"/>
    <w:semiHidden/>
    <w:qFormat/>
    <w:uiPriority w:val="3"/>
    <w:tblPr>
      <w:tblCellMar>
        <w:top w:w="0" w:type="dxa"/>
        <w:left w:w="108" w:type="dxa"/>
        <w:bottom w:w="0" w:type="dxa"/>
        <w:right w:w="108" w:type="dxa"/>
      </w:tblCellMar>
    </w:tbl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Body Text Indent"/>
    <w:basedOn w:val="1"/>
    <w:qFormat/>
    <w:uiPriority w:val="0"/>
    <w:pPr>
      <w:spacing w:after="120" w:afterLines="0" w:afterAutospacing="0"/>
      <w:ind w:left="420" w:leftChars="200"/>
    </w:pPr>
  </w:style>
  <w:style w:type="paragraph" w:styleId="8">
    <w:name w:val="Plain Text"/>
    <w:basedOn w:val="9"/>
    <w:next w:val="1"/>
    <w:qFormat/>
    <w:uiPriority w:val="0"/>
    <w:rPr>
      <w:rFonts w:ascii="宋体" w:hAnsi="Courier New"/>
    </w:rPr>
  </w:style>
  <w:style w:type="paragraph" w:customStyle="1" w:styleId="9">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Date"/>
    <w:basedOn w:val="1"/>
    <w:next w:val="1"/>
    <w:qFormat/>
    <w:uiPriority w:val="0"/>
    <w:rPr>
      <w:rFonts w:ascii="宋体" w:hAnsi="Times New Roman"/>
      <w:kern w:val="0"/>
      <w:sz w:val="24"/>
      <w:szCs w:val="20"/>
    </w:rPr>
  </w:style>
  <w:style w:type="paragraph" w:styleId="11">
    <w:name w:val="footer"/>
    <w:basedOn w:val="1"/>
    <w:qFormat/>
    <w:uiPriority w:val="151"/>
    <w:pPr>
      <w:tabs>
        <w:tab w:val="center" w:pos="4153"/>
        <w:tab w:val="right" w:pos="8306"/>
      </w:tabs>
      <w:snapToGrid w:val="0"/>
      <w:jc w:val="left"/>
    </w:pPr>
    <w:rPr>
      <w:sz w:val="18"/>
      <w:szCs w:val="18"/>
    </w:rPr>
  </w:style>
  <w:style w:type="paragraph" w:styleId="12">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3">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4">
    <w:name w:val="Body Text First Indent 2"/>
    <w:basedOn w:val="7"/>
    <w:qFormat/>
    <w:uiPriority w:val="0"/>
    <w:pPr>
      <w:ind w:firstLine="420" w:firstLineChars="200"/>
    </w:pPr>
  </w:style>
  <w:style w:type="table" w:styleId="16">
    <w:name w:val="Table Grid"/>
    <w:basedOn w:val="15"/>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List Paragraph"/>
    <w:basedOn w:val="1"/>
    <w:qFormat/>
    <w:uiPriority w:val="26"/>
    <w:pPr>
      <w:ind w:firstLine="200"/>
    </w:pPr>
    <w:rPr>
      <w:rFonts w:ascii="Times New Roman" w:hAnsi="Times New Roman" w:eastAsia="宋体" w:cs="Times New Roman"/>
      <w:sz w:val="28"/>
      <w:szCs w:val="28"/>
    </w:rPr>
  </w:style>
  <w:style w:type="character" w:customStyle="1" w:styleId="19">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0">
    <w:name w:val="font11"/>
    <w:basedOn w:val="17"/>
    <w:autoRedefine/>
    <w:qFormat/>
    <w:uiPriority w:val="0"/>
    <w:rPr>
      <w:rFonts w:hint="eastAsia" w:ascii="宋体" w:hAnsi="宋体" w:eastAsia="宋体" w:cs="宋体"/>
      <w:color w:val="000000"/>
      <w:sz w:val="24"/>
      <w:szCs w:val="24"/>
      <w:u w:val="none"/>
    </w:rPr>
  </w:style>
  <w:style w:type="character" w:customStyle="1" w:styleId="21">
    <w:name w:val="font31"/>
    <w:basedOn w:val="17"/>
    <w:autoRedefine/>
    <w:qFormat/>
    <w:uiPriority w:val="0"/>
    <w:rPr>
      <w:rFonts w:hint="eastAsia" w:ascii="宋体" w:hAnsi="宋体" w:eastAsia="宋体" w:cs="宋体"/>
      <w:color w:val="000000"/>
      <w:sz w:val="21"/>
      <w:szCs w:val="21"/>
      <w:u w:val="none"/>
    </w:rPr>
  </w:style>
  <w:style w:type="paragraph" w:customStyle="1" w:styleId="22">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3">
    <w:name w:val="font41"/>
    <w:basedOn w:val="17"/>
    <w:autoRedefine/>
    <w:qFormat/>
    <w:uiPriority w:val="0"/>
    <w:rPr>
      <w:rFonts w:ascii="Calibri" w:hAnsi="Calibri" w:cs="Calibri"/>
      <w:color w:val="000000"/>
      <w:sz w:val="28"/>
      <w:szCs w:val="28"/>
      <w:u w:val="none"/>
    </w:rPr>
  </w:style>
  <w:style w:type="character" w:customStyle="1" w:styleId="24">
    <w:name w:val="font21"/>
    <w:basedOn w:val="17"/>
    <w:autoRedefine/>
    <w:qFormat/>
    <w:uiPriority w:val="0"/>
    <w:rPr>
      <w:rFonts w:hint="eastAsia" w:ascii="宋体" w:hAnsi="宋体" w:eastAsia="宋体" w:cs="宋体"/>
      <w:color w:val="000000"/>
      <w:sz w:val="21"/>
      <w:szCs w:val="21"/>
      <w:u w:val="none"/>
    </w:rPr>
  </w:style>
  <w:style w:type="table" w:customStyle="1" w:styleId="25">
    <w:name w:val="网格型1"/>
    <w:basedOn w:val="26"/>
    <w:qFormat/>
    <w:uiPriority w:val="0"/>
    <w:pPr>
      <w:widowControl w:val="0"/>
      <w:jc w:val="both"/>
    </w:pPr>
  </w:style>
  <w:style w:type="table" w:customStyle="1" w:styleId="26">
    <w:name w:val="普通表格1"/>
    <w:semiHidden/>
    <w:qFormat/>
    <w:uiPriority w:val="0"/>
  </w:style>
  <w:style w:type="paragraph" w:customStyle="1" w:styleId="27">
    <w:name w:val="四级标题"/>
    <w:basedOn w:val="10"/>
    <w:qFormat/>
    <w:uiPriority w:val="0"/>
    <w:pPr>
      <w:spacing w:line="360" w:lineRule="auto"/>
    </w:pPr>
    <w:rPr>
      <w:rFonts w:ascii="Times New Roman" w:hAnsi="Times New Roman" w:eastAsia="黑体"/>
      <w:kern w:val="2"/>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6478</Words>
  <Characters>7177</Characters>
  <Lines>0</Lines>
  <Paragraphs>0</Paragraphs>
  <TotalTime>2</TotalTime>
  <ScaleCrop>false</ScaleCrop>
  <LinksUpToDate>false</LinksUpToDate>
  <CharactersWithSpaces>7870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2026-06-05T02:06:52Z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64D802C334FF425BA39DDEAEA5ED82AC_13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