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定量血流分数检测仪项目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定量血流分数检测仪</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83" w:type="dxa"/>
            <w:vAlign w:val="center"/>
          </w:tcPr>
          <w:p w14:paraId="70A922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390000</w:t>
            </w:r>
          </w:p>
        </w:tc>
        <w:tc>
          <w:tcPr>
            <w:tcW w:w="1650" w:type="dxa"/>
            <w:vAlign w:val="center"/>
          </w:tcPr>
          <w:p w14:paraId="1D45D7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74427D36">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本项目包含2台定量血流分数检测仪，用于冠脉介入治疗术前规划、术中引导以及术后评估等。</w:t>
      </w:r>
    </w:p>
    <w:p w14:paraId="26DC12CB">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25"/>
        <w:gridCol w:w="7161"/>
      </w:tblGrid>
      <w:tr w14:paraId="05D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C5B5CEA">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参数</w:t>
            </w:r>
          </w:p>
          <w:p w14:paraId="3F81390D">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性质</w:t>
            </w:r>
          </w:p>
        </w:tc>
        <w:tc>
          <w:tcPr>
            <w:tcW w:w="825" w:type="dxa"/>
            <w:vAlign w:val="center"/>
          </w:tcPr>
          <w:p w14:paraId="7AF5B78A">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编号</w:t>
            </w:r>
          </w:p>
        </w:tc>
        <w:tc>
          <w:tcPr>
            <w:tcW w:w="7161" w:type="dxa"/>
            <w:vAlign w:val="center"/>
          </w:tcPr>
          <w:p w14:paraId="5B9A3CE4">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技术参数和要求</w:t>
            </w:r>
          </w:p>
        </w:tc>
      </w:tr>
      <w:tr w14:paraId="472F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40DD4BC1">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3597CA1B">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w:t>
            </w:r>
          </w:p>
        </w:tc>
        <w:tc>
          <w:tcPr>
            <w:tcW w:w="7161" w:type="dxa"/>
            <w:vAlign w:val="center"/>
          </w:tcPr>
          <w:p w14:paraId="495C2942">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系统具备基于冠脉造影的压降计算功能，并将其数值显示在参数显示区。操作者可以看到血管沿中心线的直径变化及狭窄率分布情况。在渲染窗口，操作者可以通过鼠标点击血管模型查看任意位置处的压降参数数值；</w:t>
            </w:r>
          </w:p>
        </w:tc>
      </w:tr>
      <w:tr w14:paraId="6C8F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3B231A75">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79BAA6B5">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2</w:t>
            </w:r>
          </w:p>
        </w:tc>
        <w:tc>
          <w:tcPr>
            <w:tcW w:w="7161" w:type="dxa"/>
            <w:vAlign w:val="center"/>
          </w:tcPr>
          <w:p w14:paraId="6766EE25">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使用过程中无需使用任何耗材即可得到靶血管的血流储备分数；</w:t>
            </w:r>
          </w:p>
        </w:tc>
      </w:tr>
      <w:tr w14:paraId="286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43518643">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323F47B8">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3</w:t>
            </w:r>
          </w:p>
        </w:tc>
        <w:tc>
          <w:tcPr>
            <w:tcW w:w="7161" w:type="dxa"/>
            <w:vAlign w:val="center"/>
          </w:tcPr>
          <w:p w14:paraId="2900CD62">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使用过程中无需使用任何耗材即可计算微循环阻力指数；</w:t>
            </w:r>
          </w:p>
        </w:tc>
      </w:tr>
      <w:tr w14:paraId="34A5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5D3A12D6">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4DB887FC">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4</w:t>
            </w:r>
          </w:p>
        </w:tc>
        <w:tc>
          <w:tcPr>
            <w:tcW w:w="7161" w:type="dxa"/>
            <w:vAlign w:val="center"/>
          </w:tcPr>
          <w:p w14:paraId="7998FD1C">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微循环阻力指数应可用于30-90%的无心肌病或阻塞性心外膜冠状动脉疾病的原发性冠状动脉微血管功能障碍患者，需提供相关文件资料证明；</w:t>
            </w:r>
          </w:p>
        </w:tc>
      </w:tr>
      <w:tr w14:paraId="5E01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CA61B31">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B060C4F">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5</w:t>
            </w:r>
          </w:p>
        </w:tc>
        <w:tc>
          <w:tcPr>
            <w:tcW w:w="7161" w:type="dxa"/>
            <w:vAlign w:val="center"/>
          </w:tcPr>
          <w:p w14:paraId="1FC4C867">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支持冠脉造影影像进行目标血管的三维重建，且进行目标血管三维重建的两幅造影的体位差不小于25°；</w:t>
            </w:r>
          </w:p>
        </w:tc>
      </w:tr>
      <w:tr w14:paraId="0BB2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8ACCB77">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1392D13">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6</w:t>
            </w:r>
          </w:p>
        </w:tc>
        <w:tc>
          <w:tcPr>
            <w:tcW w:w="7161" w:type="dxa"/>
            <w:vAlign w:val="center"/>
          </w:tcPr>
          <w:p w14:paraId="1A028346">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 xml:space="preserve">具备至少3个匹配点进行血管重构偏差校正功能； </w:t>
            </w:r>
          </w:p>
        </w:tc>
      </w:tr>
      <w:tr w14:paraId="381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CE7AF36">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24C3FA6">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7</w:t>
            </w:r>
          </w:p>
        </w:tc>
        <w:tc>
          <w:tcPr>
            <w:tcW w:w="7161" w:type="dxa"/>
            <w:vAlign w:val="center"/>
          </w:tcPr>
          <w:p w14:paraId="7086AB3B">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具备真实血管和参考血管的匹配功能，在重构的真实血管模型上，参考血管模型以半透明的方式进行匹配显示，便于进行对比参照；</w:t>
            </w:r>
          </w:p>
        </w:tc>
      </w:tr>
      <w:tr w14:paraId="7BFA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B4DD6F3">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60429DED">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8</w:t>
            </w:r>
          </w:p>
        </w:tc>
        <w:tc>
          <w:tcPr>
            <w:tcW w:w="7161" w:type="dxa"/>
            <w:vAlign w:val="center"/>
          </w:tcPr>
          <w:p w14:paraId="3D87690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具备三维血管狭窄云图的功能，直径狭窄百分比通过云图以颜色的方式呈现在血管上，便于直观显示血管狭窄程度； </w:t>
            </w:r>
          </w:p>
        </w:tc>
      </w:tr>
      <w:tr w14:paraId="514C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ADEE2F0">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14AC1D3">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9</w:t>
            </w:r>
          </w:p>
        </w:tc>
        <w:tc>
          <w:tcPr>
            <w:tcW w:w="7161" w:type="dxa"/>
            <w:vAlign w:val="center"/>
          </w:tcPr>
          <w:p w14:paraId="50404E0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具备定量QCA参数计算功能，自动测量血管长度、血管狭窄长度、直径狭窄百分比、面积狭窄百分比、最小管腔直径、近端和远端的管腔直径和参考直径等参数；</w:t>
            </w:r>
          </w:p>
        </w:tc>
      </w:tr>
      <w:tr w14:paraId="098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578AC0D">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2C5DE0A2">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10</w:t>
            </w:r>
          </w:p>
        </w:tc>
        <w:tc>
          <w:tcPr>
            <w:tcW w:w="7161" w:type="dxa"/>
            <w:vAlign w:val="center"/>
          </w:tcPr>
          <w:p w14:paraId="09EC153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具备对QCA参数进行可视化分析功能，在图表窗口，可以查看实际直径-参照血管直径图表及狭窄百分比曲线图表；</w:t>
            </w:r>
          </w:p>
        </w:tc>
      </w:tr>
      <w:tr w14:paraId="55D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057C9A4D">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74C295DA">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11</w:t>
            </w:r>
          </w:p>
        </w:tc>
        <w:tc>
          <w:tcPr>
            <w:tcW w:w="7161" w:type="dxa"/>
            <w:vAlign w:val="center"/>
          </w:tcPr>
          <w:p w14:paraId="40E15E9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具备患者特异性冠脉口压强输入功能，用户可以输入监测到的病人冠脉口压强值，便于更加准确地进行功能学评估； </w:t>
            </w:r>
          </w:p>
        </w:tc>
      </w:tr>
      <w:tr w14:paraId="4B0B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789318B">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07EDA178">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12</w:t>
            </w:r>
          </w:p>
        </w:tc>
        <w:tc>
          <w:tcPr>
            <w:tcW w:w="7161" w:type="dxa"/>
            <w:vAlign w:val="center"/>
          </w:tcPr>
          <w:p w14:paraId="523C58A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对血管影像数据三维重建后血管长度的精度能达到≤±0.5mm，狭窄长度的精度能达到≤±0.5mm；直径狭窄率精度能达到≤±4%；面积狭窄率精度能达到≤±4%；最小管腔直径精度能达到≤±0.2mm；参考管腔直径精度能达到≤±0.2mm；</w:t>
            </w:r>
          </w:p>
        </w:tc>
      </w:tr>
      <w:tr w14:paraId="3C7D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F892FD5">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D55BAAC">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13</w:t>
            </w:r>
          </w:p>
        </w:tc>
        <w:tc>
          <w:tcPr>
            <w:tcW w:w="7161" w:type="dxa"/>
            <w:vAlign w:val="center"/>
          </w:tcPr>
          <w:p w14:paraId="3DC6BC4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以基于压力导丝的FFR为参考，冠脉狭窄的准确度大于95%，灵敏度大于95%；特异度大于94%，需提供相关文件资料证明； </w:t>
            </w:r>
          </w:p>
        </w:tc>
      </w:tr>
      <w:tr w14:paraId="273C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DF82902">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CDE3BA1">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14</w:t>
            </w:r>
          </w:p>
        </w:tc>
        <w:tc>
          <w:tcPr>
            <w:tcW w:w="7161" w:type="dxa"/>
            <w:vAlign w:val="center"/>
          </w:tcPr>
          <w:p w14:paraId="4A89524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以基于导丝测量的IMR为参考，微循环阻力指数的准确度大于94%，灵敏度大于92%；特异度大于95%，需提供相关文件资料证明；</w:t>
            </w:r>
          </w:p>
        </w:tc>
      </w:tr>
      <w:tr w14:paraId="255F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2864B9A">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72D1B29">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15</w:t>
            </w:r>
          </w:p>
        </w:tc>
        <w:tc>
          <w:tcPr>
            <w:tcW w:w="7161" w:type="dxa"/>
            <w:vAlign w:val="center"/>
          </w:tcPr>
          <w:p w14:paraId="44BDC9F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系统支持在每个分支血管上植入2个虚拟支架，能灵活放置、删除虚拟支架；</w:t>
            </w:r>
          </w:p>
        </w:tc>
      </w:tr>
      <w:tr w14:paraId="727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A21EE35">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FC76479">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16</w:t>
            </w:r>
          </w:p>
        </w:tc>
        <w:tc>
          <w:tcPr>
            <w:tcW w:w="7161" w:type="dxa"/>
            <w:vAlign w:val="center"/>
          </w:tcPr>
          <w:p w14:paraId="360A80F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系统支持同时在二维造影影像、三维血管模型以及狭窄血管图表中显示支架；</w:t>
            </w:r>
          </w:p>
        </w:tc>
      </w:tr>
      <w:tr w14:paraId="71F0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589E141F">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07F40270">
            <w:pPr>
              <w:keepNext w:val="0"/>
              <w:keepLines w:val="0"/>
              <w:widowControl/>
              <w:suppressLineNumbers w:val="0"/>
              <w:spacing w:line="240" w:lineRule="auto"/>
              <w:jc w:val="center"/>
              <w:textAlignment w:val="center"/>
              <w:rPr>
                <w:rFonts w:hint="default" w:ascii="宋体" w:hAnsi="宋体" w:eastAsia="宋体" w:cs="宋体"/>
                <w:b/>
                <w:sz w:val="21"/>
                <w:szCs w:val="21"/>
                <w:vertAlign w:val="baseline"/>
                <w:lang w:val="en-US" w:eastAsia="zh-Hans"/>
              </w:rPr>
            </w:pPr>
            <w:r>
              <w:rPr>
                <w:rFonts w:hint="eastAsia" w:ascii="宋体" w:hAnsi="宋体" w:eastAsia="宋体" w:cs="宋体"/>
                <w:i w:val="0"/>
                <w:iCs w:val="0"/>
                <w:color w:val="000000"/>
                <w:kern w:val="0"/>
                <w:sz w:val="21"/>
                <w:szCs w:val="21"/>
                <w:u w:val="none"/>
                <w:lang w:val="en-US" w:eastAsia="zh-CN" w:bidi="ar"/>
              </w:rPr>
              <w:t>17</w:t>
            </w:r>
          </w:p>
        </w:tc>
        <w:tc>
          <w:tcPr>
            <w:tcW w:w="7161" w:type="dxa"/>
            <w:vAlign w:val="center"/>
          </w:tcPr>
          <w:p w14:paraId="3A87EA0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系统支持灵活调节虚拟支架长度以及落脚点，实时显示残余血流储备分数随支架调节的更新结果；</w:t>
            </w:r>
          </w:p>
        </w:tc>
      </w:tr>
      <w:tr w14:paraId="44A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A69085C">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790041D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7161" w:type="dxa"/>
            <w:vAlign w:val="center"/>
          </w:tcPr>
          <w:p w14:paraId="1C2E427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具备心脏左心室分析的功能，自动计算输出功能参数，包括舒张末期容积EDV、收缩末期容积ESV、射血分数EF、每搏输出量SV；</w:t>
            </w:r>
          </w:p>
        </w:tc>
      </w:tr>
      <w:tr w14:paraId="135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335A1F8E">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AAF177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161" w:type="dxa"/>
            <w:shd w:val="clear" w:color="auto" w:fill="auto"/>
            <w:vAlign w:val="center"/>
          </w:tcPr>
          <w:p w14:paraId="0B34241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4C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3DBF01A">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EB805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161" w:type="dxa"/>
            <w:shd w:val="clear" w:color="auto" w:fill="auto"/>
            <w:vAlign w:val="center"/>
          </w:tcPr>
          <w:p w14:paraId="475A941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223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804D617">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36A839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161" w:type="dxa"/>
            <w:shd w:val="clear" w:color="auto" w:fill="auto"/>
            <w:vAlign w:val="center"/>
          </w:tcPr>
          <w:p w14:paraId="2E08F35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CA9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0D7A2636">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25BE04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161" w:type="dxa"/>
            <w:shd w:val="clear" w:color="auto" w:fill="auto"/>
            <w:vAlign w:val="center"/>
          </w:tcPr>
          <w:p w14:paraId="373B1BE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176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2E56BC1">
            <w:pPr>
              <w:widowControl/>
              <w:spacing w:line="240" w:lineRule="auto"/>
              <w:jc w:val="center"/>
              <w:rPr>
                <w:rFonts w:hint="eastAsia" w:ascii="宋体" w:hAnsi="宋体" w:eastAsia="宋体" w:cs="宋体"/>
                <w:kern w:val="0"/>
                <w:sz w:val="21"/>
                <w:szCs w:val="21"/>
                <w:lang w:val="en-US" w:eastAsia="zh-Hans" w:bidi="lo-LA"/>
              </w:rPr>
            </w:pPr>
          </w:p>
        </w:tc>
        <w:tc>
          <w:tcPr>
            <w:tcW w:w="825" w:type="dxa"/>
            <w:shd w:val="clear" w:color="auto" w:fill="auto"/>
            <w:vAlign w:val="center"/>
          </w:tcPr>
          <w:p w14:paraId="60CB7AD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161" w:type="dxa"/>
            <w:shd w:val="clear" w:color="auto" w:fill="auto"/>
            <w:vAlign w:val="center"/>
          </w:tcPr>
          <w:p w14:paraId="0CA0717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759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8" w:type="dxa"/>
            <w:gridSpan w:val="3"/>
            <w:vAlign w:val="center"/>
          </w:tcPr>
          <w:p w14:paraId="43BEFE6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919895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7720</Words>
  <Characters>8804</Characters>
  <Lines>0</Lines>
  <Paragraphs>0</Paragraphs>
  <TotalTime>0</TotalTime>
  <ScaleCrop>false</ScaleCrop>
  <LinksUpToDate>false</LinksUpToDate>
  <CharactersWithSpaces>9348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2026-06-05T07:37:31Z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FB32075759A94CD2A586871B51CE9252_13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