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bookmarkStart w:id="2" w:name="_GoBack"/>
      <w:r>
        <w:rPr>
          <w:rFonts w:hint="eastAsia" w:ascii="宋体" w:hAnsi="宋体" w:eastAsia="宋体" w:cs="宋体"/>
          <w:b/>
          <w:i w:val="0"/>
          <w:caps/>
          <w:color w:val="333333"/>
          <w:spacing w:val="0"/>
          <w:sz w:val="36"/>
          <w:szCs w:val="36"/>
          <w:lang w:val="en-US" w:eastAsia="zh-CN"/>
        </w:rPr>
        <w:t>臭氧水疗仪等项目</w:t>
      </w:r>
    </w:p>
    <w:bookmarkEnd w:id="2"/>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1459" w:tblpY="516"/>
        <w:tblOverlap w:val="never"/>
        <w:tblW w:w="96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5"/>
        <w:gridCol w:w="641"/>
        <w:gridCol w:w="3224"/>
        <w:gridCol w:w="1024"/>
        <w:gridCol w:w="921"/>
        <w:gridCol w:w="1650"/>
        <w:gridCol w:w="1636"/>
      </w:tblGrid>
      <w:tr w14:paraId="1C03E5A9">
        <w:tblPrEx>
          <w:tblCellMar>
            <w:top w:w="0" w:type="dxa"/>
            <w:left w:w="108" w:type="dxa"/>
            <w:bottom w:w="0" w:type="dxa"/>
            <w:right w:w="108" w:type="dxa"/>
          </w:tblCellMar>
        </w:tblPrEx>
        <w:trPr>
          <w:trHeight w:val="598" w:hRule="atLeast"/>
        </w:trPr>
        <w:tc>
          <w:tcPr>
            <w:tcW w:w="1206" w:type="dxa"/>
            <w:gridSpan w:val="2"/>
            <w:vAlign w:val="center"/>
          </w:tcPr>
          <w:p w14:paraId="1B1454F4">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224" w:type="dxa"/>
            <w:vAlign w:val="center"/>
          </w:tcPr>
          <w:p w14:paraId="327C6E0D">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024" w:type="dxa"/>
            <w:vAlign w:val="center"/>
          </w:tcPr>
          <w:p w14:paraId="4904916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21" w:type="dxa"/>
            <w:vAlign w:val="center"/>
          </w:tcPr>
          <w:p w14:paraId="460473F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42D58F0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7E703DF6">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695C8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65" w:type="dxa"/>
            <w:vMerge w:val="restart"/>
            <w:vAlign w:val="center"/>
          </w:tcPr>
          <w:p w14:paraId="078BD661">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41" w:type="dxa"/>
            <w:vAlign w:val="center"/>
          </w:tcPr>
          <w:p w14:paraId="4312E36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①</w:t>
            </w:r>
          </w:p>
        </w:tc>
        <w:tc>
          <w:tcPr>
            <w:tcW w:w="3224" w:type="dxa"/>
            <w:vAlign w:val="center"/>
          </w:tcPr>
          <w:p w14:paraId="6C0ADC7C">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臭氧水疗仪</w:t>
            </w:r>
          </w:p>
        </w:tc>
        <w:tc>
          <w:tcPr>
            <w:tcW w:w="1024" w:type="dxa"/>
            <w:vAlign w:val="center"/>
          </w:tcPr>
          <w:p w14:paraId="13BB841C">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04745AC6">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1219FF5B">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450000</w:t>
            </w:r>
          </w:p>
        </w:tc>
        <w:tc>
          <w:tcPr>
            <w:tcW w:w="1636" w:type="dxa"/>
            <w:vAlign w:val="center"/>
          </w:tcPr>
          <w:p w14:paraId="7A746339">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450000</w:t>
            </w:r>
          </w:p>
        </w:tc>
      </w:tr>
      <w:tr w14:paraId="0C012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565" w:type="dxa"/>
            <w:vMerge w:val="continue"/>
            <w:vAlign w:val="center"/>
          </w:tcPr>
          <w:p w14:paraId="163460F6">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28CD6FB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②</w:t>
            </w:r>
          </w:p>
        </w:tc>
        <w:tc>
          <w:tcPr>
            <w:tcW w:w="3224" w:type="dxa"/>
            <w:vAlign w:val="center"/>
          </w:tcPr>
          <w:p w14:paraId="3750BB27">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红外辐照治疗装置</w:t>
            </w:r>
          </w:p>
        </w:tc>
        <w:tc>
          <w:tcPr>
            <w:tcW w:w="1024" w:type="dxa"/>
            <w:vAlign w:val="center"/>
          </w:tcPr>
          <w:p w14:paraId="4FB445A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5B4EC7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110D41E6">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250000</w:t>
            </w:r>
          </w:p>
        </w:tc>
        <w:tc>
          <w:tcPr>
            <w:tcW w:w="1636" w:type="dxa"/>
            <w:vAlign w:val="center"/>
          </w:tcPr>
          <w:p w14:paraId="153CB2B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250000</w:t>
            </w:r>
          </w:p>
        </w:tc>
      </w:tr>
      <w:tr w14:paraId="75308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565" w:type="dxa"/>
            <w:vAlign w:val="center"/>
          </w:tcPr>
          <w:p w14:paraId="690EB858">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7BA896E9">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p>
        </w:tc>
        <w:tc>
          <w:tcPr>
            <w:tcW w:w="6819" w:type="dxa"/>
            <w:gridSpan w:val="4"/>
            <w:vAlign w:val="center"/>
          </w:tcPr>
          <w:p w14:paraId="45E79193">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4C4C74C1">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7000</w:t>
            </w:r>
            <w:r>
              <w:rPr>
                <w:rFonts w:hint="default" w:ascii="宋体" w:hAnsi="宋体" w:eastAsia="宋体" w:cs="宋体"/>
                <w:kern w:val="0"/>
                <w:sz w:val="28"/>
                <w:szCs w:val="28"/>
                <w:lang w:val="en-US" w:eastAsia="zh-CN"/>
              </w:rPr>
              <w:t>00</w:t>
            </w:r>
          </w:p>
        </w:tc>
      </w:tr>
      <w:tr w14:paraId="6636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206" w:type="dxa"/>
            <w:gridSpan w:val="2"/>
            <w:vAlign w:val="center"/>
          </w:tcPr>
          <w:p w14:paraId="1FC6ADD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224" w:type="dxa"/>
            <w:vAlign w:val="center"/>
          </w:tcPr>
          <w:p w14:paraId="3F2BA62D">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231" w:type="dxa"/>
            <w:gridSpan w:val="4"/>
            <w:vAlign w:val="center"/>
          </w:tcPr>
          <w:p w14:paraId="72D0C051">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186B6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206" w:type="dxa"/>
            <w:gridSpan w:val="2"/>
            <w:vAlign w:val="center"/>
          </w:tcPr>
          <w:p w14:paraId="34FCE4E2">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224" w:type="dxa"/>
            <w:vAlign w:val="center"/>
          </w:tcPr>
          <w:p w14:paraId="27941D53">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231" w:type="dxa"/>
            <w:gridSpan w:val="4"/>
            <w:vAlign w:val="center"/>
          </w:tcPr>
          <w:p w14:paraId="41667348">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3A53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1206" w:type="dxa"/>
            <w:gridSpan w:val="2"/>
            <w:vAlign w:val="center"/>
          </w:tcPr>
          <w:p w14:paraId="0EDF4844">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224" w:type="dxa"/>
            <w:vAlign w:val="center"/>
          </w:tcPr>
          <w:p w14:paraId="33689801">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231" w:type="dxa"/>
            <w:gridSpan w:val="4"/>
            <w:vAlign w:val="center"/>
          </w:tcPr>
          <w:p w14:paraId="225D43D9">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7CC69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206" w:type="dxa"/>
            <w:gridSpan w:val="2"/>
            <w:vAlign w:val="center"/>
          </w:tcPr>
          <w:p w14:paraId="4FEFC851">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224" w:type="dxa"/>
            <w:vAlign w:val="center"/>
          </w:tcPr>
          <w:p w14:paraId="1D4A58B0">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231" w:type="dxa"/>
            <w:gridSpan w:val="4"/>
            <w:vAlign w:val="center"/>
          </w:tcPr>
          <w:p w14:paraId="141D6AFD">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本项目包含1台臭氧水疗仪，用于辅助治疗多种皮肤感染性疾病和炎症性疾病的清洁、消毒和促进创面愈合；1台红外辐照治疗装置，用于照射头面部等部位的皮肤相关疾病治疗。</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333CC1D2">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eastAsia" w:ascii="宋体" w:hAnsi="宋体" w:eastAsia="宋体" w:cs="宋体"/>
          <w:kern w:val="0"/>
          <w:sz w:val="24"/>
          <w:szCs w:val="24"/>
          <w:lang w:val="en-US" w:eastAsia="zh-CN"/>
        </w:rPr>
        <w:t>臭氧水疗仪</w:t>
      </w:r>
    </w:p>
    <w:tbl>
      <w:tblPr>
        <w:tblStyle w:val="11"/>
        <w:tblW w:w="8580" w:type="dxa"/>
        <w:jc w:val="center"/>
        <w:tblLayout w:type="fixed"/>
        <w:tblCellMar>
          <w:top w:w="0" w:type="dxa"/>
          <w:left w:w="108" w:type="dxa"/>
          <w:bottom w:w="0" w:type="dxa"/>
          <w:right w:w="108" w:type="dxa"/>
        </w:tblCellMar>
      </w:tblPr>
      <w:tblGrid>
        <w:gridCol w:w="687"/>
        <w:gridCol w:w="744"/>
        <w:gridCol w:w="7149"/>
      </w:tblGrid>
      <w:tr w14:paraId="65F3C889">
        <w:tblPrEx>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4EED2EA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44" w:type="dxa"/>
            <w:tcBorders>
              <w:top w:val="single" w:color="auto" w:sz="4" w:space="0"/>
              <w:left w:val="nil"/>
              <w:bottom w:val="single" w:color="auto" w:sz="4" w:space="0"/>
              <w:right w:val="single" w:color="auto" w:sz="4" w:space="0"/>
            </w:tcBorders>
            <w:vAlign w:val="center"/>
          </w:tcPr>
          <w:p w14:paraId="6F865A3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149" w:type="dxa"/>
            <w:tcBorders>
              <w:top w:val="single" w:color="auto" w:sz="4" w:space="0"/>
              <w:left w:val="nil"/>
              <w:bottom w:val="single" w:color="auto" w:sz="4" w:space="0"/>
              <w:right w:val="single" w:color="auto" w:sz="4" w:space="0"/>
            </w:tcBorders>
            <w:vAlign w:val="center"/>
          </w:tcPr>
          <w:p w14:paraId="1AB1242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978C055">
        <w:tblPrEx>
          <w:tblCellMar>
            <w:top w:w="0" w:type="dxa"/>
            <w:left w:w="108" w:type="dxa"/>
            <w:bottom w:w="0" w:type="dxa"/>
            <w:right w:w="108" w:type="dxa"/>
          </w:tblCellMar>
        </w:tblPrEx>
        <w:trPr>
          <w:trHeight w:val="246"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75339678">
            <w:pPr>
              <w:widowControl/>
              <w:spacing w:line="240" w:lineRule="auto"/>
              <w:jc w:val="center"/>
              <w:rPr>
                <w:rFonts w:hint="eastAsia" w:ascii="宋体" w:hAnsi="宋体" w:eastAsia="宋体" w:cs="宋体"/>
                <w:kern w:val="0"/>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29FB3D6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149" w:type="dxa"/>
            <w:tcBorders>
              <w:top w:val="single" w:color="auto" w:sz="4" w:space="0"/>
              <w:left w:val="nil"/>
              <w:bottom w:val="single" w:color="auto" w:sz="4" w:space="0"/>
              <w:right w:val="single" w:color="auto" w:sz="4" w:space="0"/>
            </w:tcBorders>
            <w:shd w:val="clear" w:color="auto" w:fill="auto"/>
            <w:vAlign w:val="center"/>
          </w:tcPr>
          <w:p w14:paraId="42B40F1D">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通过保险丝实现电源过流保护功能。</w:t>
            </w:r>
          </w:p>
        </w:tc>
      </w:tr>
      <w:tr w14:paraId="453717F4">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0DA2DEA2">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3C40EBD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149" w:type="dxa"/>
            <w:tcBorders>
              <w:top w:val="single" w:color="auto" w:sz="4" w:space="0"/>
              <w:left w:val="nil"/>
              <w:bottom w:val="single" w:color="auto" w:sz="4" w:space="0"/>
              <w:right w:val="single" w:color="auto" w:sz="4" w:space="0"/>
            </w:tcBorders>
            <w:shd w:val="clear" w:color="auto" w:fill="auto"/>
            <w:vAlign w:val="center"/>
          </w:tcPr>
          <w:p w14:paraId="51482E3D">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具备防漏电保护装置，应采用水电分离设计。</w:t>
            </w:r>
          </w:p>
        </w:tc>
      </w:tr>
      <w:tr w14:paraId="2BA85093">
        <w:tblPrEx>
          <w:tblCellMar>
            <w:top w:w="0" w:type="dxa"/>
            <w:left w:w="108" w:type="dxa"/>
            <w:bottom w:w="0" w:type="dxa"/>
            <w:right w:w="108" w:type="dxa"/>
          </w:tblCellMar>
        </w:tblPrEx>
        <w:trPr>
          <w:trHeight w:val="476"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3A1F2408">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7D3940F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149" w:type="dxa"/>
            <w:tcBorders>
              <w:top w:val="single" w:color="auto" w:sz="4" w:space="0"/>
              <w:left w:val="nil"/>
              <w:bottom w:val="single" w:color="auto" w:sz="4" w:space="0"/>
              <w:right w:val="single" w:color="auto" w:sz="4" w:space="0"/>
            </w:tcBorders>
            <w:shd w:val="clear" w:color="auto" w:fill="auto"/>
            <w:vAlign w:val="center"/>
          </w:tcPr>
          <w:p w14:paraId="36BD546D">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供水源：使用国标标准自来水，无需前置净化器，无需废水槽装置，臭氧气体制备全过程无需使用纯化水或去离子水。</w:t>
            </w:r>
          </w:p>
        </w:tc>
      </w:tr>
      <w:tr w14:paraId="3E70FACA">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7526F3F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44" w:type="dxa"/>
            <w:tcBorders>
              <w:top w:val="single" w:color="auto" w:sz="4" w:space="0"/>
              <w:left w:val="nil"/>
              <w:bottom w:val="single" w:color="auto" w:sz="4" w:space="0"/>
              <w:right w:val="single" w:color="auto" w:sz="4" w:space="0"/>
            </w:tcBorders>
            <w:vAlign w:val="center"/>
          </w:tcPr>
          <w:p w14:paraId="307DA4C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149" w:type="dxa"/>
            <w:tcBorders>
              <w:top w:val="single" w:color="auto" w:sz="4" w:space="0"/>
              <w:left w:val="nil"/>
              <w:bottom w:val="single" w:color="auto" w:sz="4" w:space="0"/>
              <w:right w:val="single" w:color="auto" w:sz="4" w:space="0"/>
            </w:tcBorders>
            <w:shd w:val="clear" w:color="auto" w:fill="auto"/>
            <w:vAlign w:val="center"/>
          </w:tcPr>
          <w:p w14:paraId="3DB67C70">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内置氧气源生成装置。</w:t>
            </w:r>
          </w:p>
        </w:tc>
      </w:tr>
      <w:tr w14:paraId="4B170D7B">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1BAA446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44" w:type="dxa"/>
            <w:tcBorders>
              <w:top w:val="single" w:color="auto" w:sz="4" w:space="0"/>
              <w:left w:val="nil"/>
              <w:bottom w:val="single" w:color="auto" w:sz="4" w:space="0"/>
              <w:right w:val="single" w:color="auto" w:sz="4" w:space="0"/>
            </w:tcBorders>
            <w:vAlign w:val="center"/>
          </w:tcPr>
          <w:p w14:paraId="5FBB93C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149" w:type="dxa"/>
            <w:tcBorders>
              <w:top w:val="single" w:color="auto" w:sz="4" w:space="0"/>
              <w:left w:val="nil"/>
              <w:bottom w:val="single" w:color="auto" w:sz="4" w:space="0"/>
              <w:right w:val="single" w:color="auto" w:sz="4" w:space="0"/>
            </w:tcBorders>
            <w:shd w:val="clear" w:color="auto" w:fill="auto"/>
            <w:vAlign w:val="center"/>
          </w:tcPr>
          <w:p w14:paraId="3FD253C4">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内置臭氧气体发生器。</w:t>
            </w:r>
          </w:p>
        </w:tc>
      </w:tr>
      <w:tr w14:paraId="29C5AAD2">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4DDCDD3D">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53B3108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149" w:type="dxa"/>
            <w:tcBorders>
              <w:top w:val="single" w:color="auto" w:sz="4" w:space="0"/>
              <w:left w:val="nil"/>
              <w:bottom w:val="single" w:color="auto" w:sz="4" w:space="0"/>
              <w:right w:val="single" w:color="auto" w:sz="4" w:space="0"/>
            </w:tcBorders>
            <w:shd w:val="clear" w:color="auto" w:fill="auto"/>
            <w:vAlign w:val="center"/>
          </w:tcPr>
          <w:p w14:paraId="60260F4C">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内置循环式臭氧水生成装置：臭氧气体和外接水通过文丘里式射流器混合生成适宜治疗效果浓度的臭氧水。</w:t>
            </w:r>
          </w:p>
        </w:tc>
      </w:tr>
      <w:tr w14:paraId="6A140479">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6B3F145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44" w:type="dxa"/>
            <w:tcBorders>
              <w:top w:val="single" w:color="auto" w:sz="4" w:space="0"/>
              <w:left w:val="nil"/>
              <w:bottom w:val="single" w:color="auto" w:sz="4" w:space="0"/>
              <w:right w:val="single" w:color="auto" w:sz="4" w:space="0"/>
            </w:tcBorders>
            <w:vAlign w:val="center"/>
          </w:tcPr>
          <w:p w14:paraId="1C66E3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149" w:type="dxa"/>
            <w:tcBorders>
              <w:top w:val="single" w:color="auto" w:sz="4" w:space="0"/>
              <w:left w:val="nil"/>
              <w:bottom w:val="single" w:color="auto" w:sz="4" w:space="0"/>
              <w:right w:val="single" w:color="auto" w:sz="4" w:space="0"/>
            </w:tcBorders>
            <w:vAlign w:val="center"/>
          </w:tcPr>
          <w:p w14:paraId="11668252">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应采用微电脑控制自动合成治疗液及自动控制治疗液浓度，输出臭氧水浓度应达到最低有效浓度与最高安全浓度之间：1.0mg/L～7.5mg/L（水温43℃时）。</w:t>
            </w:r>
          </w:p>
        </w:tc>
      </w:tr>
      <w:tr w14:paraId="3E9C0D7E">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75D2934C">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4F99FE0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149" w:type="dxa"/>
            <w:tcBorders>
              <w:top w:val="single" w:color="auto" w:sz="4" w:space="0"/>
              <w:left w:val="nil"/>
              <w:bottom w:val="single" w:color="auto" w:sz="4" w:space="0"/>
              <w:right w:val="single" w:color="auto" w:sz="4" w:space="0"/>
            </w:tcBorders>
            <w:vAlign w:val="center"/>
          </w:tcPr>
          <w:p w14:paraId="02E62193">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内置臭氧水浓度检测单元可以实时监测和显示，臭氧水浓度高于7.5mg/L或者低于1.0mg/L，设备超限提示并停止运行。</w:t>
            </w:r>
          </w:p>
        </w:tc>
      </w:tr>
      <w:tr w14:paraId="5994B2B0">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27A2796E">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4DECB02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149" w:type="dxa"/>
            <w:tcBorders>
              <w:top w:val="single" w:color="auto" w:sz="4" w:space="0"/>
              <w:left w:val="nil"/>
              <w:bottom w:val="single" w:color="auto" w:sz="4" w:space="0"/>
              <w:right w:val="single" w:color="auto" w:sz="4" w:space="0"/>
            </w:tcBorders>
            <w:vAlign w:val="center"/>
          </w:tcPr>
          <w:p w14:paraId="4C9F27A7">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具备臭氧水治疗浓度模式设置功能，可设置两个档位，一个是1.0mg/L～4.5mg/L，另一个是4.5mg/L-7.5mg/L。</w:t>
            </w:r>
          </w:p>
        </w:tc>
      </w:tr>
      <w:tr w14:paraId="4E1FAC3C">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69B28C7C">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71B92AF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10</w:t>
            </w:r>
          </w:p>
        </w:tc>
        <w:tc>
          <w:tcPr>
            <w:tcW w:w="7149" w:type="dxa"/>
            <w:tcBorders>
              <w:top w:val="single" w:color="auto" w:sz="4" w:space="0"/>
              <w:left w:val="nil"/>
              <w:bottom w:val="single" w:color="auto" w:sz="4" w:space="0"/>
              <w:right w:val="single" w:color="auto" w:sz="4" w:space="0"/>
            </w:tcBorders>
            <w:vAlign w:val="center"/>
          </w:tcPr>
          <w:p w14:paraId="0DB05AF7">
            <w:pPr>
              <w:widowControl/>
              <w:numPr>
                <w:ilvl w:val="0"/>
                <w:numId w:val="0"/>
              </w:numPr>
              <w:spacing w:line="24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内置臭氧尾气回收处理结构的医用臭氧水生产装置，臭氧泄漏量≤0.15mg/m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lang w:val="en-US" w:eastAsia="zh-CN"/>
              </w:rPr>
              <w:t>，符合国家标准。</w:t>
            </w:r>
          </w:p>
        </w:tc>
      </w:tr>
      <w:tr w14:paraId="1FC09F91">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0E767D31">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6309AD4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149" w:type="dxa"/>
            <w:tcBorders>
              <w:top w:val="single" w:color="auto" w:sz="4" w:space="0"/>
              <w:left w:val="nil"/>
              <w:bottom w:val="single" w:color="auto" w:sz="4" w:space="0"/>
              <w:right w:val="single" w:color="auto" w:sz="4" w:space="0"/>
            </w:tcBorders>
            <w:vAlign w:val="center"/>
          </w:tcPr>
          <w:p w14:paraId="7B0B75B5">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臭氧水治疗液应具备双输出通道，可多人治疗，开机后管路能够自动消毒。</w:t>
            </w:r>
          </w:p>
        </w:tc>
      </w:tr>
      <w:tr w14:paraId="68072542">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217D5AB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44" w:type="dxa"/>
            <w:tcBorders>
              <w:top w:val="single" w:color="auto" w:sz="4" w:space="0"/>
              <w:left w:val="nil"/>
              <w:bottom w:val="single" w:color="auto" w:sz="4" w:space="0"/>
              <w:right w:val="single" w:color="auto" w:sz="4" w:space="0"/>
            </w:tcBorders>
            <w:vAlign w:val="center"/>
          </w:tcPr>
          <w:p w14:paraId="1C42840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12</w:t>
            </w:r>
          </w:p>
        </w:tc>
        <w:tc>
          <w:tcPr>
            <w:tcW w:w="7149" w:type="dxa"/>
            <w:tcBorders>
              <w:top w:val="single" w:color="auto" w:sz="4" w:space="0"/>
              <w:left w:val="nil"/>
              <w:bottom w:val="single" w:color="auto" w:sz="4" w:space="0"/>
              <w:right w:val="single" w:color="auto" w:sz="4" w:space="0"/>
            </w:tcBorders>
            <w:vAlign w:val="center"/>
          </w:tcPr>
          <w:p w14:paraId="4360021D">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臭氧水治疗液输出总量（非自来水）≥10000ml/min，每个输出通道的输出流量≥5000ml/min。</w:t>
            </w:r>
          </w:p>
        </w:tc>
      </w:tr>
      <w:tr w14:paraId="1C49B1A5">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60BB23B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44" w:type="dxa"/>
            <w:tcBorders>
              <w:top w:val="single" w:color="auto" w:sz="4" w:space="0"/>
              <w:left w:val="nil"/>
              <w:bottom w:val="single" w:color="auto" w:sz="4" w:space="0"/>
              <w:right w:val="single" w:color="auto" w:sz="4" w:space="0"/>
            </w:tcBorders>
            <w:vAlign w:val="center"/>
          </w:tcPr>
          <w:p w14:paraId="68EECB6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13</w:t>
            </w:r>
          </w:p>
        </w:tc>
        <w:tc>
          <w:tcPr>
            <w:tcW w:w="7149" w:type="dxa"/>
            <w:tcBorders>
              <w:top w:val="single" w:color="auto" w:sz="4" w:space="0"/>
              <w:left w:val="nil"/>
              <w:bottom w:val="single" w:color="auto" w:sz="4" w:space="0"/>
              <w:right w:val="single" w:color="auto" w:sz="4" w:space="0"/>
            </w:tcBorders>
            <w:vAlign w:val="center"/>
          </w:tcPr>
          <w:p w14:paraId="50FB7A8E">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设备配置≥10英寸触摸显示液晶屏。</w:t>
            </w:r>
          </w:p>
        </w:tc>
      </w:tr>
      <w:tr w14:paraId="71A77B8B">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7BBD1700">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647214B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14</w:t>
            </w:r>
          </w:p>
        </w:tc>
        <w:tc>
          <w:tcPr>
            <w:tcW w:w="7149" w:type="dxa"/>
            <w:tcBorders>
              <w:top w:val="single" w:color="auto" w:sz="4" w:space="0"/>
              <w:left w:val="nil"/>
              <w:bottom w:val="single" w:color="auto" w:sz="4" w:space="0"/>
              <w:right w:val="single" w:color="auto" w:sz="4" w:space="0"/>
            </w:tcBorders>
            <w:vAlign w:val="center"/>
          </w:tcPr>
          <w:p w14:paraId="1EC47799">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臭氧水输出流量大小至少5档自行调节。</w:t>
            </w:r>
          </w:p>
        </w:tc>
      </w:tr>
      <w:tr w14:paraId="745ED741">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4BB36D3F">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5D03A14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15</w:t>
            </w:r>
          </w:p>
        </w:tc>
        <w:tc>
          <w:tcPr>
            <w:tcW w:w="7149" w:type="dxa"/>
            <w:tcBorders>
              <w:top w:val="single" w:color="auto" w:sz="4" w:space="0"/>
              <w:left w:val="nil"/>
              <w:bottom w:val="single" w:color="auto" w:sz="4" w:space="0"/>
              <w:right w:val="single" w:color="auto" w:sz="4" w:space="0"/>
            </w:tcBorders>
            <w:vAlign w:val="center"/>
          </w:tcPr>
          <w:p w14:paraId="3DF37D73">
            <w:pPr>
              <w:widowControl/>
              <w:numPr>
                <w:ilvl w:val="0"/>
                <w:numId w:val="0"/>
              </w:numPr>
              <w:spacing w:line="24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具备实时运行状态显示功能，异常提醒功能等。</w:t>
            </w:r>
          </w:p>
        </w:tc>
      </w:tr>
      <w:tr w14:paraId="19DA3165">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3971F451">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67965AE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16</w:t>
            </w:r>
          </w:p>
        </w:tc>
        <w:tc>
          <w:tcPr>
            <w:tcW w:w="7149" w:type="dxa"/>
            <w:tcBorders>
              <w:top w:val="single" w:color="auto" w:sz="4" w:space="0"/>
              <w:left w:val="nil"/>
              <w:bottom w:val="single" w:color="auto" w:sz="4" w:space="0"/>
              <w:right w:val="single" w:color="auto" w:sz="4" w:space="0"/>
            </w:tcBorders>
            <w:vAlign w:val="center"/>
          </w:tcPr>
          <w:p w14:paraId="6870404D">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具备治疗液输出实时温控显示、超温超限提示功能，当超过设定上限或者低于设定下限时，设备应有提示并停止运行。</w:t>
            </w:r>
          </w:p>
        </w:tc>
      </w:tr>
      <w:tr w14:paraId="2B730F59">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04760393">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49A3268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149" w:type="dxa"/>
            <w:tcBorders>
              <w:top w:val="single" w:color="auto" w:sz="4" w:space="0"/>
              <w:left w:val="nil"/>
              <w:bottom w:val="single" w:color="auto" w:sz="4" w:space="0"/>
              <w:right w:val="single" w:color="auto" w:sz="4" w:space="0"/>
            </w:tcBorders>
            <w:vAlign w:val="center"/>
          </w:tcPr>
          <w:p w14:paraId="5D29BF9B">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具备臭氧发生器超温提示功能，可实时显示温度，高于65℃时应有过温提示。</w:t>
            </w:r>
          </w:p>
        </w:tc>
      </w:tr>
      <w:tr w14:paraId="4B0BD509">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458C2754">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47D134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149" w:type="dxa"/>
            <w:tcBorders>
              <w:top w:val="single" w:color="auto" w:sz="4" w:space="0"/>
              <w:left w:val="nil"/>
              <w:bottom w:val="single" w:color="auto" w:sz="4" w:space="0"/>
              <w:right w:val="single" w:color="auto" w:sz="4" w:space="0"/>
            </w:tcBorders>
            <w:vAlign w:val="center"/>
          </w:tcPr>
          <w:p w14:paraId="14FB03DE">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具备设备总进水流量及单个治疗通道出水流量实时显示与检测功能。</w:t>
            </w:r>
          </w:p>
        </w:tc>
      </w:tr>
      <w:tr w14:paraId="70B46A3E">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4A8401A4">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5B81671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149" w:type="dxa"/>
            <w:tcBorders>
              <w:top w:val="single" w:color="auto" w:sz="4" w:space="0"/>
              <w:left w:val="nil"/>
              <w:bottom w:val="single" w:color="auto" w:sz="4" w:space="0"/>
              <w:right w:val="single" w:color="auto" w:sz="4" w:space="0"/>
            </w:tcBorders>
            <w:vAlign w:val="center"/>
          </w:tcPr>
          <w:p w14:paraId="71E3DBC7">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具备开机正计时功能，时间可在0-60min内设定，具备记忆储存功能。</w:t>
            </w:r>
          </w:p>
        </w:tc>
      </w:tr>
      <w:tr w14:paraId="1FC529CF">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20B000AF">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6263DC9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149" w:type="dxa"/>
            <w:tcBorders>
              <w:top w:val="single" w:color="auto" w:sz="4" w:space="0"/>
              <w:left w:val="nil"/>
              <w:bottom w:val="single" w:color="auto" w:sz="4" w:space="0"/>
              <w:right w:val="single" w:color="auto" w:sz="4" w:space="0"/>
            </w:tcBorders>
            <w:vAlign w:val="center"/>
          </w:tcPr>
          <w:p w14:paraId="131AD4AB">
            <w:pPr>
              <w:widowControl/>
              <w:numPr>
                <w:ilvl w:val="0"/>
                <w:numId w:val="0"/>
              </w:numPr>
              <w:spacing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设备噪音小于≤60dB(A) 。</w:t>
            </w:r>
          </w:p>
        </w:tc>
      </w:tr>
      <w:tr w14:paraId="7E2D772B">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3527C312">
            <w:pPr>
              <w:widowControl/>
              <w:spacing w:line="240" w:lineRule="auto"/>
              <w:jc w:val="center"/>
              <w:rPr>
                <w:rFonts w:hint="eastAsia" w:ascii="宋体" w:hAnsi="宋体" w:eastAsia="宋体" w:cs="宋体"/>
                <w:sz w:val="21"/>
                <w:szCs w:val="21"/>
                <w:lang w:bidi="lo-LA"/>
              </w:rPr>
            </w:pPr>
          </w:p>
        </w:tc>
        <w:tc>
          <w:tcPr>
            <w:tcW w:w="744" w:type="dxa"/>
            <w:tcBorders>
              <w:top w:val="single" w:color="auto" w:sz="4" w:space="0"/>
              <w:left w:val="nil"/>
              <w:bottom w:val="single" w:color="auto" w:sz="4" w:space="0"/>
              <w:right w:val="single" w:color="auto" w:sz="4" w:space="0"/>
            </w:tcBorders>
            <w:vAlign w:val="center"/>
          </w:tcPr>
          <w:p w14:paraId="27C914F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149" w:type="dxa"/>
            <w:tcBorders>
              <w:top w:val="single" w:color="auto" w:sz="4" w:space="0"/>
              <w:left w:val="nil"/>
              <w:bottom w:val="single" w:color="auto" w:sz="4" w:space="0"/>
              <w:right w:val="single" w:color="auto" w:sz="4" w:space="0"/>
            </w:tcBorders>
            <w:vAlign w:val="center"/>
          </w:tcPr>
          <w:p w14:paraId="73C432C5">
            <w:pPr>
              <w:widowControl/>
              <w:numPr>
                <w:ilvl w:val="0"/>
                <w:numId w:val="0"/>
              </w:numPr>
              <w:spacing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说明书或设备标签规定使用年限≥8年。</w:t>
            </w:r>
          </w:p>
        </w:tc>
      </w:tr>
      <w:tr w14:paraId="2200DE43">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22E1415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44" w:type="dxa"/>
            <w:tcBorders>
              <w:top w:val="single" w:color="auto" w:sz="4" w:space="0"/>
              <w:left w:val="nil"/>
              <w:bottom w:val="single" w:color="auto" w:sz="4" w:space="0"/>
              <w:right w:val="single" w:color="auto" w:sz="4" w:space="0"/>
            </w:tcBorders>
            <w:shd w:val="clear" w:color="auto" w:fill="auto"/>
            <w:vAlign w:val="center"/>
          </w:tcPr>
          <w:p w14:paraId="40529F1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149" w:type="dxa"/>
            <w:tcBorders>
              <w:top w:val="single" w:color="auto" w:sz="4" w:space="0"/>
              <w:left w:val="nil"/>
              <w:bottom w:val="single" w:color="auto" w:sz="4" w:space="0"/>
              <w:right w:val="single" w:color="auto" w:sz="4" w:space="0"/>
            </w:tcBorders>
            <w:shd w:val="clear" w:color="auto" w:fill="auto"/>
            <w:vAlign w:val="center"/>
          </w:tcPr>
          <w:p w14:paraId="38E30D07">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5F227C6">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5614FCB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44" w:type="dxa"/>
            <w:tcBorders>
              <w:top w:val="single" w:color="auto" w:sz="4" w:space="0"/>
              <w:left w:val="nil"/>
              <w:bottom w:val="single" w:color="auto" w:sz="4" w:space="0"/>
              <w:right w:val="single" w:color="auto" w:sz="4" w:space="0"/>
            </w:tcBorders>
            <w:shd w:val="clear" w:color="auto" w:fill="auto"/>
            <w:vAlign w:val="center"/>
          </w:tcPr>
          <w:p w14:paraId="24AAC8D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149" w:type="dxa"/>
            <w:tcBorders>
              <w:top w:val="single" w:color="auto" w:sz="4" w:space="0"/>
              <w:left w:val="nil"/>
              <w:bottom w:val="single" w:color="auto" w:sz="4" w:space="0"/>
              <w:right w:val="single" w:color="auto" w:sz="4" w:space="0"/>
            </w:tcBorders>
            <w:shd w:val="clear" w:color="auto" w:fill="auto"/>
            <w:vAlign w:val="center"/>
          </w:tcPr>
          <w:p w14:paraId="50D71A4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578BF6E">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4045B1F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44" w:type="dxa"/>
            <w:tcBorders>
              <w:top w:val="single" w:color="auto" w:sz="4" w:space="0"/>
              <w:left w:val="nil"/>
              <w:bottom w:val="single" w:color="auto" w:sz="4" w:space="0"/>
              <w:right w:val="single" w:color="auto" w:sz="4" w:space="0"/>
            </w:tcBorders>
            <w:shd w:val="clear" w:color="auto" w:fill="auto"/>
            <w:vAlign w:val="center"/>
          </w:tcPr>
          <w:p w14:paraId="1C44A95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149" w:type="dxa"/>
            <w:tcBorders>
              <w:top w:val="single" w:color="auto" w:sz="4" w:space="0"/>
              <w:left w:val="nil"/>
              <w:bottom w:val="single" w:color="auto" w:sz="4" w:space="0"/>
              <w:right w:val="single" w:color="auto" w:sz="4" w:space="0"/>
            </w:tcBorders>
            <w:shd w:val="clear" w:color="auto" w:fill="auto"/>
            <w:vAlign w:val="center"/>
          </w:tcPr>
          <w:p w14:paraId="64EEDD7A">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782A586">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54FBF41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44" w:type="dxa"/>
            <w:tcBorders>
              <w:top w:val="single" w:color="auto" w:sz="4" w:space="0"/>
              <w:left w:val="nil"/>
              <w:bottom w:val="single" w:color="auto" w:sz="4" w:space="0"/>
              <w:right w:val="single" w:color="auto" w:sz="4" w:space="0"/>
            </w:tcBorders>
            <w:shd w:val="clear" w:color="auto" w:fill="auto"/>
            <w:vAlign w:val="center"/>
          </w:tcPr>
          <w:p w14:paraId="370EEFC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149" w:type="dxa"/>
            <w:tcBorders>
              <w:top w:val="single" w:color="auto" w:sz="4" w:space="0"/>
              <w:left w:val="nil"/>
              <w:bottom w:val="single" w:color="auto" w:sz="4" w:space="0"/>
              <w:right w:val="single" w:color="auto" w:sz="4" w:space="0"/>
            </w:tcBorders>
            <w:shd w:val="clear" w:color="auto" w:fill="auto"/>
            <w:vAlign w:val="center"/>
          </w:tcPr>
          <w:p w14:paraId="68F4DDB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3AC9A5E">
        <w:tblPrEx>
          <w:tblCellMar>
            <w:top w:w="0" w:type="dxa"/>
            <w:left w:w="108" w:type="dxa"/>
            <w:bottom w:w="0" w:type="dxa"/>
            <w:right w:w="108" w:type="dxa"/>
          </w:tblCellMar>
        </w:tblPrEx>
        <w:trPr>
          <w:trHeight w:val="365"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3A67024E">
            <w:pPr>
              <w:widowControl/>
              <w:spacing w:line="240" w:lineRule="auto"/>
              <w:jc w:val="center"/>
              <w:rPr>
                <w:rFonts w:hint="eastAsia" w:ascii="宋体" w:hAnsi="宋体" w:eastAsia="宋体" w:cs="宋体"/>
                <w:kern w:val="0"/>
                <w:sz w:val="21"/>
                <w:szCs w:val="21"/>
                <w:lang w:val="en-US" w:eastAsia="zh-CN" w:bidi="lo-LA"/>
              </w:rPr>
            </w:pPr>
          </w:p>
        </w:tc>
        <w:tc>
          <w:tcPr>
            <w:tcW w:w="744" w:type="dxa"/>
            <w:tcBorders>
              <w:top w:val="single" w:color="auto" w:sz="4" w:space="0"/>
              <w:left w:val="nil"/>
              <w:bottom w:val="single" w:color="auto" w:sz="4" w:space="0"/>
              <w:right w:val="single" w:color="auto" w:sz="4" w:space="0"/>
            </w:tcBorders>
            <w:shd w:val="clear" w:color="auto" w:fill="auto"/>
            <w:vAlign w:val="center"/>
          </w:tcPr>
          <w:p w14:paraId="01D20CE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149" w:type="dxa"/>
            <w:tcBorders>
              <w:top w:val="single" w:color="auto" w:sz="4" w:space="0"/>
              <w:left w:val="nil"/>
              <w:bottom w:val="single" w:color="auto" w:sz="4" w:space="0"/>
              <w:right w:val="single" w:color="auto" w:sz="4" w:space="0"/>
            </w:tcBorders>
            <w:shd w:val="clear" w:color="auto" w:fill="auto"/>
            <w:vAlign w:val="center"/>
          </w:tcPr>
          <w:p w14:paraId="3BB32731">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D77BA58">
        <w:tblPrEx>
          <w:tblCellMar>
            <w:top w:w="0" w:type="dxa"/>
            <w:left w:w="108" w:type="dxa"/>
            <w:bottom w:w="0" w:type="dxa"/>
            <w:right w:w="108" w:type="dxa"/>
          </w:tblCellMar>
        </w:tblPrEx>
        <w:trPr>
          <w:trHeight w:val="365" w:hRule="atLeast"/>
          <w:jc w:val="center"/>
        </w:trPr>
        <w:tc>
          <w:tcPr>
            <w:tcW w:w="8580" w:type="dxa"/>
            <w:gridSpan w:val="3"/>
            <w:tcBorders>
              <w:top w:val="single" w:color="auto" w:sz="4" w:space="0"/>
              <w:left w:val="single" w:color="auto" w:sz="4" w:space="0"/>
              <w:bottom w:val="single" w:color="auto" w:sz="4" w:space="0"/>
              <w:right w:val="single" w:color="auto" w:sz="4" w:space="0"/>
            </w:tcBorders>
            <w:vAlign w:val="center"/>
          </w:tcPr>
          <w:p w14:paraId="7ADE9863">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1.“参数性质”标“★”表示此参数为主要技术参数，任意一条不满足或负偏离则导致响应无效；2.非标“★”项，超过2项不满足或负偏离则导致响应无效。</w:t>
            </w:r>
          </w:p>
        </w:tc>
      </w:tr>
    </w:tbl>
    <w:p w14:paraId="30DF9F86">
      <w:pPr>
        <w:spacing w:line="360" w:lineRule="auto"/>
        <w:jc w:val="left"/>
        <w:rPr>
          <w:rFonts w:hint="eastAsia" w:ascii="宋体" w:hAnsi="宋体" w:eastAsia="宋体" w:cs="宋体"/>
          <w:kern w:val="0"/>
          <w:sz w:val="24"/>
          <w:szCs w:val="24"/>
          <w:lang w:val="en-US" w:eastAsia="zh-CN"/>
        </w:rPr>
      </w:pPr>
    </w:p>
    <w:p w14:paraId="39154326">
      <w:pPr>
        <w:spacing w:line="360" w:lineRule="auto"/>
        <w:jc w:val="left"/>
        <w:rPr>
          <w:rFonts w:hint="eastAsia" w:ascii="宋体" w:hAnsi="宋体" w:eastAsia="宋体" w:cs="宋体"/>
          <w:kern w:val="0"/>
          <w:sz w:val="24"/>
          <w:szCs w:val="24"/>
          <w:lang w:val="en-US" w:eastAsia="zh-CN"/>
        </w:rPr>
      </w:pPr>
    </w:p>
    <w:p w14:paraId="5068574C">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2.红外辐照治疗装置</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64733695">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6D5243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F89D95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30BDF42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70709CB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0CCE1B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FB199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1212A5D5">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设备用途：用于红外线医疗辐照治疗，促进伤口愈合。</w:t>
            </w:r>
          </w:p>
        </w:tc>
      </w:tr>
      <w:tr w14:paraId="76EBB01F">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3CEEA9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40A70B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3F929F07">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适用部位：软组织、肌纤维组织等。</w:t>
            </w:r>
          </w:p>
        </w:tc>
      </w:tr>
      <w:tr w14:paraId="275E9609">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130626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83D405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10DA7246">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治疗光源：卤素光源。</w:t>
            </w:r>
          </w:p>
        </w:tc>
      </w:tr>
      <w:tr w14:paraId="5385926F">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70D6F1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196CC0D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7C2FDEDC">
            <w:pPr>
              <w:pStyle w:val="5"/>
              <w:spacing w:line="240" w:lineRule="auto"/>
              <w:jc w:val="both"/>
              <w:rPr>
                <w:rFonts w:hint="default"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输出功率≥770W，提供带有CMA/CNAS标志，或具有CMA/CNAS证书第三方检测机构的检测报告复印件并加盖投标人公章加以佐证。</w:t>
            </w:r>
          </w:p>
        </w:tc>
      </w:tr>
      <w:tr w14:paraId="6085B662">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052598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241CA7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41010E13">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输出方式：连续输出。</w:t>
            </w:r>
          </w:p>
        </w:tc>
      </w:tr>
      <w:tr w14:paraId="61689C9C">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023866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5DE84CF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33DDDCB3">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有效光谱波长范围：590-1400nm；波长峰值：900-1100nm。</w:t>
            </w:r>
          </w:p>
        </w:tc>
      </w:tr>
      <w:tr w14:paraId="3AFF74C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9F9F6F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846CB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144BCCE0">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照射光斑直径：≥70cm。</w:t>
            </w:r>
          </w:p>
        </w:tc>
      </w:tr>
      <w:tr w14:paraId="5A12D2AA">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B4712E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AC025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01E21A2D">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有效照射面积直径</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Hans"/>
              </w:rPr>
              <w:t>：</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≥23cm。</w:t>
            </w:r>
          </w:p>
        </w:tc>
      </w:tr>
      <w:tr w14:paraId="1C2F5DD5">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C2F739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3715F6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4F6621E6">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照射光斑面积：≥4000cm</w:t>
            </w:r>
            <w:r>
              <w:rPr>
                <w:rFonts w:hint="eastAsia" w:ascii="宋体" w:hAnsi="宋体" w:eastAsia="宋体" w:cs="宋体"/>
                <w:b w:val="0"/>
                <w:bCs w:val="0"/>
                <w:color w:val="auto"/>
                <w:spacing w:val="0"/>
                <w:w w:val="100"/>
                <w:kern w:val="2"/>
                <w:position w:val="0"/>
                <w:sz w:val="21"/>
                <w:szCs w:val="21"/>
                <w:u w:val="none" w:color="000000"/>
                <w:shd w:val="clear" w:color="auto" w:fill="auto"/>
                <w:vertAlign w:val="superscript"/>
                <w:lang w:val="en-US" w:eastAsia="zh-CN"/>
              </w:rPr>
              <w:t>2</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 xml:space="preserve">。 </w:t>
            </w:r>
          </w:p>
        </w:tc>
      </w:tr>
      <w:tr w14:paraId="5123A6D0">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6A8738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63FCD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41E6DFC7">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 xml:space="preserve">出光口面积：水滤镜有效口径≥97mm。 </w:t>
            </w:r>
          </w:p>
        </w:tc>
      </w:tr>
      <w:tr w14:paraId="7C1FEEAC">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F6F957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6C70CD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4D45717F">
            <w:pPr>
              <w:pStyle w:val="5"/>
              <w:spacing w:line="240" w:lineRule="auto"/>
              <w:jc w:val="both"/>
              <w:rPr>
                <w:rFonts w:hint="default"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Hans"/>
              </w:rPr>
              <w:t>光功率密度</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Hans"/>
              </w:rPr>
              <w:t>在出光口光功率密度</w:t>
            </w:r>
            <w:bookmarkStart w:id="0" w:name="_Hlk227596656"/>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≥3600</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Hans"/>
              </w:rPr>
              <w:t>mW/</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cm</w:t>
            </w:r>
            <w:r>
              <w:rPr>
                <w:rFonts w:hint="eastAsia" w:ascii="宋体" w:hAnsi="宋体" w:eastAsia="宋体" w:cs="宋体"/>
                <w:b w:val="0"/>
                <w:bCs w:val="0"/>
                <w:color w:val="auto"/>
                <w:spacing w:val="0"/>
                <w:w w:val="100"/>
                <w:kern w:val="2"/>
                <w:position w:val="0"/>
                <w:sz w:val="21"/>
                <w:szCs w:val="21"/>
                <w:u w:val="none" w:color="000000"/>
                <w:shd w:val="clear" w:color="auto" w:fill="auto"/>
                <w:vertAlign w:val="superscript"/>
                <w:lang w:val="en-US" w:eastAsia="zh-CN"/>
              </w:rPr>
              <w:t>2</w:t>
            </w:r>
            <w:bookmarkEnd w:id="0"/>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Hans"/>
              </w:rPr>
              <w:t>提供带有CMA或CNAS标志或具有CMA或CNAS证书的第三方检测机构的检测报告复印件加盖投标人公章</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加以佐证。</w:t>
            </w:r>
          </w:p>
        </w:tc>
      </w:tr>
      <w:tr w14:paraId="557C9767">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DD954F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59DC91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41397CFC">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在出光口32cm处</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Hans"/>
              </w:rPr>
              <w:t>辐照强度</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光</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Hans"/>
              </w:rPr>
              <w:t>功率密度</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经检测≥230mW/cm</w:t>
            </w:r>
            <w:r>
              <w:rPr>
                <w:rFonts w:hint="eastAsia" w:ascii="宋体" w:hAnsi="宋体" w:eastAsia="宋体" w:cs="宋体"/>
                <w:b w:val="0"/>
                <w:bCs w:val="0"/>
                <w:color w:val="auto"/>
                <w:spacing w:val="0"/>
                <w:w w:val="100"/>
                <w:kern w:val="2"/>
                <w:position w:val="0"/>
                <w:sz w:val="21"/>
                <w:szCs w:val="21"/>
                <w:u w:val="none" w:color="000000"/>
                <w:shd w:val="clear" w:color="auto" w:fill="auto"/>
                <w:vertAlign w:val="superscript"/>
                <w:lang w:val="en-US" w:eastAsia="zh-CN"/>
              </w:rPr>
              <w:t>2</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w:t>
            </w:r>
          </w:p>
        </w:tc>
      </w:tr>
      <w:tr w14:paraId="6B820343">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B240A5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0AD725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19083911">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Hans"/>
              </w:rPr>
              <w:t>可照射头面部</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w:t>
            </w:r>
          </w:p>
        </w:tc>
      </w:tr>
      <w:tr w14:paraId="37A259F6">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A34E2A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9E7DA4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3EAE1682">
            <w:pPr>
              <w:pStyle w:val="5"/>
              <w:spacing w:line="240" w:lineRule="auto"/>
              <w:jc w:val="both"/>
              <w:rPr>
                <w:rFonts w:hint="default"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Hans"/>
              </w:rPr>
              <w:t>治疗深度：</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≥30CM，提供带有CMA/CNAS标志或具有CMA/CNAS证书第三方检测机构的检测报告复印件并加盖投标人公章加以佐证。</w:t>
            </w:r>
          </w:p>
        </w:tc>
      </w:tr>
      <w:tr w14:paraId="10D4887A">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2E169C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A3323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7BCA0952">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湿度试验、震动试验、碰撞试验、运输试验后的辐照中心32cm处光功率密度≥225mW/cm²。</w:t>
            </w:r>
          </w:p>
        </w:tc>
      </w:tr>
      <w:tr w14:paraId="713A7BA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2FE744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06BF29F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6EBA040E">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额定工作低温试验-5℃、0℃、10℃、高温40℃，持续工作4小时光功率密度≥225mW/cm²。</w:t>
            </w:r>
          </w:p>
        </w:tc>
      </w:tr>
      <w:tr w14:paraId="428FC34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F9A23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46E81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17</w:t>
            </w:r>
          </w:p>
        </w:tc>
        <w:tc>
          <w:tcPr>
            <w:tcW w:w="7061" w:type="dxa"/>
            <w:tcBorders>
              <w:top w:val="single" w:color="auto" w:sz="4" w:space="0"/>
              <w:left w:val="nil"/>
              <w:bottom w:val="single" w:color="auto" w:sz="4" w:space="0"/>
              <w:right w:val="single" w:color="auto" w:sz="4" w:space="0"/>
            </w:tcBorders>
            <w:vAlign w:val="center"/>
          </w:tcPr>
          <w:p w14:paraId="3642FA79">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配备一体化红外水滤器，易维护。</w:t>
            </w:r>
          </w:p>
        </w:tc>
      </w:tr>
      <w:tr w14:paraId="68740514">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EA4C4D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21506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18</w:t>
            </w:r>
          </w:p>
        </w:tc>
        <w:tc>
          <w:tcPr>
            <w:tcW w:w="7061" w:type="dxa"/>
            <w:tcBorders>
              <w:top w:val="single" w:color="auto" w:sz="4" w:space="0"/>
              <w:left w:val="nil"/>
              <w:bottom w:val="single" w:color="auto" w:sz="4" w:space="0"/>
              <w:right w:val="single" w:color="auto" w:sz="4" w:space="0"/>
            </w:tcBorders>
            <w:vAlign w:val="center"/>
          </w:tcPr>
          <w:p w14:paraId="3315DAB4">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配备旋钮液晶计时器，时间设定0～60分钟可调。</w:t>
            </w:r>
          </w:p>
        </w:tc>
      </w:tr>
      <w:tr w14:paraId="2B1ABDA1">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4F86A91">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91D1B3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19</w:t>
            </w:r>
          </w:p>
        </w:tc>
        <w:tc>
          <w:tcPr>
            <w:tcW w:w="7061" w:type="dxa"/>
            <w:tcBorders>
              <w:top w:val="single" w:color="auto" w:sz="4" w:space="0"/>
              <w:left w:val="nil"/>
              <w:bottom w:val="single" w:color="auto" w:sz="4" w:space="0"/>
              <w:right w:val="single" w:color="auto" w:sz="4" w:space="0"/>
            </w:tcBorders>
            <w:vAlign w:val="center"/>
          </w:tcPr>
          <w:p w14:paraId="2CAAAF7B">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治疗主机外壳温度不超过 41℃，可持续工作≥8小时。</w:t>
            </w:r>
          </w:p>
        </w:tc>
      </w:tr>
      <w:tr w14:paraId="2E522ED2">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B72D30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16F6E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20</w:t>
            </w:r>
          </w:p>
        </w:tc>
        <w:tc>
          <w:tcPr>
            <w:tcW w:w="7061" w:type="dxa"/>
            <w:tcBorders>
              <w:top w:val="single" w:color="auto" w:sz="4" w:space="0"/>
              <w:left w:val="nil"/>
              <w:bottom w:val="single" w:color="auto" w:sz="4" w:space="0"/>
              <w:right w:val="single" w:color="auto" w:sz="4" w:space="0"/>
            </w:tcBorders>
            <w:vAlign w:val="center"/>
          </w:tcPr>
          <w:p w14:paraId="2F0A0442">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设备可显示运行总时长。</w:t>
            </w:r>
          </w:p>
        </w:tc>
      </w:tr>
      <w:tr w14:paraId="53933D14">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08E390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2E6DF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21</w:t>
            </w:r>
          </w:p>
        </w:tc>
        <w:tc>
          <w:tcPr>
            <w:tcW w:w="7061" w:type="dxa"/>
            <w:tcBorders>
              <w:top w:val="single" w:color="auto" w:sz="4" w:space="0"/>
              <w:left w:val="nil"/>
              <w:bottom w:val="single" w:color="auto" w:sz="4" w:space="0"/>
              <w:right w:val="single" w:color="auto" w:sz="4" w:space="0"/>
            </w:tcBorders>
            <w:vAlign w:val="center"/>
          </w:tcPr>
          <w:p w14:paraId="0F3DDEA6">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具备防倾倒装置，倾倒自动断电。</w:t>
            </w:r>
          </w:p>
        </w:tc>
      </w:tr>
      <w:tr w14:paraId="511A18E4">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3204EA6">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9760EC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22</w:t>
            </w:r>
          </w:p>
        </w:tc>
        <w:tc>
          <w:tcPr>
            <w:tcW w:w="7061" w:type="dxa"/>
            <w:tcBorders>
              <w:top w:val="single" w:color="auto" w:sz="4" w:space="0"/>
              <w:left w:val="nil"/>
              <w:bottom w:val="single" w:color="auto" w:sz="4" w:space="0"/>
              <w:right w:val="single" w:color="auto" w:sz="4" w:space="0"/>
            </w:tcBorders>
            <w:vAlign w:val="center"/>
          </w:tcPr>
          <w:p w14:paraId="71226F70">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定距杆长度：≥32cm。</w:t>
            </w:r>
          </w:p>
        </w:tc>
      </w:tr>
      <w:tr w14:paraId="0FB5757F">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E8ACBE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BC830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23</w:t>
            </w:r>
          </w:p>
        </w:tc>
        <w:tc>
          <w:tcPr>
            <w:tcW w:w="7061" w:type="dxa"/>
            <w:tcBorders>
              <w:top w:val="single" w:color="auto" w:sz="4" w:space="0"/>
              <w:left w:val="nil"/>
              <w:bottom w:val="single" w:color="auto" w:sz="4" w:space="0"/>
              <w:right w:val="single" w:color="auto" w:sz="4" w:space="0"/>
            </w:tcBorders>
            <w:vAlign w:val="center"/>
          </w:tcPr>
          <w:p w14:paraId="13FA9867">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灯泡底座有锁紧保护装置。</w:t>
            </w:r>
          </w:p>
        </w:tc>
      </w:tr>
      <w:tr w14:paraId="724612DC">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52645D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51089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24</w:t>
            </w:r>
          </w:p>
        </w:tc>
        <w:tc>
          <w:tcPr>
            <w:tcW w:w="7061" w:type="dxa"/>
            <w:tcBorders>
              <w:top w:val="single" w:color="auto" w:sz="4" w:space="0"/>
              <w:left w:val="nil"/>
              <w:bottom w:val="single" w:color="auto" w:sz="4" w:space="0"/>
              <w:right w:val="single" w:color="auto" w:sz="4" w:space="0"/>
            </w:tcBorders>
            <w:vAlign w:val="center"/>
          </w:tcPr>
          <w:p w14:paraId="67C456E2">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定时器应支持背光数字显示。</w:t>
            </w:r>
          </w:p>
        </w:tc>
      </w:tr>
      <w:tr w14:paraId="313C0FA3">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63D98C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1BE9C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25</w:t>
            </w:r>
          </w:p>
        </w:tc>
        <w:tc>
          <w:tcPr>
            <w:tcW w:w="7061" w:type="dxa"/>
            <w:tcBorders>
              <w:top w:val="single" w:color="auto" w:sz="4" w:space="0"/>
              <w:left w:val="nil"/>
              <w:bottom w:val="single" w:color="auto" w:sz="4" w:space="0"/>
              <w:right w:val="single" w:color="auto" w:sz="4" w:space="0"/>
            </w:tcBorders>
            <w:vAlign w:val="center"/>
          </w:tcPr>
          <w:p w14:paraId="2DE47A7E">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应为风冷散热。</w:t>
            </w:r>
          </w:p>
        </w:tc>
      </w:tr>
      <w:tr w14:paraId="399952C2">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BE87875">
            <w:pPr>
              <w:widowControl/>
              <w:spacing w:line="240" w:lineRule="auto"/>
              <w:jc w:val="center"/>
              <w:rPr>
                <w:rFonts w:hint="eastAsia" w:ascii="宋体" w:hAnsi="宋体" w:eastAsia="宋体" w:cs="宋体"/>
                <w:kern w:val="2"/>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06208E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BFB7A8D">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应采用手控制升降/脚踏限位系统进行治疗高度和位置调节，垂直移动距离不小于100cm-150cm。</w:t>
            </w:r>
          </w:p>
        </w:tc>
      </w:tr>
      <w:tr w14:paraId="47AB5B5A">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51CF611">
            <w:pPr>
              <w:widowControl/>
              <w:spacing w:line="240" w:lineRule="auto"/>
              <w:jc w:val="center"/>
              <w:rPr>
                <w:rFonts w:hint="eastAsia" w:ascii="宋体" w:hAnsi="宋体" w:eastAsia="宋体" w:cs="宋体"/>
                <w:kern w:val="2"/>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31899F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1D807AE">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台车支架应配备医疗万向轮移动带刹车锁定功能。</w:t>
            </w:r>
          </w:p>
        </w:tc>
      </w:tr>
      <w:tr w14:paraId="52DC1599">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D791459">
            <w:pPr>
              <w:widowControl/>
              <w:spacing w:line="240" w:lineRule="auto"/>
              <w:jc w:val="center"/>
              <w:rPr>
                <w:rFonts w:hint="eastAsia" w:ascii="宋体" w:hAnsi="宋体" w:eastAsia="宋体" w:cs="宋体"/>
                <w:kern w:val="2"/>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90E5F7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57723159">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立式支架可 360°转动，U型支架可 360°转动。</w:t>
            </w:r>
          </w:p>
        </w:tc>
      </w:tr>
      <w:tr w14:paraId="0BD743D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1C7D419">
            <w:pPr>
              <w:widowControl/>
              <w:spacing w:line="240" w:lineRule="auto"/>
              <w:jc w:val="center"/>
              <w:rPr>
                <w:rFonts w:hint="eastAsia" w:ascii="宋体" w:hAnsi="宋体" w:eastAsia="宋体" w:cs="宋体"/>
                <w:kern w:val="2"/>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A20777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color w:val="000000"/>
                <w:sz w:val="21"/>
                <w:szCs w:val="21"/>
                <w:lang w:val="en-US" w:eastAsia="zh-CN"/>
              </w:rPr>
              <w:t>29</w:t>
            </w:r>
          </w:p>
        </w:tc>
        <w:tc>
          <w:tcPr>
            <w:tcW w:w="7061" w:type="dxa"/>
            <w:tcBorders>
              <w:top w:val="single" w:color="auto" w:sz="4" w:space="0"/>
              <w:left w:val="nil"/>
              <w:bottom w:val="single" w:color="auto" w:sz="4" w:space="0"/>
              <w:right w:val="single" w:color="auto" w:sz="4" w:space="0"/>
            </w:tcBorders>
            <w:shd w:val="clear" w:color="auto" w:fill="auto"/>
            <w:vAlign w:val="center"/>
          </w:tcPr>
          <w:p w14:paraId="7A939C11">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设备过滤液应不含偶氮苯等致癌物或对人体有害物质。</w:t>
            </w:r>
          </w:p>
        </w:tc>
      </w:tr>
      <w:tr w14:paraId="555A32E7">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1E8A8F">
            <w:pPr>
              <w:widowControl/>
              <w:spacing w:line="240" w:lineRule="auto"/>
              <w:jc w:val="center"/>
              <w:rPr>
                <w:rFonts w:hint="eastAsia" w:ascii="宋体" w:hAnsi="宋体" w:eastAsia="宋体" w:cs="宋体"/>
                <w:kern w:val="2"/>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4B6564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color w:val="000000"/>
                <w:sz w:val="21"/>
                <w:szCs w:val="21"/>
                <w:lang w:val="en-US" w:eastAsia="zh-CN"/>
              </w:rPr>
              <w:t>30</w:t>
            </w:r>
          </w:p>
        </w:tc>
        <w:tc>
          <w:tcPr>
            <w:tcW w:w="7061" w:type="dxa"/>
            <w:tcBorders>
              <w:top w:val="single" w:color="auto" w:sz="4" w:space="0"/>
              <w:left w:val="nil"/>
              <w:bottom w:val="single" w:color="auto" w:sz="4" w:space="0"/>
              <w:right w:val="single" w:color="auto" w:sz="4" w:space="0"/>
            </w:tcBorders>
            <w:shd w:val="clear" w:color="auto" w:fill="auto"/>
            <w:vAlign w:val="center"/>
          </w:tcPr>
          <w:p w14:paraId="2219DDAE">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设备适用于成人和儿童。</w:t>
            </w:r>
          </w:p>
        </w:tc>
      </w:tr>
      <w:tr w14:paraId="5A13930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960C6BF">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0B54EC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69CD7E7">
            <w:pPr>
              <w:pStyle w:val="5"/>
              <w:spacing w:line="240" w:lineRule="auto"/>
              <w:jc w:val="both"/>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sz w:val="21"/>
                <w:szCs w:val="21"/>
                <w:lang w:val="en-US" w:eastAsia="zh-CN"/>
              </w:rPr>
              <w:t>说明书或设备标签规定使用年限≥</w:t>
            </w: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10年。</w:t>
            </w:r>
          </w:p>
        </w:tc>
      </w:tr>
      <w:tr w14:paraId="25A43A0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826B7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06071A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shd w:val="clear" w:color="auto" w:fill="auto"/>
            <w:vAlign w:val="center"/>
          </w:tcPr>
          <w:p w14:paraId="1EF4852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D71BC2F">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FA624B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F1D3C2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65CF00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5EDF60F">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7B9458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325FF3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3C72B2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CF5963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EA5A93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594ED3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35</w:t>
            </w:r>
          </w:p>
        </w:tc>
        <w:tc>
          <w:tcPr>
            <w:tcW w:w="7061" w:type="dxa"/>
            <w:tcBorders>
              <w:top w:val="single" w:color="auto" w:sz="4" w:space="0"/>
              <w:left w:val="nil"/>
              <w:bottom w:val="single" w:color="auto" w:sz="4" w:space="0"/>
              <w:right w:val="single" w:color="auto" w:sz="4" w:space="0"/>
            </w:tcBorders>
            <w:shd w:val="clear" w:color="auto" w:fill="auto"/>
            <w:vAlign w:val="center"/>
          </w:tcPr>
          <w:p w14:paraId="0A406CE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0A26FD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6D719BA">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868579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36</w:t>
            </w:r>
          </w:p>
        </w:tc>
        <w:tc>
          <w:tcPr>
            <w:tcW w:w="7061" w:type="dxa"/>
            <w:tcBorders>
              <w:top w:val="single" w:color="auto" w:sz="4" w:space="0"/>
              <w:left w:val="nil"/>
              <w:bottom w:val="single" w:color="auto" w:sz="4" w:space="0"/>
              <w:right w:val="single" w:color="auto" w:sz="4" w:space="0"/>
            </w:tcBorders>
            <w:shd w:val="clear" w:color="auto" w:fill="auto"/>
            <w:vAlign w:val="center"/>
          </w:tcPr>
          <w:p w14:paraId="79C8D27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C6EB6FC">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FE4913C">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1.“参数性质”标“★”表示此参数为主要技术参数，任意一条不满足或负偏离则导致响应无效；2.非标“★”项，超过2项不满足或负偏离则导致响应无效。</w:t>
            </w:r>
          </w:p>
        </w:tc>
      </w:tr>
    </w:tbl>
    <w:p w14:paraId="6945C7B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33EB9E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D46290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6A5551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FB280A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5E720D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164E5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55DFE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A6F0D7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8ED7D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D5214E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1"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1"/>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7720</Words>
  <Characters>8804</Characters>
  <Lines>0</Lines>
  <Paragraphs>0</Paragraphs>
  <TotalTime>1</TotalTime>
  <ScaleCrop>false</ScaleCrop>
  <LinksUpToDate>false</LinksUpToDate>
  <CharactersWithSpaces>9348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2026-06-05T07:23:53Z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CD6F291E64494D7EA907EB3A9B55B8A6_13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