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房颤导管消融系统项目（二次）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2026年6月11日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bookmarkStart w:id="1" w:name="_GoBack"/>
      <w:bookmarkEnd w:id="1"/>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4"/>
        <w:gridCol w:w="2196"/>
        <w:gridCol w:w="1145"/>
        <w:gridCol w:w="1132"/>
        <w:gridCol w:w="1432"/>
        <w:gridCol w:w="1622"/>
      </w:tblGrid>
      <w:tr w14:paraId="0489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84" w:type="dxa"/>
            <w:vAlign w:val="center"/>
          </w:tcPr>
          <w:p w14:paraId="711C1AB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196" w:type="dxa"/>
            <w:vAlign w:val="center"/>
          </w:tcPr>
          <w:p w14:paraId="6534C8F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145" w:type="dxa"/>
            <w:vAlign w:val="center"/>
          </w:tcPr>
          <w:p w14:paraId="47A6A50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132" w:type="dxa"/>
            <w:vAlign w:val="center"/>
          </w:tcPr>
          <w:p w14:paraId="2EEEEE3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432" w:type="dxa"/>
            <w:vAlign w:val="center"/>
          </w:tcPr>
          <w:p w14:paraId="2350FE2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622" w:type="dxa"/>
            <w:vAlign w:val="center"/>
          </w:tcPr>
          <w:p w14:paraId="420975C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6B5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84" w:type="dxa"/>
            <w:vAlign w:val="center"/>
          </w:tcPr>
          <w:p w14:paraId="425552A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196" w:type="dxa"/>
            <w:vAlign w:val="center"/>
          </w:tcPr>
          <w:p w14:paraId="7B66761A">
            <w:pPr>
              <w:widowControl/>
              <w:jc w:val="center"/>
              <w:textAlignment w:val="center"/>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房颤导管消融系统</w:t>
            </w:r>
          </w:p>
        </w:tc>
        <w:tc>
          <w:tcPr>
            <w:tcW w:w="1145" w:type="dxa"/>
            <w:vAlign w:val="center"/>
          </w:tcPr>
          <w:p w14:paraId="145AC3C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132" w:type="dxa"/>
            <w:vAlign w:val="center"/>
          </w:tcPr>
          <w:p w14:paraId="4EB993D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432" w:type="dxa"/>
            <w:vAlign w:val="center"/>
          </w:tcPr>
          <w:p w14:paraId="67AA7DA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250000</w:t>
            </w:r>
          </w:p>
        </w:tc>
        <w:tc>
          <w:tcPr>
            <w:tcW w:w="1622" w:type="dxa"/>
            <w:vAlign w:val="center"/>
          </w:tcPr>
          <w:p w14:paraId="162909F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250000</w:t>
            </w:r>
          </w:p>
        </w:tc>
      </w:tr>
      <w:tr w14:paraId="146FE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84" w:type="dxa"/>
            <w:vAlign w:val="center"/>
          </w:tcPr>
          <w:p w14:paraId="4A2D3040">
            <w:pPr>
              <w:widowControl/>
              <w:jc w:val="center"/>
              <w:textAlignment w:val="center"/>
              <w:rPr>
                <w:rFonts w:hint="eastAsia" w:ascii="宋体" w:hAnsi="宋体" w:eastAsia="宋体" w:cs="宋体"/>
                <w:kern w:val="0"/>
                <w:sz w:val="24"/>
                <w:szCs w:val="24"/>
                <w:lang w:val="en-US" w:eastAsia="zh-CN"/>
              </w:rPr>
            </w:pPr>
          </w:p>
        </w:tc>
        <w:tc>
          <w:tcPr>
            <w:tcW w:w="5905" w:type="dxa"/>
            <w:gridSpan w:val="4"/>
            <w:vAlign w:val="center"/>
          </w:tcPr>
          <w:p w14:paraId="244CB8F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622" w:type="dxa"/>
            <w:vAlign w:val="center"/>
          </w:tcPr>
          <w:p w14:paraId="1E57BC3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250000</w:t>
            </w:r>
          </w:p>
        </w:tc>
      </w:tr>
      <w:tr w14:paraId="45E8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84" w:type="dxa"/>
            <w:vAlign w:val="center"/>
          </w:tcPr>
          <w:p w14:paraId="41F0604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196" w:type="dxa"/>
            <w:vAlign w:val="center"/>
          </w:tcPr>
          <w:p w14:paraId="157D4F3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331" w:type="dxa"/>
            <w:gridSpan w:val="4"/>
            <w:vAlign w:val="center"/>
          </w:tcPr>
          <w:p w14:paraId="0F28B9F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合同签订后30日内到货</w:t>
            </w:r>
          </w:p>
        </w:tc>
      </w:tr>
      <w:tr w14:paraId="32B1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84" w:type="dxa"/>
            <w:vAlign w:val="center"/>
          </w:tcPr>
          <w:p w14:paraId="653FB16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196" w:type="dxa"/>
            <w:vAlign w:val="center"/>
          </w:tcPr>
          <w:p w14:paraId="6F9F152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331" w:type="dxa"/>
            <w:gridSpan w:val="4"/>
            <w:vAlign w:val="center"/>
          </w:tcPr>
          <w:p w14:paraId="67F502F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3年</w:t>
            </w:r>
          </w:p>
        </w:tc>
      </w:tr>
      <w:tr w14:paraId="18BE4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84" w:type="dxa"/>
            <w:vAlign w:val="center"/>
          </w:tcPr>
          <w:p w14:paraId="446EC79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196" w:type="dxa"/>
            <w:vAlign w:val="center"/>
          </w:tcPr>
          <w:p w14:paraId="7DC6D9D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331" w:type="dxa"/>
            <w:gridSpan w:val="4"/>
            <w:vAlign w:val="center"/>
          </w:tcPr>
          <w:p w14:paraId="59F136A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设备验收通过后支付总货款的90%，验收通过使用1个月后支付总货款的10%。</w:t>
            </w:r>
          </w:p>
        </w:tc>
      </w:tr>
      <w:tr w14:paraId="548F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84" w:type="dxa"/>
            <w:vAlign w:val="center"/>
          </w:tcPr>
          <w:p w14:paraId="56740DB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196" w:type="dxa"/>
            <w:vAlign w:val="center"/>
          </w:tcPr>
          <w:p w14:paraId="1DC9018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331" w:type="dxa"/>
            <w:gridSpan w:val="4"/>
            <w:vAlign w:val="center"/>
          </w:tcPr>
          <w:p w14:paraId="5732DC0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本项目包含1套房颤导管消融系统，用于房颤球囊冷冻导管消融治疗。</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22" w:type="dxa"/>
        <w:jc w:val="center"/>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Layout w:type="autofit"/>
        <w:tblCellMar>
          <w:top w:w="0" w:type="dxa"/>
          <w:left w:w="0" w:type="dxa"/>
          <w:bottom w:w="0" w:type="dxa"/>
          <w:right w:w="0" w:type="dxa"/>
        </w:tblCellMar>
      </w:tblPr>
      <w:tblGrid>
        <w:gridCol w:w="588"/>
        <w:gridCol w:w="683"/>
        <w:gridCol w:w="7251"/>
      </w:tblGrid>
      <w:tr w14:paraId="7FA18078">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blHeader/>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34482A68">
            <w:pPr>
              <w:bidi w:val="0"/>
              <w:snapToGrid w:val="0"/>
              <w:spacing w:line="240" w:lineRule="auto"/>
              <w:ind w:left="0" w:leftChars="0" w:right="0" w:rightChars="0" w:firstLine="0" w:firstLineChars="0"/>
              <w:jc w:val="center"/>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rPr>
              <w:t>参数性质</w:t>
            </w:r>
          </w:p>
        </w:tc>
        <w:tc>
          <w:tcPr>
            <w:tcW w:w="68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60DE71">
            <w:pPr>
              <w:bidi w:val="0"/>
              <w:snapToGrid w:val="0"/>
              <w:spacing w:line="240" w:lineRule="auto"/>
              <w:ind w:left="0" w:leftChars="0" w:right="0" w:rightChars="0" w:firstLine="0" w:firstLineChars="0"/>
              <w:jc w:val="center"/>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rPr>
              <w:t>编号</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AA7F3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sz w:val="21"/>
                <w:szCs w:val="21"/>
              </w:rPr>
              <w:t>技术参数和</w:t>
            </w:r>
            <w:r>
              <w:rPr>
                <w:rFonts w:hint="eastAsia" w:ascii="宋体" w:hAnsi="宋体" w:eastAsia="宋体" w:cs="宋体"/>
                <w:b w:val="0"/>
                <w:bCs/>
                <w:sz w:val="21"/>
                <w:szCs w:val="21"/>
                <w:lang w:val="en-US" w:eastAsia="zh-CN"/>
              </w:rPr>
              <w:t>要求</w:t>
            </w:r>
          </w:p>
        </w:tc>
      </w:tr>
      <w:tr w14:paraId="2BBB58A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6E9554D1">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C6DB51D">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AFC37A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具备防除颤功能，出现除颤的恢复时间≤5s。</w:t>
            </w:r>
          </w:p>
        </w:tc>
      </w:tr>
      <w:tr w14:paraId="5552EC95">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10BE3130">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D88DBA4">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C4B346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配置触摸显示器屏≥15英寸，具有开关键。</w:t>
            </w:r>
          </w:p>
        </w:tc>
      </w:tr>
      <w:tr w14:paraId="01FAD71C">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25FBE6C5">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8112DE8">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261A26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具备实时显示温度、导管温度图表、消融治疗时间、总体治疗时间等功能。</w:t>
            </w:r>
          </w:p>
        </w:tc>
      </w:tr>
      <w:tr w14:paraId="07E0C04B">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5253E827">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083BBF5">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8164E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lang w:val="en-US"/>
              </w:rPr>
            </w:pPr>
            <w:r>
              <w:rPr>
                <w:rStyle w:val="26"/>
                <w:rFonts w:hint="eastAsia" w:ascii="宋体" w:hAnsi="宋体" w:eastAsia="宋体" w:cs="宋体"/>
                <w:sz w:val="21"/>
                <w:szCs w:val="21"/>
                <w:lang w:val="en-US" w:eastAsia="zh-CN" w:bidi="ar"/>
              </w:rPr>
              <w:t>可显示球囊状态的相关信息。</w:t>
            </w:r>
          </w:p>
        </w:tc>
      </w:tr>
      <w:tr w14:paraId="4E9A1B12">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3297A7CE">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0E0A3AB">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A56D3F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可显示冷冻液液位计数值。</w:t>
            </w:r>
          </w:p>
        </w:tc>
      </w:tr>
      <w:tr w14:paraId="4994B533">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2B6DB41A">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0"/>
                <w:sz w:val="21"/>
                <w:szCs w:val="21"/>
                <w:lang w:val="en-US" w:eastAsia="zh-CN"/>
              </w:rPr>
              <w:t>★</w:t>
            </w: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66584AF">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C67C0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具备急停开关。</w:t>
            </w:r>
          </w:p>
        </w:tc>
      </w:tr>
      <w:tr w14:paraId="6FE9AB23">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48F8AA28">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56D19D1">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51312D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预设消融持续时间范围：10～480s，可调节。</w:t>
            </w:r>
          </w:p>
        </w:tc>
      </w:tr>
      <w:tr w14:paraId="4AECC6D2">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4E73A3A3">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CD849C8">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213FBA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具有USB接口≥1个。</w:t>
            </w:r>
          </w:p>
        </w:tc>
      </w:tr>
      <w:tr w14:paraId="1FC8539C">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10F3C22C">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2011394">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8973FF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具备密码保护功能。</w:t>
            </w:r>
          </w:p>
        </w:tc>
      </w:tr>
      <w:tr w14:paraId="6131264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5D6FA9F2">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0"/>
                <w:sz w:val="21"/>
                <w:szCs w:val="21"/>
                <w:lang w:val="en-US" w:eastAsia="zh-CN"/>
              </w:rPr>
              <w:t>★</w:t>
            </w: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4BC46AF">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DD880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具备体液进入消融导管应对功能。</w:t>
            </w:r>
          </w:p>
        </w:tc>
      </w:tr>
      <w:tr w14:paraId="5CD35F53">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04E7B3CC">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0"/>
                <w:sz w:val="21"/>
                <w:szCs w:val="21"/>
                <w:lang w:val="en-US" w:eastAsia="zh-CN"/>
              </w:rPr>
              <w:t>★</w:t>
            </w: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D86DD31">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0E161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具备血液到达消融导管手柄应对功能。</w:t>
            </w:r>
          </w:p>
        </w:tc>
      </w:tr>
      <w:tr w14:paraId="7B895582">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1A6E993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0"/>
                <w:sz w:val="21"/>
                <w:szCs w:val="21"/>
                <w:lang w:val="en-US" w:eastAsia="zh-CN"/>
              </w:rPr>
              <w:t>★</w:t>
            </w: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3EEEFBA">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B9ED5A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具备启用消融之前，验证所有连接完整性的功能。</w:t>
            </w:r>
          </w:p>
        </w:tc>
      </w:tr>
      <w:tr w14:paraId="744F00A5">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032E6AC0">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626B2F6">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DAC923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在手术中系统，可显示识别导管的编码、自检各种故障的编码、自检软件错误的编码、电气和机械零部件错误的编码，并提供相关问题的解决措施。</w:t>
            </w:r>
          </w:p>
        </w:tc>
      </w:tr>
      <w:tr w14:paraId="1C009D60">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0F13501E">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A39211B">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E81996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具备自动连接盒，且能够与医院心脏电生理多道记录仪配套使用，线缆长度≥100cm。</w:t>
            </w:r>
          </w:p>
        </w:tc>
      </w:tr>
      <w:tr w14:paraId="4F8B5D76">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5F281F5C">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02D5317">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3A6E6E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具备废弃冷冻液尾气处理功能。</w:t>
            </w:r>
          </w:p>
        </w:tc>
      </w:tr>
      <w:tr w14:paraId="0A0D3E3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nil"/>
              <w:right w:val="nil"/>
            </w:tcBorders>
            <w:noWrap w:val="0"/>
            <w:tcMar>
              <w:top w:w="-1" w:type="dxa"/>
              <w:left w:w="-1" w:type="dxa"/>
              <w:bottom w:w="-1" w:type="dxa"/>
              <w:right w:w="-1" w:type="dxa"/>
            </w:tcMar>
            <w:vAlign w:val="center"/>
          </w:tcPr>
          <w:p w14:paraId="2A67A454">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4712C84">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251"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40B842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Style w:val="26"/>
                <w:rFonts w:hint="eastAsia" w:ascii="宋体" w:hAnsi="宋体" w:eastAsia="宋体" w:cs="宋体"/>
                <w:sz w:val="21"/>
                <w:szCs w:val="21"/>
                <w:lang w:val="en-US" w:eastAsia="zh-CN" w:bidi="ar"/>
              </w:rPr>
              <w:t>提供无菌连接电缆，且可与导管进行电气连接，长度≥100cm。</w:t>
            </w:r>
          </w:p>
        </w:tc>
      </w:tr>
      <w:tr w14:paraId="53E8C2E9">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noWrap w:val="0"/>
            <w:tcMar>
              <w:top w:w="-1" w:type="dxa"/>
              <w:left w:w="-1" w:type="dxa"/>
              <w:bottom w:w="-1" w:type="dxa"/>
              <w:right w:w="-1" w:type="dxa"/>
            </w:tcMar>
            <w:vAlign w:val="center"/>
          </w:tcPr>
          <w:p w14:paraId="0588D4DB">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single" w:color="000000" w:sz="4" w:space="0"/>
              <w:right w:val="nil"/>
            </w:tcBorders>
            <w:noWrap w:val="0"/>
            <w:tcMar>
              <w:top w:w="-1" w:type="dxa"/>
              <w:left w:w="-1" w:type="dxa"/>
              <w:bottom w:w="-1" w:type="dxa"/>
              <w:right w:w="-1" w:type="dxa"/>
            </w:tcMar>
            <w:vAlign w:val="center"/>
          </w:tcPr>
          <w:p w14:paraId="33582BBF">
            <w:pPr>
              <w:bidi w:val="0"/>
              <w:snapToGrid w:val="0"/>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7251"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B8C48F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14:textFill>
                  <w14:solidFill>
                    <w14:schemeClr w14:val="tx1"/>
                  </w14:solidFill>
                </w14:textFill>
              </w:rPr>
              <w:t>设备</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可</w:t>
            </w:r>
            <w:r>
              <w:rPr>
                <w:rFonts w:hint="eastAsia" w:ascii="宋体" w:hAnsi="宋体" w:eastAsia="宋体" w:cs="宋体"/>
                <w:b w:val="0"/>
                <w:bCs w:val="0"/>
                <w:color w:val="000000" w:themeColor="text1"/>
                <w:kern w:val="2"/>
                <w:sz w:val="21"/>
                <w:szCs w:val="21"/>
                <w14:textFill>
                  <w14:solidFill>
                    <w14:schemeClr w14:val="tx1"/>
                  </w14:solidFill>
                </w14:textFill>
              </w:rPr>
              <w:t>配合球囊型冷冻消融导管，</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治疗</w:t>
            </w:r>
            <w:r>
              <w:rPr>
                <w:rFonts w:hint="eastAsia" w:ascii="宋体" w:hAnsi="宋体" w:eastAsia="宋体" w:cs="宋体"/>
                <w:b w:val="0"/>
                <w:bCs w:val="0"/>
                <w:color w:val="000000" w:themeColor="text1"/>
                <w:kern w:val="2"/>
                <w:sz w:val="21"/>
                <w:szCs w:val="21"/>
                <w14:textFill>
                  <w14:solidFill>
                    <w14:schemeClr w14:val="tx1"/>
                  </w14:solidFill>
                </w14:textFill>
              </w:rPr>
              <w:t>药物难治的症状性的持续性房颤</w:t>
            </w:r>
            <w:r>
              <w:rPr>
                <w:rFonts w:hint="eastAsia" w:ascii="宋体" w:hAnsi="宋体" w:eastAsia="宋体" w:cs="宋体"/>
                <w:b w:val="0"/>
                <w:bCs w:val="0"/>
                <w:color w:val="000000" w:themeColor="text1"/>
                <w:kern w:val="2"/>
                <w:sz w:val="21"/>
                <w:szCs w:val="21"/>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14:textFill>
                  <w14:solidFill>
                    <w14:schemeClr w14:val="tx1"/>
                  </w14:solidFill>
                </w14:textFill>
              </w:rPr>
              <w:t>发作持续时间≤6个月</w:t>
            </w:r>
            <w:r>
              <w:rPr>
                <w:rFonts w:hint="eastAsia" w:ascii="宋体" w:hAnsi="宋体" w:eastAsia="宋体" w:cs="宋体"/>
                <w:b w:val="0"/>
                <w:bCs w:val="0"/>
                <w:color w:val="000000" w:themeColor="text1"/>
                <w:kern w:val="2"/>
                <w:sz w:val="21"/>
                <w:szCs w:val="21"/>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14:textFill>
                  <w14:solidFill>
                    <w14:schemeClr w14:val="tx1"/>
                  </w14:solidFill>
                </w14:textFill>
              </w:rPr>
              <w:t>的成年患者</w:t>
            </w:r>
            <w:r>
              <w:rPr>
                <w:rFonts w:hint="eastAsia" w:ascii="宋体" w:hAnsi="宋体" w:eastAsia="宋体" w:cs="宋体"/>
                <w:b w:val="0"/>
                <w:bCs w:val="0"/>
                <w:color w:val="000000" w:themeColor="text1"/>
                <w:kern w:val="2"/>
                <w:sz w:val="21"/>
                <w:szCs w:val="21"/>
                <w:lang w:eastAsia="zh-CN"/>
                <w14:textFill>
                  <w14:solidFill>
                    <w14:schemeClr w14:val="tx1"/>
                  </w14:solidFill>
                </w14:textFill>
              </w:rPr>
              <w:t>。</w:t>
            </w:r>
          </w:p>
        </w:tc>
      </w:tr>
      <w:tr w14:paraId="57A1222E">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noWrap w:val="0"/>
            <w:tcMar>
              <w:top w:w="-1" w:type="dxa"/>
              <w:left w:w="-1" w:type="dxa"/>
              <w:bottom w:w="-1" w:type="dxa"/>
              <w:right w:w="-1" w:type="dxa"/>
            </w:tcMar>
            <w:vAlign w:val="center"/>
          </w:tcPr>
          <w:p w14:paraId="0F33393B">
            <w:pPr>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E2A1C8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18</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197CC">
            <w:pPr>
              <w:widowControl/>
              <w:snapToGrid w:val="0"/>
              <w:spacing w:line="240" w:lineRule="auto"/>
              <w:ind w:left="0" w:leftChars="0" w:right="0" w:rightChars="0" w:firstLine="0" w:firstLineChars="0"/>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配套使用的一次性医用耗材应进入国家电生理集采目录。</w:t>
            </w:r>
          </w:p>
        </w:tc>
      </w:tr>
      <w:tr w14:paraId="2B7AE71B">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344A6ADA">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7204A18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156DD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53F1799">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33B057DD">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2A7D9DA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B60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CCC47ED">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13B7CA77">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182D404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C39DC1">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1AD986A">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73432BFD">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2692BE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88512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82A600F">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58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47F7E261">
            <w:pPr>
              <w:widowControl/>
              <w:spacing w:line="240" w:lineRule="auto"/>
              <w:jc w:val="center"/>
              <w:rPr>
                <w:rFonts w:hint="eastAsia" w:ascii="宋体" w:hAnsi="宋体" w:eastAsia="宋体" w:cs="宋体"/>
                <w:kern w:val="0"/>
                <w:sz w:val="21"/>
                <w:szCs w:val="21"/>
                <w:lang w:val="en-US" w:eastAsia="zh-Hans" w:bidi="lo-LA"/>
              </w:rPr>
            </w:pPr>
          </w:p>
        </w:tc>
        <w:tc>
          <w:tcPr>
            <w:tcW w:w="683"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3D5EFFB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2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A741A">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中标人所供设备的生产日期应距合同签订日期6个月以内；</w:t>
            </w:r>
          </w:p>
        </w:tc>
      </w:tr>
      <w:tr w14:paraId="4509CFBB">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jc w:val="center"/>
        </w:trPr>
        <w:tc>
          <w:tcPr>
            <w:tcW w:w="8522" w:type="dxa"/>
            <w:gridSpan w:val="3"/>
            <w:tcBorders>
              <w:top w:val="single" w:color="000000" w:sz="4" w:space="0"/>
              <w:left w:val="single" w:color="auto" w:sz="4" w:space="0"/>
              <w:bottom w:val="single" w:color="000000" w:sz="4" w:space="0"/>
              <w:right w:val="single" w:color="000000" w:sz="4" w:space="0"/>
            </w:tcBorders>
            <w:noWrap w:val="0"/>
            <w:tcMar>
              <w:top w:w="-1" w:type="dxa"/>
              <w:left w:w="-1" w:type="dxa"/>
              <w:bottom w:w="-1" w:type="dxa"/>
              <w:right w:w="-1" w:type="dxa"/>
            </w:tcMar>
            <w:vAlign w:val="center"/>
          </w:tcPr>
          <w:p w14:paraId="197C2E01">
            <w:pPr>
              <w:widowControl/>
              <w:snapToGrid w:val="0"/>
              <w:spacing w:line="240" w:lineRule="auto"/>
              <w:ind w:left="0" w:leftChars="0" w:right="0" w:rightChars="0" w:firstLine="0" w:firstLineChars="0"/>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4587653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8273E5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301303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25BB22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40579D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F93375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78FA04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712346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441A2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4C94F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8E415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40A0BF1"/>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6082</Words>
  <Characters>6953</Characters>
  <Lines>0</Lines>
  <Paragraphs>0</Paragraphs>
  <TotalTime>1</TotalTime>
  <ScaleCrop>false</ScaleCrop>
  <LinksUpToDate>false</LinksUpToDate>
  <CharactersWithSpaces>7247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2026-06-11T06:46:38Z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36FC91450A844D99B5FBF90CD82C5AD9_13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