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4111720">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血液肿瘤二代测序等检测项目外检服务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2026年6月18日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1"/>
        <w:tblW w:w="5594" w:type="pct"/>
        <w:tblInd w:w="-7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915"/>
        <w:gridCol w:w="2100"/>
        <w:gridCol w:w="1370"/>
        <w:gridCol w:w="1287"/>
        <w:gridCol w:w="1490"/>
        <w:gridCol w:w="1518"/>
      </w:tblGrid>
      <w:tr w14:paraId="44EF0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448" w:type="pct"/>
            <w:tcBorders>
              <w:top w:val="nil"/>
              <w:left w:val="single" w:color="000000" w:sz="4" w:space="0"/>
              <w:bottom w:val="single" w:color="000000" w:sz="4" w:space="0"/>
              <w:right w:val="single" w:color="000000" w:sz="4" w:space="0"/>
            </w:tcBorders>
            <w:shd w:val="clear" w:color="auto" w:fill="auto"/>
            <w:vAlign w:val="center"/>
          </w:tcPr>
          <w:p w14:paraId="2FB81D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序号</w:t>
            </w:r>
          </w:p>
        </w:tc>
        <w:tc>
          <w:tcPr>
            <w:tcW w:w="479" w:type="pct"/>
            <w:tcBorders>
              <w:top w:val="nil"/>
              <w:left w:val="single" w:color="000000" w:sz="4" w:space="0"/>
              <w:bottom w:val="single" w:color="000000" w:sz="4" w:space="0"/>
              <w:right w:val="single" w:color="000000" w:sz="4" w:space="0"/>
            </w:tcBorders>
            <w:shd w:val="clear" w:color="auto" w:fill="auto"/>
            <w:vAlign w:val="center"/>
          </w:tcPr>
          <w:p w14:paraId="2CABFB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lang w:val="en-US"/>
              </w:rPr>
            </w:pPr>
            <w:r>
              <w:rPr>
                <w:rFonts w:hint="eastAsia" w:ascii="仿宋" w:hAnsi="仿宋" w:eastAsia="仿宋" w:cs="仿宋"/>
                <w:b/>
                <w:bCs/>
                <w:i w:val="0"/>
                <w:iCs w:val="0"/>
                <w:color w:val="000000"/>
                <w:kern w:val="0"/>
                <w:sz w:val="30"/>
                <w:szCs w:val="30"/>
                <w:u w:val="none"/>
                <w:lang w:val="en-US" w:eastAsia="zh-CN" w:bidi="ar"/>
              </w:rPr>
              <w:t>小标</w:t>
            </w:r>
          </w:p>
        </w:tc>
        <w:tc>
          <w:tcPr>
            <w:tcW w:w="1819" w:type="pct"/>
            <w:gridSpan w:val="2"/>
            <w:tcBorders>
              <w:top w:val="nil"/>
              <w:left w:val="single" w:color="000000" w:sz="4" w:space="0"/>
              <w:bottom w:val="single" w:color="000000" w:sz="4" w:space="0"/>
              <w:right w:val="single" w:color="000000" w:sz="4" w:space="0"/>
            </w:tcBorders>
            <w:shd w:val="clear" w:color="auto" w:fill="auto"/>
            <w:vAlign w:val="center"/>
          </w:tcPr>
          <w:p w14:paraId="71CCE3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项目名称</w:t>
            </w:r>
          </w:p>
        </w:tc>
        <w:tc>
          <w:tcPr>
            <w:tcW w:w="674" w:type="pct"/>
            <w:tcBorders>
              <w:top w:val="nil"/>
              <w:left w:val="single" w:color="000000" w:sz="4" w:space="0"/>
              <w:bottom w:val="single" w:color="000000" w:sz="4" w:space="0"/>
              <w:right w:val="single" w:color="000000" w:sz="4" w:space="0"/>
            </w:tcBorders>
            <w:shd w:val="clear" w:color="auto" w:fill="auto"/>
            <w:vAlign w:val="center"/>
          </w:tcPr>
          <w:p w14:paraId="08D24D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预估数量</w:t>
            </w:r>
          </w:p>
        </w:tc>
        <w:tc>
          <w:tcPr>
            <w:tcW w:w="781" w:type="pct"/>
            <w:tcBorders>
              <w:top w:val="nil"/>
              <w:left w:val="single" w:color="000000" w:sz="4" w:space="0"/>
              <w:bottom w:val="single" w:color="000000" w:sz="4" w:space="0"/>
              <w:right w:val="single" w:color="000000" w:sz="4" w:space="0"/>
            </w:tcBorders>
            <w:shd w:val="clear" w:color="auto" w:fill="auto"/>
            <w:vAlign w:val="center"/>
          </w:tcPr>
          <w:p w14:paraId="244839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预算单价</w:t>
            </w:r>
          </w:p>
        </w:tc>
        <w:tc>
          <w:tcPr>
            <w:tcW w:w="796" w:type="pct"/>
            <w:tcBorders>
              <w:top w:val="nil"/>
              <w:left w:val="single" w:color="000000" w:sz="4" w:space="0"/>
              <w:bottom w:val="single" w:color="000000" w:sz="4" w:space="0"/>
              <w:right w:val="single" w:color="000000" w:sz="4" w:space="0"/>
            </w:tcBorders>
            <w:shd w:val="clear" w:color="auto" w:fill="auto"/>
            <w:vAlign w:val="center"/>
          </w:tcPr>
          <w:p w14:paraId="3B3B79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预算小计</w:t>
            </w:r>
          </w:p>
        </w:tc>
      </w:tr>
      <w:tr w14:paraId="574D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448" w:type="pct"/>
            <w:vMerge w:val="restart"/>
            <w:tcBorders>
              <w:top w:val="single" w:color="000000" w:sz="4" w:space="0"/>
              <w:left w:val="single" w:color="000000" w:sz="4" w:space="0"/>
              <w:right w:val="single" w:color="000000" w:sz="4" w:space="0"/>
            </w:tcBorders>
            <w:shd w:val="clear" w:color="auto" w:fill="auto"/>
            <w:vAlign w:val="center"/>
          </w:tcPr>
          <w:p w14:paraId="3F25FE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1C1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①</w:t>
            </w: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410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血液肿瘤二代测序</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CC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33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2400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2A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48000</w:t>
            </w:r>
          </w:p>
        </w:tc>
      </w:tr>
      <w:tr w14:paraId="055B2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448" w:type="pct"/>
            <w:vMerge w:val="continue"/>
            <w:tcBorders>
              <w:left w:val="single" w:color="000000" w:sz="4" w:space="0"/>
              <w:right w:val="single" w:color="000000" w:sz="4" w:space="0"/>
            </w:tcBorders>
            <w:shd w:val="clear" w:color="auto" w:fill="auto"/>
            <w:vAlign w:val="center"/>
          </w:tcPr>
          <w:p w14:paraId="1530B4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D2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②</w:t>
            </w: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7E3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血液病相关基因定性检测</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193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FC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400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674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8000</w:t>
            </w:r>
          </w:p>
        </w:tc>
      </w:tr>
      <w:tr w14:paraId="63F6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48" w:type="pct"/>
            <w:vMerge w:val="continue"/>
            <w:tcBorders>
              <w:left w:val="single" w:color="000000" w:sz="4" w:space="0"/>
              <w:right w:val="single" w:color="000000" w:sz="4" w:space="0"/>
            </w:tcBorders>
            <w:shd w:val="clear" w:color="auto" w:fill="auto"/>
            <w:vAlign w:val="center"/>
          </w:tcPr>
          <w:p w14:paraId="3633FE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741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③</w:t>
            </w: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854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血液病相关基因定量检测</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24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1D8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500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930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10000</w:t>
            </w:r>
          </w:p>
        </w:tc>
      </w:tr>
      <w:tr w14:paraId="623C9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48" w:type="pct"/>
            <w:vMerge w:val="continue"/>
            <w:tcBorders>
              <w:left w:val="single" w:color="000000" w:sz="4" w:space="0"/>
              <w:right w:val="single" w:color="000000" w:sz="4" w:space="0"/>
            </w:tcBorders>
            <w:shd w:val="clear" w:color="auto" w:fill="auto"/>
            <w:vAlign w:val="center"/>
          </w:tcPr>
          <w:p w14:paraId="6ECD86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FB6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④</w:t>
            </w: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0EA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人细小病毒B19IgM抗体</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44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12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80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124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1600</w:t>
            </w:r>
          </w:p>
        </w:tc>
      </w:tr>
      <w:tr w14:paraId="7E22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448" w:type="pct"/>
            <w:vMerge w:val="continue"/>
            <w:tcBorders>
              <w:left w:val="single" w:color="000000" w:sz="4" w:space="0"/>
              <w:right w:val="single" w:color="000000" w:sz="4" w:space="0"/>
            </w:tcBorders>
            <w:shd w:val="clear" w:color="auto" w:fill="auto"/>
            <w:vAlign w:val="center"/>
          </w:tcPr>
          <w:p w14:paraId="088335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D9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⑤</w:t>
            </w: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CD7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人细小病毒B19lgG抗体</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67B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D60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80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EF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1600</w:t>
            </w:r>
          </w:p>
        </w:tc>
      </w:tr>
      <w:tr w14:paraId="27BB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48" w:type="pct"/>
            <w:vMerge w:val="continue"/>
            <w:tcBorders>
              <w:left w:val="single" w:color="000000" w:sz="4" w:space="0"/>
              <w:right w:val="single" w:color="000000" w:sz="4" w:space="0"/>
            </w:tcBorders>
            <w:shd w:val="clear" w:color="auto" w:fill="auto"/>
            <w:vAlign w:val="center"/>
          </w:tcPr>
          <w:p w14:paraId="17F17D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84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⑥</w:t>
            </w: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C1B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血液肿瘤染色体核型分析</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74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E3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450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C2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9000</w:t>
            </w:r>
          </w:p>
        </w:tc>
      </w:tr>
      <w:tr w14:paraId="2342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48" w:type="pct"/>
            <w:vMerge w:val="continue"/>
            <w:tcBorders>
              <w:left w:val="single" w:color="000000" w:sz="4" w:space="0"/>
              <w:right w:val="single" w:color="000000" w:sz="4" w:space="0"/>
            </w:tcBorders>
            <w:shd w:val="clear" w:color="auto" w:fill="auto"/>
            <w:vAlign w:val="center"/>
          </w:tcPr>
          <w:p w14:paraId="31BE61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51A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⑦</w:t>
            </w: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8F2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染色体核型分析</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FD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E2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450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50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33750</w:t>
            </w:r>
          </w:p>
        </w:tc>
      </w:tr>
      <w:tr w14:paraId="1C5D7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48" w:type="pct"/>
            <w:vMerge w:val="continue"/>
            <w:tcBorders>
              <w:left w:val="single" w:color="000000" w:sz="4" w:space="0"/>
              <w:right w:val="single" w:color="000000" w:sz="4" w:space="0"/>
            </w:tcBorders>
            <w:shd w:val="clear" w:color="auto" w:fill="auto"/>
            <w:vAlign w:val="center"/>
          </w:tcPr>
          <w:p w14:paraId="3ADE66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F1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⑧</w:t>
            </w: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998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白血病55种融合基因</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E5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AB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1520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0BA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38000</w:t>
            </w:r>
          </w:p>
        </w:tc>
      </w:tr>
      <w:tr w14:paraId="32B68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448" w:type="pct"/>
            <w:vMerge w:val="continue"/>
            <w:tcBorders>
              <w:left w:val="single" w:color="000000" w:sz="4" w:space="0"/>
              <w:bottom w:val="single" w:color="000000" w:sz="4" w:space="0"/>
              <w:right w:val="single" w:color="000000" w:sz="4" w:space="0"/>
            </w:tcBorders>
            <w:shd w:val="clear" w:color="auto" w:fill="auto"/>
            <w:vAlign w:val="center"/>
          </w:tcPr>
          <w:p w14:paraId="2EF0C2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28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⑨</w:t>
            </w: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2F0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胃肠道肿瘤基因甲基化血液联合检测</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F7B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6A9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700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6A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14000</w:t>
            </w:r>
          </w:p>
        </w:tc>
      </w:tr>
      <w:tr w14:paraId="6D018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34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B4B2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预算合计金额</w:t>
            </w:r>
          </w:p>
        </w:tc>
        <w:tc>
          <w:tcPr>
            <w:tcW w:w="15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240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 xml:space="preserve">163950 </w:t>
            </w:r>
          </w:p>
        </w:tc>
      </w:tr>
      <w:tr w14:paraId="2274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7D77E">
            <w:pPr>
              <w:keepNext w:val="0"/>
              <w:keepLines w:val="0"/>
              <w:suppressLineNumbers w:val="0"/>
              <w:spacing w:before="0" w:beforeAutospacing="0" w:after="0" w:afterAutospacing="0"/>
              <w:ind w:left="0" w:leftChars="0" w:right="0" w:rightChars="0"/>
              <w:jc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w:t>
            </w:r>
          </w:p>
        </w:tc>
        <w:tc>
          <w:tcPr>
            <w:tcW w:w="15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84ADB">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0"/>
                <w:sz w:val="30"/>
                <w:szCs w:val="30"/>
              </w:rPr>
            </w:pPr>
            <w:r>
              <w:rPr>
                <w:rFonts w:hint="eastAsia" w:ascii="仿宋" w:hAnsi="仿宋" w:eastAsia="仿宋" w:cs="仿宋"/>
                <w:kern w:val="0"/>
                <w:sz w:val="30"/>
                <w:szCs w:val="30"/>
              </w:rPr>
              <w:t>付款条件</w:t>
            </w:r>
          </w:p>
        </w:tc>
        <w:tc>
          <w:tcPr>
            <w:tcW w:w="29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6B44F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color w:val="000000"/>
                <w:kern w:val="0"/>
                <w:sz w:val="30"/>
                <w:szCs w:val="30"/>
              </w:rPr>
              <w:t>合格率达标按月度工作量</w:t>
            </w:r>
            <w:r>
              <w:rPr>
                <w:rFonts w:hint="eastAsia" w:ascii="仿宋" w:hAnsi="仿宋" w:eastAsia="仿宋" w:cs="仿宋"/>
                <w:color w:val="000000"/>
                <w:kern w:val="0"/>
                <w:sz w:val="30"/>
                <w:szCs w:val="30"/>
                <w:lang w:val="en-US" w:eastAsia="zh-CN"/>
              </w:rPr>
              <w:t>据实结算</w:t>
            </w:r>
          </w:p>
        </w:tc>
      </w:tr>
      <w:tr w14:paraId="73BD9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1DB6">
            <w:pPr>
              <w:keepNext w:val="0"/>
              <w:keepLines w:val="0"/>
              <w:suppressLineNumbers w:val="0"/>
              <w:spacing w:before="0" w:beforeAutospacing="0" w:after="0" w:afterAutospacing="0"/>
              <w:ind w:left="0" w:leftChars="0" w:right="0" w:rightChars="0"/>
              <w:jc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3</w:t>
            </w:r>
          </w:p>
        </w:tc>
        <w:tc>
          <w:tcPr>
            <w:tcW w:w="15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EC5AB">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0"/>
                <w:sz w:val="30"/>
                <w:szCs w:val="30"/>
              </w:rPr>
            </w:pPr>
            <w:r>
              <w:rPr>
                <w:rFonts w:hint="eastAsia" w:ascii="仿宋" w:hAnsi="仿宋" w:eastAsia="仿宋" w:cs="仿宋"/>
                <w:kern w:val="0"/>
                <w:sz w:val="30"/>
                <w:szCs w:val="30"/>
              </w:rPr>
              <w:t>服务期</w:t>
            </w:r>
          </w:p>
        </w:tc>
        <w:tc>
          <w:tcPr>
            <w:tcW w:w="29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6A6566">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kern w:val="0"/>
                <w:sz w:val="30"/>
                <w:szCs w:val="30"/>
              </w:rPr>
              <w:t>一年（年度考核合格可续签，不超三年）</w:t>
            </w:r>
          </w:p>
        </w:tc>
      </w:tr>
      <w:tr w14:paraId="6BA6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A1D6">
            <w:pPr>
              <w:keepNext w:val="0"/>
              <w:keepLines w:val="0"/>
              <w:suppressLineNumbers w:val="0"/>
              <w:spacing w:before="0" w:beforeAutospacing="0" w:after="0" w:afterAutospacing="0"/>
              <w:ind w:left="0" w:leftChars="0" w:right="0" w:rightChars="0"/>
              <w:jc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4</w:t>
            </w:r>
          </w:p>
        </w:tc>
        <w:tc>
          <w:tcPr>
            <w:tcW w:w="15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EF3E4">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0"/>
                <w:sz w:val="30"/>
                <w:szCs w:val="30"/>
              </w:rPr>
            </w:pPr>
            <w:r>
              <w:rPr>
                <w:rFonts w:hint="eastAsia" w:ascii="仿宋" w:hAnsi="仿宋" w:eastAsia="仿宋" w:cs="仿宋"/>
                <w:kern w:val="0"/>
                <w:sz w:val="30"/>
                <w:szCs w:val="30"/>
              </w:rPr>
              <w:t>服务地点</w:t>
            </w:r>
          </w:p>
        </w:tc>
        <w:tc>
          <w:tcPr>
            <w:tcW w:w="29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4CFE09">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kern w:val="0"/>
                <w:sz w:val="30"/>
                <w:szCs w:val="30"/>
                <w:highlight w:val="none"/>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35D196D3">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14:paraId="07C9A238">
      <w:pPr>
        <w:numPr>
          <w:ilvl w:val="0"/>
          <w:numId w:val="0"/>
        </w:numPr>
        <w:spacing w:line="560" w:lineRule="exact"/>
        <w:ind w:firstLine="560" w:firstLineChars="200"/>
        <w:jc w:val="left"/>
        <w:rPr>
          <w:rFonts w:hint="eastAsia" w:ascii="仿宋" w:hAnsi="仿宋" w:eastAsia="仿宋" w:cs="仿宋"/>
          <w:sz w:val="28"/>
          <w:szCs w:val="28"/>
          <w:lang w:eastAsia="zh" w:bidi="ar"/>
          <w:woUserID w:val="2"/>
        </w:rPr>
      </w:pPr>
      <w:r>
        <w:rPr>
          <w:rFonts w:hint="eastAsia" w:ascii="仿宋" w:hAnsi="仿宋" w:eastAsia="仿宋" w:cs="仿宋"/>
          <w:sz w:val="28"/>
          <w:szCs w:val="28"/>
          <w:lang w:eastAsia="zh" w:bidi="ar"/>
          <w:woUserID w:val="2"/>
        </w:rPr>
        <w:t>（一）项目基本情况介绍</w:t>
      </w:r>
    </w:p>
    <w:p w14:paraId="33760C6D">
      <w:pPr>
        <w:numPr>
          <w:ilvl w:val="0"/>
          <w:numId w:val="0"/>
        </w:numPr>
        <w:spacing w:line="560" w:lineRule="exact"/>
        <w:ind w:firstLine="560" w:firstLineChars="200"/>
        <w:jc w:val="left"/>
        <w:rPr>
          <w:rFonts w:hint="eastAsia" w:ascii="仿宋" w:hAnsi="仿宋" w:eastAsia="仿宋" w:cs="仿宋"/>
          <w:sz w:val="28"/>
          <w:szCs w:val="28"/>
          <w:lang w:eastAsia="zh" w:bidi="ar"/>
          <w:woUserID w:val="2"/>
        </w:rPr>
      </w:pPr>
      <w:r>
        <w:rPr>
          <w:rFonts w:hint="eastAsia" w:ascii="仿宋" w:hAnsi="仿宋" w:eastAsia="仿宋" w:cs="仿宋"/>
          <w:sz w:val="28"/>
          <w:szCs w:val="28"/>
          <w:lang w:eastAsia="zh" w:bidi="ar"/>
          <w:woUserID w:val="2"/>
        </w:rPr>
        <w:t>根据内卫办医急字〔2024〕879号《内蒙古自治区卫生健康委办公室关于加强公立医疗机构外送样本检测管理工作</w:t>
      </w:r>
      <w:r>
        <w:rPr>
          <w:rFonts w:hint="eastAsia" w:ascii="仿宋" w:hAnsi="仿宋" w:eastAsia="仿宋" w:cs="仿宋"/>
          <w:sz w:val="28"/>
          <w:szCs w:val="28"/>
          <w:lang w:eastAsia="zh-CN" w:bidi="ar"/>
          <w:woUserID w:val="2"/>
        </w:rPr>
        <w:t>的通知</w:t>
      </w:r>
      <w:r>
        <w:rPr>
          <w:rFonts w:hint="eastAsia" w:ascii="仿宋" w:hAnsi="仿宋" w:eastAsia="仿宋" w:cs="仿宋"/>
          <w:sz w:val="28"/>
          <w:szCs w:val="28"/>
          <w:lang w:eastAsia="zh" w:bidi="ar"/>
          <w:woUserID w:val="2"/>
        </w:rPr>
        <w:t>》的要求，我院将临床确有诊疗需要</w:t>
      </w:r>
      <w:r>
        <w:rPr>
          <w:rFonts w:hint="eastAsia" w:ascii="仿宋" w:hAnsi="仿宋" w:eastAsia="仿宋" w:cs="仿宋"/>
          <w:sz w:val="28"/>
          <w:szCs w:val="28"/>
          <w:lang w:eastAsia="zh-CN" w:bidi="ar"/>
          <w:woUserID w:val="2"/>
        </w:rPr>
        <w:t>、但</w:t>
      </w:r>
      <w:r>
        <w:rPr>
          <w:rFonts w:hint="eastAsia" w:ascii="仿宋" w:hAnsi="仿宋" w:eastAsia="仿宋" w:cs="仿宋"/>
          <w:sz w:val="28"/>
          <w:szCs w:val="28"/>
          <w:lang w:eastAsia="zh" w:bidi="ar"/>
          <w:woUserID w:val="2"/>
        </w:rPr>
        <w:t>自身不具备相应资质和能力的样本检测项目，需外送至院外医学检验实验室（以下简称“第三方检测机构”）进行检测的检验项目</w:t>
      </w:r>
      <w:r>
        <w:rPr>
          <w:rFonts w:hint="eastAsia" w:ascii="仿宋" w:hAnsi="仿宋" w:eastAsia="仿宋" w:cs="仿宋"/>
          <w:sz w:val="28"/>
          <w:szCs w:val="28"/>
          <w:lang w:eastAsia="zh-CN" w:bidi="ar"/>
          <w:woUserID w:val="2"/>
        </w:rPr>
        <w:t>，纳入</w:t>
      </w:r>
      <w:r>
        <w:rPr>
          <w:rFonts w:hint="eastAsia" w:ascii="仿宋" w:hAnsi="仿宋" w:eastAsia="仿宋" w:cs="仿宋"/>
          <w:sz w:val="28"/>
          <w:szCs w:val="28"/>
          <w:lang w:eastAsia="zh" w:bidi="ar"/>
          <w:woUserID w:val="2"/>
        </w:rPr>
        <w:t>外送样本检测项目适用范围。</w:t>
      </w:r>
    </w:p>
    <w:p w14:paraId="75CA7EFA">
      <w:pPr>
        <w:numPr>
          <w:ilvl w:val="0"/>
          <w:numId w:val="0"/>
        </w:numPr>
        <w:spacing w:line="560" w:lineRule="exact"/>
        <w:ind w:firstLine="600" w:firstLineChars="200"/>
        <w:jc w:val="left"/>
        <w:rPr>
          <w:rFonts w:hint="eastAsia" w:ascii="仿宋" w:hAnsi="仿宋" w:eastAsia="仿宋" w:cs="仿宋"/>
          <w:sz w:val="30"/>
          <w:szCs w:val="30"/>
        </w:rPr>
      </w:pPr>
      <w:r>
        <w:rPr>
          <w:rFonts w:hint="eastAsia" w:ascii="仿宋" w:hAnsi="仿宋" w:eastAsia="仿宋" w:cs="仿宋"/>
          <w:kern w:val="2"/>
          <w:sz w:val="30"/>
          <w:szCs w:val="30"/>
          <w:lang w:val="en-US" w:eastAsia="zh-CN" w:bidi="ar-SA"/>
        </w:rPr>
        <w:t>（二）</w:t>
      </w:r>
      <w:r>
        <w:rPr>
          <w:rFonts w:hint="eastAsia" w:ascii="仿宋" w:hAnsi="仿宋" w:eastAsia="仿宋" w:cs="仿宋"/>
          <w:sz w:val="30"/>
          <w:szCs w:val="30"/>
        </w:rPr>
        <w:t>技术参数和要求（功能和质量）</w:t>
      </w:r>
    </w:p>
    <w:tbl>
      <w:tblPr>
        <w:tblStyle w:val="12"/>
        <w:tblW w:w="9917"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74"/>
        <w:gridCol w:w="813"/>
        <w:gridCol w:w="7630"/>
      </w:tblGrid>
      <w:tr w14:paraId="5A81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14:paraId="6764F464">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b/>
                <w:bCs/>
                <w:kern w:val="2"/>
                <w:sz w:val="30"/>
                <w:szCs w:val="30"/>
                <w:woUserID w:val="1"/>
              </w:rPr>
            </w:pPr>
            <w:r>
              <w:rPr>
                <w:rFonts w:hint="eastAsia" w:ascii="仿宋" w:hAnsi="仿宋" w:eastAsia="仿宋" w:cs="仿宋"/>
                <w:b/>
                <w:bCs/>
                <w:kern w:val="2"/>
                <w:sz w:val="30"/>
                <w:szCs w:val="30"/>
                <w:lang w:val="en-US" w:eastAsia="zh-CN" w:bidi="ar"/>
                <w:woUserID w:val="1"/>
              </w:rPr>
              <w:t>参数性质</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5E4EFD8D">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b/>
                <w:bCs/>
                <w:kern w:val="2"/>
                <w:sz w:val="30"/>
                <w:szCs w:val="30"/>
                <w:woUserID w:val="1"/>
              </w:rPr>
            </w:pPr>
            <w:r>
              <w:rPr>
                <w:rFonts w:hint="eastAsia" w:ascii="仿宋" w:hAnsi="仿宋" w:eastAsia="仿宋" w:cs="仿宋"/>
                <w:b/>
                <w:bCs/>
                <w:kern w:val="2"/>
                <w:sz w:val="30"/>
                <w:szCs w:val="30"/>
                <w:lang w:val="en-US" w:eastAsia="zh-CN" w:bidi="ar"/>
                <w:woUserID w:val="1"/>
              </w:rPr>
              <w:t>序号</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7A65B180">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b/>
                <w:bCs/>
                <w:kern w:val="2"/>
                <w:sz w:val="30"/>
                <w:szCs w:val="30"/>
                <w:woUserID w:val="1"/>
              </w:rPr>
            </w:pPr>
            <w:r>
              <w:rPr>
                <w:rFonts w:hint="eastAsia" w:ascii="仿宋" w:hAnsi="仿宋" w:eastAsia="仿宋" w:cs="仿宋"/>
                <w:b/>
                <w:bCs/>
                <w:kern w:val="2"/>
                <w:sz w:val="30"/>
                <w:szCs w:val="30"/>
                <w:lang w:val="en-US" w:eastAsia="zh-CN" w:bidi="ar"/>
                <w:woUserID w:val="1"/>
              </w:rPr>
              <w:t>参数</w:t>
            </w:r>
          </w:p>
        </w:tc>
      </w:tr>
      <w:tr w14:paraId="17CD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restart"/>
            <w:tcBorders>
              <w:top w:val="single" w:color="auto" w:sz="4" w:space="0"/>
              <w:left w:val="single" w:color="auto" w:sz="4" w:space="0"/>
              <w:right w:val="single" w:color="auto" w:sz="4" w:space="0"/>
            </w:tcBorders>
            <w:shd w:val="clear" w:color="auto" w:fill="auto"/>
            <w:vAlign w:val="center"/>
          </w:tcPr>
          <w:p w14:paraId="45C4EC9E">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 w:bidi="ar"/>
                <w:woUserID w:val="1"/>
              </w:rPr>
              <w:t>1.</w:t>
            </w:r>
            <w:r>
              <w:rPr>
                <w:rFonts w:hint="eastAsia" w:ascii="仿宋" w:hAnsi="仿宋" w:eastAsia="仿宋" w:cs="仿宋"/>
                <w:kern w:val="2"/>
                <w:sz w:val="30"/>
                <w:szCs w:val="30"/>
                <w:lang w:val="en-US" w:eastAsia="zh-CN" w:bidi="ar"/>
                <w:woUserID w:val="1"/>
              </w:rPr>
              <w:t>服务总体原则</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19AD5791">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1.1</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0DFA8789">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投标人须严格遵守《医疗机构临床实验室管理办法》《病原微生物实验室生物安全管理条例》、GB/T42186-2022《医学检验生物样本冷链物流运作规范》等国家、省/自治区、行业现行规范及标准。</w:t>
            </w:r>
          </w:p>
        </w:tc>
      </w:tr>
      <w:tr w14:paraId="5B0E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1AB2D785">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61F25698">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1.2</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3DE23C14">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服务全过程实行闭环管理、全程可追溯，严禁转包、分包、转借检测资质。</w:t>
            </w:r>
          </w:p>
        </w:tc>
      </w:tr>
      <w:tr w14:paraId="031D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4" w:type="dxa"/>
            <w:vMerge w:val="continue"/>
            <w:tcBorders>
              <w:left w:val="single" w:color="auto" w:sz="4" w:space="0"/>
              <w:bottom w:val="single" w:color="auto" w:sz="4" w:space="0"/>
              <w:right w:val="single" w:color="auto" w:sz="4" w:space="0"/>
            </w:tcBorders>
            <w:shd w:val="clear" w:color="auto" w:fill="auto"/>
            <w:vAlign w:val="center"/>
          </w:tcPr>
          <w:p w14:paraId="1A8266DD">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2B6EFA94">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1.3</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33B2FCD5">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所有标本信息、患者资料、检测数据、报告成果所有权归属采购人，投标人仅限本项目服务使用，不得外泄、不得商用。</w:t>
            </w:r>
          </w:p>
        </w:tc>
      </w:tr>
      <w:tr w14:paraId="5AD0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restart"/>
            <w:tcBorders>
              <w:top w:val="single" w:color="auto" w:sz="4" w:space="0"/>
              <w:left w:val="single" w:color="auto" w:sz="4" w:space="0"/>
              <w:right w:val="single" w:color="auto" w:sz="4" w:space="0"/>
            </w:tcBorders>
            <w:shd w:val="clear" w:color="auto" w:fill="auto"/>
            <w:vAlign w:val="center"/>
          </w:tcPr>
          <w:p w14:paraId="5AB80E1F">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 w:bidi="ar"/>
                <w:woUserID w:val="1"/>
              </w:rPr>
              <w:t>2.</w:t>
            </w:r>
            <w:r>
              <w:rPr>
                <w:rFonts w:hint="eastAsia" w:ascii="仿宋" w:hAnsi="仿宋" w:eastAsia="仿宋" w:cs="仿宋"/>
                <w:kern w:val="2"/>
                <w:sz w:val="30"/>
                <w:szCs w:val="30"/>
                <w:lang w:val="en-US" w:eastAsia="zh-CN" w:bidi="ar"/>
                <w:woUserID w:val="1"/>
              </w:rPr>
              <w:t>技术服务方案要求</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6B19887B">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2.1</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0D9DAADD">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项目人员配备：须明确项目组织架构、项目负责人、采样指导人员、物流运输人员、实验室检测人员、质量管控人员、售后对接专职人员配置；明确岗位职责、任职条件、专业资质、在岗值守机制，人员配置满足本项目日常及突发标本外送检测需求。</w:t>
            </w:r>
          </w:p>
        </w:tc>
      </w:tr>
      <w:tr w14:paraId="3FBB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583F2B40">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1577EA00">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2.2</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4A35E8BE">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样本采集规范：制定适配采购人各专业标本的标准化采集操作规程；明确采集前准备、操作流程、标本标识、信息核对、采样耗材标准、不合格标本判定及退回流程，具备现场指导及规范全院采样操作能力。</w:t>
            </w:r>
          </w:p>
        </w:tc>
      </w:tr>
      <w:tr w14:paraId="7D27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2E549A2F">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1E849FB9">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2.3</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52A548DA">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标本保存：按不同标本类型分类制定保存温度、保存时限、临时存放条件、冷藏/低温设备配置、日常温度监测、记录留存等管理要求；明确超时标本、不合格标本、废弃标本规范处置流程，符合生物安全及院感管理要求。</w:t>
            </w:r>
          </w:p>
        </w:tc>
      </w:tr>
      <w:tr w14:paraId="566E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1CA8A1D9">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503A1C81">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2.4</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590CBEFA">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检测工作流程规范：完整制定标本接收、信息核对、标本前处理、上机检测、室内质控、结果复核、报告签发全流程标准作业程序，岗位职责清晰、流程闭环、质量可控。</w:t>
            </w:r>
          </w:p>
        </w:tc>
      </w:tr>
      <w:tr w14:paraId="3E91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064C300A">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294410B9">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2.5</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1099EC23">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发送检测结果报告方法：须提供多渠道报告送达方式：支持 LIS 系统无缝对接、PDF报告推送、官方线上查询平台、纸质报告专人送达等；保障报告传输安全、及时、防篡改、可追溯。</w:t>
            </w:r>
          </w:p>
        </w:tc>
      </w:tr>
      <w:tr w14:paraId="7159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continue"/>
            <w:tcBorders>
              <w:left w:val="single" w:color="auto" w:sz="4" w:space="0"/>
              <w:bottom w:val="single" w:color="auto" w:sz="4" w:space="0"/>
              <w:right w:val="single" w:color="auto" w:sz="4" w:space="0"/>
            </w:tcBorders>
            <w:shd w:val="clear" w:color="auto" w:fill="auto"/>
            <w:vAlign w:val="center"/>
          </w:tcPr>
          <w:p w14:paraId="37764719">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7D2F868">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2.6</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5B39D60A">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报告出具时间控制：分别制定常规标本、急诊/特急标本报告出具时限承诺；建立检测进度跟踪、超时预警、延时主动告知、加急绿色通道管控机制，满足临床诊疗时效需求。</w:t>
            </w:r>
          </w:p>
        </w:tc>
      </w:tr>
      <w:tr w14:paraId="2AAB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restart"/>
            <w:tcBorders>
              <w:top w:val="single" w:color="auto" w:sz="4" w:space="0"/>
              <w:left w:val="single" w:color="auto" w:sz="4" w:space="0"/>
              <w:right w:val="single" w:color="auto" w:sz="4" w:space="0"/>
            </w:tcBorders>
            <w:shd w:val="clear" w:color="auto" w:fill="auto"/>
            <w:vAlign w:val="center"/>
          </w:tcPr>
          <w:p w14:paraId="5AA1A8E5">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 w:bidi="ar"/>
                <w:woUserID w:val="1"/>
              </w:rPr>
              <w:t>3.</w:t>
            </w:r>
            <w:r>
              <w:rPr>
                <w:rFonts w:hint="eastAsia" w:ascii="仿宋" w:hAnsi="仿宋" w:eastAsia="仿宋" w:cs="仿宋"/>
                <w:kern w:val="2"/>
                <w:sz w:val="30"/>
                <w:szCs w:val="30"/>
                <w:lang w:val="en-US" w:eastAsia="zh-CN" w:bidi="ar"/>
                <w:woUserID w:val="1"/>
              </w:rPr>
              <w:t>服务质量保障方案要求</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02FB54AC">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3.1</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03C01C43">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检测方法方面质量控制：建立常态化室内质控管理制度，严格执行质控规则；按期参加省/自治区、市级临床检验中心室间质评，确保参评项目全部合格，留存完整质控、室间质评记录及整改资料，无室间质评的项目采用替代方案，并保留原始资料。</w:t>
            </w:r>
          </w:p>
        </w:tc>
      </w:tr>
      <w:tr w14:paraId="1841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7F770B4C">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77DD7FAD">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3.2</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1AD9C515">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样本方面质量控制：建立标本入库准入审核机制，对溶血、凝血、标本量不足、标识不清、污染、超时送达等不合格标本实行拒收、登记、反馈、退回闭环管理。</w:t>
            </w:r>
          </w:p>
        </w:tc>
      </w:tr>
      <w:tr w14:paraId="3B21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7F45A921">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6A7F82AD">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3.3</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01C27031">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技术人员方面质量控制：建立人员岗前培训、定期技能考核、继续教育及持证上岗制度；关键岗位人员保持稳定，人员变动提前报备采购人。</w:t>
            </w:r>
          </w:p>
        </w:tc>
      </w:tr>
      <w:tr w14:paraId="1A46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6A73DA5B">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4DEFC09">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highlight w:val="none"/>
                <w:woUserID w:val="1"/>
              </w:rPr>
            </w:pPr>
            <w:r>
              <w:rPr>
                <w:rFonts w:hint="eastAsia" w:ascii="仿宋" w:hAnsi="仿宋" w:eastAsia="仿宋" w:cs="仿宋"/>
                <w:kern w:val="2"/>
                <w:sz w:val="30"/>
                <w:szCs w:val="30"/>
                <w:highlight w:val="none"/>
                <w:lang w:val="en-US" w:eastAsia="zh-CN" w:bidi="ar"/>
                <w:woUserID w:val="1"/>
              </w:rPr>
              <w:t>3.4</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095218B2">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highlight w:val="none"/>
                <w:lang w:eastAsia="zh"/>
                <w:woUserID w:val="2"/>
              </w:rPr>
            </w:pPr>
            <w:r>
              <w:rPr>
                <w:rFonts w:hint="eastAsia" w:ascii="仿宋" w:hAnsi="仿宋" w:eastAsia="仿宋" w:cs="仿宋"/>
                <w:kern w:val="2"/>
                <w:sz w:val="30"/>
                <w:szCs w:val="30"/>
                <w:highlight w:val="none"/>
                <w:lang w:val="en-US" w:eastAsia="zh" w:bidi="ar"/>
                <w:woUserID w:val="2"/>
              </w:rPr>
              <w:t>检测设备质量控制：投标人所有检测仪器、冷链设备须持有合规有效资质文件；针对关键仪器及配套试剂建立台账管理、日常维保、定期校准检定、故障报修等全流程管理制度，并完整留存相关管理档案。投标时须一并提交仪器设备注册证、关键试剂注册证，若采用实验室自建检测方法，还需补充对应的方法学验证资料。</w:t>
            </w:r>
          </w:p>
        </w:tc>
      </w:tr>
      <w:tr w14:paraId="1DF8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bottom w:val="single" w:color="auto" w:sz="4" w:space="0"/>
              <w:right w:val="single" w:color="auto" w:sz="4" w:space="0"/>
            </w:tcBorders>
            <w:shd w:val="clear" w:color="auto" w:fill="auto"/>
            <w:vAlign w:val="center"/>
          </w:tcPr>
          <w:p w14:paraId="717F93CB">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7EB720EF">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3.5</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4DB1CB7C">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标本运输质量控制：建立冷链运输全流程质控体系，运输温度、运行轨迹全程实时监控；转运容器定期消杀、维保；物流人员定期生物安全及操作培训，杜绝标本破损、渗漏、失温、丢失。</w:t>
            </w:r>
          </w:p>
        </w:tc>
      </w:tr>
      <w:tr w14:paraId="5F5B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restart"/>
            <w:tcBorders>
              <w:top w:val="single" w:color="auto" w:sz="4" w:space="0"/>
              <w:left w:val="single" w:color="auto" w:sz="4" w:space="0"/>
              <w:right w:val="single" w:color="auto" w:sz="4" w:space="0"/>
            </w:tcBorders>
            <w:shd w:val="clear" w:color="auto" w:fill="auto"/>
            <w:vAlign w:val="center"/>
          </w:tcPr>
          <w:p w14:paraId="4302FCBE">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 w:bidi="ar"/>
                <w:woUserID w:val="1"/>
              </w:rPr>
              <w:t>4.</w:t>
            </w:r>
            <w:r>
              <w:rPr>
                <w:rFonts w:hint="eastAsia" w:ascii="仿宋" w:hAnsi="仿宋" w:eastAsia="仿宋" w:cs="仿宋"/>
                <w:kern w:val="2"/>
                <w:sz w:val="30"/>
                <w:szCs w:val="30"/>
                <w:lang w:val="en-US" w:eastAsia="zh-CN" w:bidi="ar"/>
                <w:woUserID w:val="1"/>
              </w:rPr>
              <w:t>应急方案要求</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DF66CC3">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4.1</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19ED1B48">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结果异议应急方案：建立检测结果异议受理、登记、复核、复检、结果反馈、原因分析及整改闭环流程，明确响应时限及处置流程。</w:t>
            </w:r>
          </w:p>
        </w:tc>
      </w:tr>
      <w:tr w14:paraId="6CFC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22DF0099">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161B9BCC">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4.2</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6A4B1E30">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报告丢失应急方案：制定纸质报告、电子报告丢失/损毁的应急补发、数据备份、系统恢复、溯源核查处置流程。</w:t>
            </w:r>
          </w:p>
        </w:tc>
      </w:tr>
      <w:tr w14:paraId="7B23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3000AAC6">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55E8BF80">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4.3</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53D5FCEF">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售后支持应急方案：设立7×24小时应急售后联络渠道，明确紧急诉求响应时限、现场服务到场时限、问题办结及回访机制。</w:t>
            </w:r>
          </w:p>
        </w:tc>
      </w:tr>
      <w:tr w14:paraId="26CA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6821E24B">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2EE20C36">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4.4</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1D5DB1EE">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仪器、分析软件故障维修应急方案：制定检测设备、分析软件突发故障停机应急预案，配置备用设备/备用系统，确保检测业务不中断、报告出具不受影响。</w:t>
            </w:r>
          </w:p>
        </w:tc>
      </w:tr>
      <w:tr w14:paraId="5C7E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4FFB0BCC">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5587C92E">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4.5</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43FBA3E9">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特急标本优先加急特事特办服务：开通危重症、急诊标本检测绿色通道，实行专人对接、全程优先处理，明确加急标本最快报告出具时限。</w:t>
            </w:r>
          </w:p>
        </w:tc>
      </w:tr>
      <w:tr w14:paraId="5DD7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restart"/>
            <w:tcBorders>
              <w:top w:val="single" w:color="auto" w:sz="4" w:space="0"/>
              <w:left w:val="single" w:color="auto" w:sz="4" w:space="0"/>
              <w:right w:val="single" w:color="auto" w:sz="4" w:space="0"/>
            </w:tcBorders>
            <w:shd w:val="clear" w:color="auto" w:fill="auto"/>
            <w:vAlign w:val="center"/>
          </w:tcPr>
          <w:p w14:paraId="6D361B62">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 w:bidi="ar"/>
                <w:woUserID w:val="1"/>
              </w:rPr>
              <w:t>5.</w:t>
            </w:r>
            <w:r>
              <w:rPr>
                <w:rFonts w:hint="eastAsia" w:ascii="仿宋" w:hAnsi="仿宋" w:eastAsia="仿宋" w:cs="仿宋"/>
                <w:kern w:val="2"/>
                <w:sz w:val="30"/>
                <w:szCs w:val="30"/>
                <w:lang w:val="en-US" w:eastAsia="zh-CN" w:bidi="ar"/>
                <w:woUserID w:val="1"/>
              </w:rPr>
              <w:t>安全方案要求</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56DFD32B">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5.1</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15EFFE55">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配送环境（冷链运输）及运输安全：规范冷链运输包装、生物安全防护、运输路线规划、途中温度管控、突发交通事故/温控异常应急处置措施。</w:t>
            </w:r>
          </w:p>
        </w:tc>
      </w:tr>
      <w:tr w14:paraId="4328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744A2687">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14F4EDCE">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5.2</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3AAF2347">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样品储存环境安全：标本储存区域实行封闭式门禁管理；储存设备具备温度实时监控、异常报警、断电保护功能；定期环境消杀、安全巡查、生物安全隐患排查。</w:t>
            </w:r>
          </w:p>
        </w:tc>
      </w:tr>
      <w:tr w14:paraId="531E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bottom w:val="single" w:color="auto" w:sz="4" w:space="0"/>
              <w:right w:val="single" w:color="auto" w:sz="4" w:space="0"/>
            </w:tcBorders>
            <w:shd w:val="clear" w:color="auto" w:fill="auto"/>
            <w:vAlign w:val="center"/>
          </w:tcPr>
          <w:p w14:paraId="130CCA11">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896D974">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5.3</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035A6DDD">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检测团队安全保障及设备安全操作：建立实验室生物安全防护制度，配齐个人防护用品；定期开展生物安全培训、职业暴露应急演练；制定所有仪器设备标准安全操作规程，实行专人持证操作、定期安全检查。</w:t>
            </w:r>
          </w:p>
        </w:tc>
      </w:tr>
      <w:tr w14:paraId="3B8C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restart"/>
            <w:tcBorders>
              <w:top w:val="single" w:color="auto" w:sz="4" w:space="0"/>
              <w:left w:val="single" w:color="auto" w:sz="4" w:space="0"/>
              <w:right w:val="single" w:color="auto" w:sz="4" w:space="0"/>
            </w:tcBorders>
            <w:shd w:val="clear" w:color="auto" w:fill="auto"/>
            <w:vAlign w:val="center"/>
          </w:tcPr>
          <w:p w14:paraId="7013D89A">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 w:bidi="ar"/>
                <w:woUserID w:val="1"/>
              </w:rPr>
              <w:t>6.</w:t>
            </w:r>
            <w:r>
              <w:rPr>
                <w:rFonts w:hint="eastAsia" w:ascii="仿宋" w:hAnsi="仿宋" w:eastAsia="仿宋" w:cs="仿宋"/>
                <w:kern w:val="2"/>
                <w:sz w:val="30"/>
                <w:szCs w:val="30"/>
                <w:lang w:val="en-US" w:eastAsia="zh-CN" w:bidi="ar"/>
                <w:woUserID w:val="1"/>
              </w:rPr>
              <w:t>售后服务方案要求</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759D4ADD">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6.1</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0C67766C">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服务响应与支持：设立专属项目对接人，建立日常业务咨询、问题投诉、业务协调常态化响应机制，限时办结、事后回访。</w:t>
            </w:r>
          </w:p>
        </w:tc>
      </w:tr>
      <w:tr w14:paraId="60B4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68963C1F">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49815FD3">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6.2</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384D63A7">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服务流程优化承诺：承诺根据采购人临床使用反馈，持续优化标本收取、转运、检测、报告推送全流程服务，主动接受采购人考核监督。</w:t>
            </w:r>
          </w:p>
        </w:tc>
      </w:tr>
      <w:tr w14:paraId="1A1B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24F3DB6A">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59911EA6">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6.3</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75B130A9">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培训与教育：免费为采购人提供常态化培训，包含标本采集规范、保存转运要求、生物安全防护、报告解读、系统操作、院感管理等线上+线下培训及实操指导。</w:t>
            </w:r>
          </w:p>
        </w:tc>
      </w:tr>
      <w:tr w14:paraId="3680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continue"/>
            <w:tcBorders>
              <w:left w:val="single" w:color="auto" w:sz="4" w:space="0"/>
              <w:bottom w:val="single" w:color="auto" w:sz="4" w:space="0"/>
              <w:right w:val="single" w:color="auto" w:sz="4" w:space="0"/>
            </w:tcBorders>
            <w:shd w:val="clear" w:color="auto" w:fill="auto"/>
            <w:vAlign w:val="center"/>
          </w:tcPr>
          <w:p w14:paraId="0829065F">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7BF18B66">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6.4</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1832C483">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检验结果科研解释及与医生有效沟通方案：配备专业检验技术团队，为疑难检测结果提供专业解读、科研数据分析支持；建立常态化临床沟通机制，及时解答临床疑问、提供专业技术咨询。</w:t>
            </w:r>
          </w:p>
        </w:tc>
      </w:tr>
      <w:tr w14:paraId="0A27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restart"/>
            <w:tcBorders>
              <w:top w:val="single" w:color="auto" w:sz="4" w:space="0"/>
              <w:left w:val="single" w:color="auto" w:sz="4" w:space="0"/>
              <w:right w:val="single" w:color="auto" w:sz="4" w:space="0"/>
            </w:tcBorders>
            <w:shd w:val="clear" w:color="auto" w:fill="auto"/>
            <w:vAlign w:val="center"/>
          </w:tcPr>
          <w:p w14:paraId="275E0E3A">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lang w:eastAsia="zh"/>
                <w:woUserID w:val="1"/>
              </w:rPr>
            </w:pPr>
            <w:r>
              <w:rPr>
                <w:rFonts w:hint="eastAsia" w:ascii="仿宋" w:hAnsi="仿宋" w:eastAsia="仿宋" w:cs="仿宋"/>
                <w:kern w:val="2"/>
                <w:sz w:val="30"/>
                <w:szCs w:val="30"/>
                <w:lang w:eastAsia="zh"/>
                <w:woUserID w:val="1"/>
              </w:rPr>
              <w:t>7.</w:t>
            </w:r>
            <w:r>
              <w:rPr>
                <w:rFonts w:hint="eastAsia" w:ascii="仿宋" w:hAnsi="仿宋" w:eastAsia="仿宋" w:cs="仿宋"/>
                <w:kern w:val="2"/>
                <w:sz w:val="30"/>
                <w:szCs w:val="30"/>
                <w:lang w:val="en-US" w:eastAsia="zh-CN" w:bidi="ar"/>
                <w:woUserID w:val="1"/>
              </w:rPr>
              <w:t>保密方案要求</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0E6B3B69">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7.1</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254E78BB">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保密管理制度：建立完善患者隐私、标本信息、检测数据、检测报告、科研资料保密管理制度，明确保密范围、责任分工、违规追责机制。</w:t>
            </w:r>
          </w:p>
        </w:tc>
      </w:tr>
      <w:tr w14:paraId="11A1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4DB01D05">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465B73F8">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7.2</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7C5AF55C">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签署保密协议内容：所有接触涉密信息的管理人员、检测人员、物流人员、售后人员须全员签订保密协议，明确保密义务、保密期限及违约责任。</w:t>
            </w:r>
          </w:p>
        </w:tc>
      </w:tr>
      <w:tr w14:paraId="4BFE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0877E1BA">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23C1FA38">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7.3</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78D46A67">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保密培训：定期开展隐私保护、保密法规、信息安全、数据防泄漏专项培训，培训考核合格后方可上岗。</w:t>
            </w:r>
          </w:p>
        </w:tc>
      </w:tr>
      <w:tr w14:paraId="5D34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bottom w:val="single" w:color="auto" w:sz="4" w:space="0"/>
              <w:right w:val="single" w:color="auto" w:sz="4" w:space="0"/>
            </w:tcBorders>
            <w:shd w:val="clear" w:color="auto" w:fill="auto"/>
            <w:vAlign w:val="center"/>
          </w:tcPr>
          <w:p w14:paraId="6ABEC32C">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1EA7EA32">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7.4</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72336224">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电子信息保密办法：检测系统、数据存储实行分级授权、加密存储、加密传输、操作全程留痕；配置防火墙、数据异地备份、防篡改安全防护措施，严防网络攻击及电子信息外泄。</w:t>
            </w:r>
          </w:p>
        </w:tc>
      </w:tr>
      <w:tr w14:paraId="39C8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restart"/>
            <w:tcBorders>
              <w:top w:val="single" w:color="auto" w:sz="4" w:space="0"/>
              <w:left w:val="single" w:color="auto" w:sz="4" w:space="0"/>
              <w:right w:val="single" w:color="auto" w:sz="4" w:space="0"/>
            </w:tcBorders>
            <w:shd w:val="clear" w:color="auto" w:fill="auto"/>
            <w:vAlign w:val="center"/>
          </w:tcPr>
          <w:p w14:paraId="1B7A18E0">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 w:bidi="ar"/>
                <w:woUserID w:val="1"/>
              </w:rPr>
              <w:t>8.</w:t>
            </w:r>
            <w:r>
              <w:rPr>
                <w:rFonts w:hint="eastAsia" w:ascii="仿宋" w:hAnsi="仿宋" w:eastAsia="仿宋" w:cs="仿宋"/>
                <w:kern w:val="2"/>
                <w:sz w:val="30"/>
                <w:szCs w:val="30"/>
                <w:lang w:val="en-US" w:eastAsia="zh-CN" w:bidi="ar"/>
                <w:woUserID w:val="1"/>
              </w:rPr>
              <w:t>标本运输专项技术要求</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78543622">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8.1</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00FCB38C">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冷链箱智能功能要求：投标方所用物流标本箱须具备GPS定位+温度全程实时监控功能，可实现位置及温度全程实时监测、异常报警、历史数据可溯源；须提供相关功能证明、实物图片及系统截图并加盖公章。</w:t>
            </w:r>
          </w:p>
        </w:tc>
      </w:tr>
      <w:tr w14:paraId="3CF4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3A944712">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11ED0777">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8.2</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1F5E3F73">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道路运输资质要求：投标人须具备有效《道路运输经营许可证》及匹配的专用标本运输车辆；须提供行驶证、道路运输经营许可证复印件并加盖公章。</w:t>
            </w:r>
          </w:p>
        </w:tc>
      </w:tr>
      <w:tr w14:paraId="7856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00FEFA1E">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0BEF2DEF">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8.3</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51F604C5">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国标达标资质要求：投标人须为GB/T42186-2022《医学检验生物样本冷链物流运作规范》国家标准达标企业，并提供有效证明文件。</w:t>
            </w:r>
          </w:p>
        </w:tc>
      </w:tr>
      <w:tr w14:paraId="0760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continue"/>
            <w:tcBorders>
              <w:left w:val="single" w:color="auto" w:sz="4" w:space="0"/>
              <w:bottom w:val="single" w:color="auto" w:sz="4" w:space="0"/>
              <w:right w:val="single" w:color="auto" w:sz="4" w:space="0"/>
            </w:tcBorders>
            <w:shd w:val="clear" w:color="auto" w:fill="auto"/>
            <w:vAlign w:val="center"/>
          </w:tcPr>
          <w:p w14:paraId="086A3EF6">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B145D75">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8.4</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0E5ACD76">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标本管理与物流服务：标本采集、标本收取、标本冷链转运、交接签收、物流人员培训、异常情况处置等全部内容；投标文件须附运输专用容器实物图片、全程电子监控系统截图及文字说明，全部加盖公章。</w:t>
            </w:r>
          </w:p>
        </w:tc>
      </w:tr>
      <w:tr w14:paraId="7BB2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restart"/>
            <w:tcBorders>
              <w:top w:val="single" w:color="auto" w:sz="4" w:space="0"/>
              <w:left w:val="single" w:color="auto" w:sz="4" w:space="0"/>
              <w:right w:val="single" w:color="auto" w:sz="4" w:space="0"/>
            </w:tcBorders>
            <w:shd w:val="clear" w:color="auto" w:fill="auto"/>
            <w:vAlign w:val="center"/>
          </w:tcPr>
          <w:p w14:paraId="71ACE1B0">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lang w:eastAsia="zh"/>
                <w:woUserID w:val="1"/>
              </w:rPr>
            </w:pPr>
            <w:r>
              <w:rPr>
                <w:rFonts w:hint="eastAsia" w:ascii="仿宋" w:hAnsi="仿宋" w:eastAsia="仿宋" w:cs="仿宋"/>
                <w:kern w:val="2"/>
                <w:sz w:val="30"/>
                <w:szCs w:val="30"/>
                <w:lang w:eastAsia="zh"/>
                <w:woUserID w:val="1"/>
              </w:rPr>
              <w:t>9.</w:t>
            </w:r>
            <w:r>
              <w:rPr>
                <w:rFonts w:hint="eastAsia" w:ascii="仿宋" w:hAnsi="仿宋" w:eastAsia="仿宋" w:cs="仿宋"/>
                <w:color w:val="000000"/>
                <w:kern w:val="2"/>
                <w:sz w:val="30"/>
                <w:szCs w:val="30"/>
                <w:lang w:val="en-US" w:eastAsia="zh-CN" w:bidi="ar"/>
                <w:woUserID w:val="1"/>
              </w:rPr>
              <w:t>商务资质、业绩及实力</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02D8F88">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9.1</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389B4298">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color w:val="000000"/>
                <w:kern w:val="2"/>
                <w:sz w:val="30"/>
                <w:szCs w:val="30"/>
                <w:woUserID w:val="1"/>
              </w:rPr>
            </w:pPr>
            <w:r>
              <w:rPr>
                <w:rFonts w:hint="eastAsia" w:ascii="仿宋" w:hAnsi="仿宋" w:eastAsia="仿宋" w:cs="仿宋"/>
                <w:color w:val="000000"/>
                <w:kern w:val="2"/>
                <w:sz w:val="30"/>
                <w:szCs w:val="30"/>
                <w:lang w:val="en-US" w:eastAsia="zh-CN" w:bidi="ar"/>
                <w:woUserID w:val="1"/>
              </w:rPr>
              <w:t>项目业绩：投标人近三年（自投标截止时间倒算）须具有同类检验标本外送检测服务项目业绩。</w:t>
            </w:r>
          </w:p>
        </w:tc>
      </w:tr>
      <w:tr w14:paraId="735B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1A8877AD">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lang w:eastAsia="zh"/>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9C86A11">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lang w:val="en-US" w:eastAsia="zh-CN" w:bidi="ar"/>
                <w:woUserID w:val="1"/>
              </w:rPr>
            </w:pPr>
            <w:r>
              <w:rPr>
                <w:rFonts w:hint="eastAsia" w:ascii="仿宋" w:hAnsi="仿宋" w:eastAsia="仿宋" w:cs="仿宋"/>
                <w:kern w:val="2"/>
                <w:sz w:val="30"/>
                <w:szCs w:val="30"/>
                <w:lang w:val="en-US" w:eastAsia="zh-CN" w:bidi="ar"/>
                <w:woUserID w:val="1"/>
              </w:rPr>
              <w:t>9.2</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2AFF3749">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color w:val="000000"/>
                <w:kern w:val="2"/>
                <w:sz w:val="30"/>
                <w:szCs w:val="30"/>
                <w:lang w:val="en-US" w:eastAsia="zh-CN" w:bidi="ar"/>
                <w:woUserID w:val="1"/>
              </w:rPr>
            </w:pPr>
            <w:r>
              <w:rPr>
                <w:rFonts w:hint="eastAsia" w:ascii="仿宋" w:hAnsi="仿宋" w:eastAsia="仿宋" w:cs="仿宋"/>
                <w:color w:val="000000"/>
                <w:kern w:val="2"/>
                <w:sz w:val="30"/>
                <w:szCs w:val="30"/>
                <w:lang w:val="en-US" w:eastAsia="zh-CN" w:bidi="ar"/>
                <w:woUserID w:val="1"/>
              </w:rPr>
              <w:t>具备国家卫生健康委员会部门（原国家卫生计生委医政医管局）颁发的肿瘤诊断与治疗项目高通量基因测序技术临床应用试点单位；技术专家入选医用高通量测序标准化技术归口单位成员名单。</w:t>
            </w:r>
          </w:p>
        </w:tc>
      </w:tr>
      <w:tr w14:paraId="50FE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72" w:hRule="atLeast"/>
        </w:trPr>
        <w:tc>
          <w:tcPr>
            <w:tcW w:w="1474" w:type="dxa"/>
            <w:vMerge w:val="continue"/>
            <w:tcBorders>
              <w:left w:val="single" w:color="auto" w:sz="4" w:space="0"/>
              <w:bottom w:val="single" w:color="auto" w:sz="4" w:space="0"/>
              <w:right w:val="single" w:color="auto" w:sz="4" w:space="0"/>
            </w:tcBorders>
            <w:shd w:val="clear" w:color="auto" w:fill="auto"/>
            <w:vAlign w:val="center"/>
          </w:tcPr>
          <w:p w14:paraId="62903D43">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20376816">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lang w:val="en-US"/>
                <w:woUserID w:val="1"/>
              </w:rPr>
            </w:pPr>
            <w:r>
              <w:rPr>
                <w:rFonts w:hint="eastAsia" w:ascii="仿宋" w:hAnsi="仿宋" w:eastAsia="仿宋" w:cs="仿宋"/>
                <w:kern w:val="2"/>
                <w:sz w:val="30"/>
                <w:szCs w:val="30"/>
                <w:lang w:val="en-US" w:eastAsia="zh-CN" w:bidi="ar"/>
                <w:woUserID w:val="1"/>
              </w:rPr>
              <w:t>9.3</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5C7D54AF">
            <w:pPr>
              <w:keepNext w:val="0"/>
              <w:keepLines w:val="0"/>
              <w:widowControl w:val="0"/>
              <w:suppressLineNumbers w:val="0"/>
              <w:spacing w:before="0" w:beforeAutospacing="0" w:after="0" w:afterAutospacing="0" w:line="240" w:lineRule="auto"/>
              <w:ind w:left="0" w:right="0"/>
              <w:jc w:val="left"/>
              <w:rPr>
                <w:rFonts w:hint="eastAsia" w:ascii="仿宋" w:hAnsi="仿宋" w:eastAsia="仿宋" w:cs="仿宋"/>
                <w:kern w:val="2"/>
                <w:sz w:val="30"/>
                <w:szCs w:val="30"/>
                <w:lang w:val="en-US" w:eastAsia="zh-CN" w:bidi="ar"/>
                <w:woUserID w:val="1"/>
              </w:rPr>
            </w:pPr>
            <w:r>
              <w:rPr>
                <w:rFonts w:hint="eastAsia" w:ascii="仿宋" w:hAnsi="仿宋" w:eastAsia="仿宋" w:cs="仿宋"/>
                <w:kern w:val="2"/>
                <w:sz w:val="30"/>
                <w:szCs w:val="30"/>
                <w:lang w:val="en-US" w:eastAsia="zh-CN" w:bidi="ar"/>
                <w:woUserID w:val="1"/>
              </w:rPr>
              <w:t>实验室及企业实力认证：</w:t>
            </w:r>
          </w:p>
          <w:p w14:paraId="7A60591E">
            <w:pPr>
              <w:keepNext w:val="0"/>
              <w:keepLines w:val="0"/>
              <w:widowControl w:val="0"/>
              <w:suppressLineNumbers w:val="0"/>
              <w:spacing w:before="0" w:beforeAutospacing="0" w:after="0" w:afterAutospacing="0" w:line="240"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供应商实验室具备有效期内P2实验室能力认证证书；</w:t>
            </w:r>
          </w:p>
          <w:p w14:paraId="2A3BCB95">
            <w:pPr>
              <w:keepNext w:val="0"/>
              <w:keepLines w:val="0"/>
              <w:widowControl w:val="0"/>
              <w:suppressLineNumbers w:val="0"/>
              <w:spacing w:before="0" w:beforeAutospacing="0" w:after="0" w:afterAutospacing="0" w:line="240"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供应商具备检验ISO 15189质量管理体系认证证书；</w:t>
            </w:r>
          </w:p>
          <w:p w14:paraId="2A1AB704">
            <w:pPr>
              <w:keepNext w:val="0"/>
              <w:keepLines w:val="0"/>
              <w:widowControl w:val="0"/>
              <w:suppressLineNumbers w:val="0"/>
              <w:spacing w:before="0" w:beforeAutospacing="0" w:after="0" w:afterAutospacing="0" w:line="240"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供应商具备3A及以上信用评级证书，提供原件扫描件；</w:t>
            </w:r>
          </w:p>
          <w:p w14:paraId="7CE477E7">
            <w:pPr>
              <w:keepNext w:val="0"/>
              <w:keepLines w:val="0"/>
              <w:widowControl w:val="0"/>
              <w:suppressLineNumbers w:val="0"/>
              <w:spacing w:before="0" w:beforeAutospacing="0" w:after="0" w:afterAutospacing="0" w:line="240"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若涉及临床基因扩增或测序项目，供应商须具备临床基因扩增检验实验室（PCR）技术验收合格资质，为项目实质性准入条件。</w:t>
            </w:r>
          </w:p>
        </w:tc>
      </w:tr>
      <w:tr w14:paraId="39BF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restart"/>
            <w:tcBorders>
              <w:top w:val="single" w:color="auto" w:sz="4" w:space="0"/>
              <w:left w:val="single" w:color="auto" w:sz="4" w:space="0"/>
              <w:right w:val="single" w:color="auto" w:sz="4" w:space="0"/>
            </w:tcBorders>
            <w:shd w:val="clear" w:color="auto" w:fill="auto"/>
            <w:vAlign w:val="center"/>
          </w:tcPr>
          <w:p w14:paraId="0C42870F">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lang w:eastAsia="zh"/>
                <w:woUserID w:val="1"/>
              </w:rPr>
            </w:pPr>
            <w:r>
              <w:rPr>
                <w:rFonts w:hint="eastAsia" w:ascii="仿宋" w:hAnsi="仿宋" w:eastAsia="仿宋" w:cs="仿宋"/>
                <w:kern w:val="2"/>
                <w:sz w:val="30"/>
                <w:szCs w:val="30"/>
                <w:lang w:eastAsia="zh"/>
                <w:woUserID w:val="1"/>
              </w:rPr>
              <w:t>10.</w:t>
            </w:r>
            <w:r>
              <w:rPr>
                <w:rFonts w:hint="eastAsia" w:ascii="仿宋" w:hAnsi="仿宋" w:eastAsia="仿宋" w:cs="仿宋"/>
                <w:kern w:val="2"/>
                <w:sz w:val="30"/>
                <w:szCs w:val="30"/>
                <w:lang w:val="en-US" w:eastAsia="zh-CN" w:bidi="ar"/>
                <w:woUserID w:val="1"/>
              </w:rPr>
              <w:t>其他实质性服务要求</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40EA34AC">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10.1</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34671EC6">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中标人免费提供本项目所需标本采集耗材、存放容器、申请单、标识标签等配套物资，所有耗材符合医疗器械合规要求。</w:t>
            </w:r>
          </w:p>
        </w:tc>
      </w:tr>
      <w:tr w14:paraId="5676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6A8FBF3A">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0B27311C">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10.2</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1DF4A769">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中标人须无条件免费配合采购人现有HIS/LIS系统接口对接，实现标本信息、检测报告双向互联互通，不得收取任何对接及运维费用。</w:t>
            </w:r>
          </w:p>
        </w:tc>
      </w:tr>
      <w:tr w14:paraId="39F9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55994473">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01FBE9BA">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10.3</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7731BC9B">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因检测失误、操作不规范、标本管理不当、信息泄露等造成医疗纠纷、经济损失及不良影响，全部责任及损失由中标人承担。</w:t>
            </w:r>
          </w:p>
        </w:tc>
      </w:tr>
      <w:tr w14:paraId="2CAE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3896C8FE">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2194AFBE">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10.4</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22E5D4D8">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woUserID w:val="1"/>
              </w:rPr>
            </w:pPr>
            <w:r>
              <w:rPr>
                <w:rFonts w:hint="eastAsia" w:ascii="仿宋" w:hAnsi="仿宋" w:eastAsia="仿宋" w:cs="仿宋"/>
                <w:kern w:val="2"/>
                <w:sz w:val="30"/>
                <w:szCs w:val="30"/>
                <w:lang w:val="en-US" w:eastAsia="zh-CN" w:bidi="ar"/>
                <w:woUserID w:val="1"/>
              </w:rPr>
              <w:t>中标人须接受采购人日常考核、月度/季度服务考评，考评不合格按合同约定进行扣款、整改，拒不整改采购人有权终止合同。</w:t>
            </w:r>
          </w:p>
        </w:tc>
      </w:tr>
      <w:tr w14:paraId="3343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74D52FE9">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6E7C5360">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30"/>
                <w:szCs w:val="30"/>
                <w:lang w:val="en-US" w:eastAsia="zh-CN" w:bidi="ar"/>
                <w:woUserID w:val="1"/>
              </w:rPr>
            </w:pPr>
            <w:r>
              <w:rPr>
                <w:rFonts w:hint="eastAsia" w:ascii="仿宋" w:hAnsi="仿宋" w:eastAsia="仿宋" w:cs="仿宋"/>
                <w:kern w:val="2"/>
                <w:sz w:val="30"/>
                <w:szCs w:val="30"/>
                <w:lang w:val="en-US" w:eastAsia="zh-CN" w:bidi="ar"/>
                <w:woUserID w:val="1"/>
              </w:rPr>
              <w:t>10.5</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660463B9">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30"/>
                <w:szCs w:val="30"/>
                <w:lang w:val="en-US" w:eastAsia="zh-CN" w:bidi="ar"/>
                <w:woUserID w:val="1"/>
              </w:rPr>
            </w:pPr>
            <w:r>
              <w:rPr>
                <w:rFonts w:hint="eastAsia" w:ascii="仿宋" w:hAnsi="仿宋" w:eastAsia="仿宋" w:cs="仿宋"/>
                <w:kern w:val="2"/>
                <w:sz w:val="30"/>
                <w:szCs w:val="30"/>
                <w:lang w:val="en-US" w:eastAsia="zh-CN" w:bidi="ar"/>
                <w:woUserID w:val="1"/>
              </w:rPr>
              <w:t>特殊标本：提供临时加急服务，需提供具体方案及报告出具时限。</w:t>
            </w:r>
          </w:p>
        </w:tc>
      </w:tr>
    </w:tbl>
    <w:p w14:paraId="3DD16C25">
      <w:pPr>
        <w:numPr>
          <w:ilvl w:val="0"/>
          <w:numId w:val="0"/>
        </w:numPr>
        <w:spacing w:line="560" w:lineRule="exact"/>
        <w:rPr>
          <w:rFonts w:hint="eastAsia" w:ascii="仿宋" w:hAnsi="仿宋" w:eastAsia="仿宋" w:cs="仿宋"/>
          <w:b/>
          <w:bCs/>
          <w:sz w:val="30"/>
          <w:szCs w:val="30"/>
          <w:lang w:val="en-US" w:eastAsia="zh-CN"/>
        </w:rPr>
      </w:pPr>
      <w:bookmarkStart w:id="1" w:name="_GoBack"/>
      <w:bookmarkEnd w:id="1"/>
      <w:r>
        <w:rPr>
          <w:rFonts w:hint="eastAsia" w:ascii="仿宋" w:hAnsi="仿宋" w:eastAsia="仿宋" w:cs="仿宋"/>
          <w:b/>
          <w:bCs/>
          <w:sz w:val="30"/>
          <w:szCs w:val="30"/>
          <w:lang w:val="en-US" w:eastAsia="zh-CN"/>
        </w:rPr>
        <w:t>（三）综合评审表</w:t>
      </w:r>
    </w:p>
    <w:tbl>
      <w:tblPr>
        <w:tblStyle w:val="11"/>
        <w:tblW w:w="10380" w:type="dxa"/>
        <w:tblInd w:w="-5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3"/>
        <w:gridCol w:w="1546"/>
        <w:gridCol w:w="7421"/>
      </w:tblGrid>
      <w:tr w14:paraId="786D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9"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281E">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8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BD6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评审标准</w:t>
            </w:r>
          </w:p>
        </w:tc>
      </w:tr>
      <w:tr w14:paraId="55930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B4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分值构成</w:t>
            </w:r>
          </w:p>
        </w:tc>
        <w:tc>
          <w:tcPr>
            <w:tcW w:w="8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BD42B">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val="0"/>
                <w:bCs w:val="0"/>
                <w:i w:val="0"/>
                <w:iCs w:val="0"/>
                <w:color w:val="000000"/>
                <w:kern w:val="0"/>
                <w:sz w:val="30"/>
                <w:szCs w:val="30"/>
                <w:u w:val="none"/>
                <w:lang w:val="en-US" w:eastAsia="zh-CN" w:bidi="ar"/>
              </w:rPr>
              <w:t>技术部分70分 商务部分20分 报价得分10分</w:t>
            </w:r>
          </w:p>
        </w:tc>
      </w:tr>
      <w:tr w14:paraId="2E1D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3" w:hRule="atLeast"/>
        </w:trPr>
        <w:tc>
          <w:tcPr>
            <w:tcW w:w="1413" w:type="dxa"/>
            <w:vMerge w:val="restart"/>
            <w:tcBorders>
              <w:top w:val="single" w:color="000000" w:sz="4" w:space="0"/>
              <w:left w:val="single" w:color="000000" w:sz="4" w:space="0"/>
              <w:bottom w:val="nil"/>
              <w:right w:val="single" w:color="000000" w:sz="4" w:space="0"/>
            </w:tcBorders>
            <w:shd w:val="clear" w:color="auto" w:fill="auto"/>
            <w:vAlign w:val="center"/>
          </w:tcPr>
          <w:p w14:paraId="14F7E7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技术部分</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68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技术服务方案 (10分)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C1F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根据投标人提供的服务方案进行评价，内容包括但不限于以下内容： ①项目人员配备； ②样本采集规范； ③标本保存方案； ④检测工作流程规范； ⑤发送检测结果报告方法； ⑥报告出具时间控制方案。对以上内容进行综合评估，要求方案内容全面完整，能够根据项目实际情况，结合采购需求 ，提出合理、有效、逻辑清晰的方案。提供方案得基础分7分。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b/>
                <w:bCs/>
                <w:i w:val="0"/>
                <w:iCs w:val="0"/>
                <w:color w:val="000000"/>
                <w:kern w:val="0"/>
                <w:sz w:val="30"/>
                <w:szCs w:val="30"/>
                <w:u w:val="none"/>
                <w:lang w:val="en-US" w:eastAsia="zh-CN" w:bidi="ar"/>
              </w:rPr>
              <w:t>额外加分标准：</w:t>
            </w:r>
            <w:r>
              <w:rPr>
                <w:rFonts w:hint="eastAsia" w:ascii="仿宋" w:hAnsi="仿宋" w:eastAsia="仿宋" w:cs="仿宋"/>
                <w:i w:val="0"/>
                <w:iCs w:val="0"/>
                <w:color w:val="000000"/>
                <w:kern w:val="0"/>
                <w:sz w:val="30"/>
                <w:szCs w:val="30"/>
                <w:u w:val="none"/>
                <w:lang w:val="en-US" w:eastAsia="zh-CN" w:bidi="ar"/>
              </w:rPr>
              <w:t xml:space="preserve">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方案内容全面、逻辑合理，具备极强的落地执行性，得3分；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方案较为全面、基本合理，具备一定执行性，得2分；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 方案不够全面、合理性不足，执行性较弱，得1分；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未提供，不得分。                                                                             </w:t>
            </w:r>
          </w:p>
        </w:tc>
      </w:tr>
      <w:tr w14:paraId="7509E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63EB5A32">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3E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服务质量保障方案 (10分)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11B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根据投标人提供的服务质量保障方案进行评价，内容包括但不限于以下内容： ①检测方法方面的质量控制（包括不限于：室内质控及室间质评）；② 样本方面的质量控制； ③技术人员方面的质量控制；④检测设备方面的质量控制； ⑤标本运输质量控制。对以上内容进行综合评估，要求方案内容全面完整，能够根据项目实际情况，结合采购需求，提出合理，有效，逻辑清晰的方案。</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提供方案得基础分7分。</w:t>
            </w:r>
            <w:r>
              <w:rPr>
                <w:rFonts w:hint="eastAsia" w:ascii="仿宋" w:hAnsi="仿宋" w:eastAsia="仿宋" w:cs="仿宋"/>
                <w:b/>
                <w:bCs/>
                <w:i w:val="0"/>
                <w:iCs w:val="0"/>
                <w:color w:val="000000"/>
                <w:kern w:val="0"/>
                <w:sz w:val="30"/>
                <w:szCs w:val="30"/>
                <w:u w:val="none"/>
                <w:lang w:val="en-US" w:eastAsia="zh-CN" w:bidi="ar"/>
              </w:rPr>
              <w:t>额外加分标准：</w:t>
            </w:r>
            <w:r>
              <w:rPr>
                <w:rFonts w:hint="eastAsia" w:ascii="仿宋" w:hAnsi="仿宋" w:eastAsia="仿宋" w:cs="仿宋"/>
                <w:i w:val="0"/>
                <w:iCs w:val="0"/>
                <w:color w:val="000000"/>
                <w:kern w:val="0"/>
                <w:sz w:val="30"/>
                <w:szCs w:val="30"/>
                <w:u w:val="none"/>
                <w:lang w:val="en-US" w:eastAsia="zh-CN" w:bidi="ar"/>
              </w:rPr>
              <w:t xml:space="preserve">                                                                                                       方案内容全面、逻辑合理，具备极强的落地执行性，得3分；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方案较为全面、基本合理，具备一定执行性，得2分；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 方案不够全面、合理性不足，执行性较弱，得1分；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未提供，不得分。                                                                             </w:t>
            </w:r>
          </w:p>
        </w:tc>
      </w:tr>
      <w:tr w14:paraId="02E7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6"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1FDD8D5D">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7B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应急方案 (10分)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A18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Style w:val="17"/>
                <w:rFonts w:hint="eastAsia" w:ascii="仿宋" w:hAnsi="仿宋" w:eastAsia="仿宋" w:cs="仿宋"/>
                <w:sz w:val="30"/>
                <w:szCs w:val="30"/>
                <w:lang w:val="en-US" w:eastAsia="zh-CN" w:bidi="ar"/>
              </w:rPr>
              <w:t>根据投标人提供的应急方案进行评价</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内容包括但不限于以下内容</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 xml:space="preserve"> ①结果异议应急方案</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②报告丢失应急方案</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③售后支持应急方案</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④仪器、分析软件故障维修应急方案</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⑤提供特急标本优先加急特事特办服务</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⑥其他相关应急处理。对以上内容进行综合评估</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要求方案内容全面完整</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能够根据项目实际情况</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结合采购需求</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提出合理、有效、逻辑清晰的方案。</w:t>
            </w:r>
            <w:r>
              <w:rPr>
                <w:rStyle w:val="17"/>
                <w:rFonts w:hint="eastAsia" w:ascii="仿宋" w:hAnsi="仿宋" w:eastAsia="仿宋" w:cs="仿宋"/>
                <w:sz w:val="30"/>
                <w:szCs w:val="30"/>
                <w:lang w:val="en-US" w:eastAsia="zh-CN" w:bidi="ar"/>
              </w:rPr>
              <w:br w:type="textWrapping"/>
            </w:r>
            <w:r>
              <w:rPr>
                <w:rStyle w:val="17"/>
                <w:rFonts w:hint="eastAsia" w:ascii="仿宋" w:hAnsi="仿宋" w:eastAsia="仿宋" w:cs="仿宋"/>
                <w:sz w:val="30"/>
                <w:szCs w:val="30"/>
                <w:lang w:val="en-US" w:eastAsia="zh-CN" w:bidi="ar"/>
              </w:rPr>
              <w:t>提供方案得基础分7分。</w:t>
            </w:r>
            <w:r>
              <w:rPr>
                <w:rFonts w:hint="eastAsia" w:ascii="仿宋" w:hAnsi="仿宋" w:eastAsia="仿宋" w:cs="仿宋"/>
                <w:b/>
                <w:bCs/>
                <w:i w:val="0"/>
                <w:iCs w:val="0"/>
                <w:color w:val="000000"/>
                <w:kern w:val="0"/>
                <w:sz w:val="30"/>
                <w:szCs w:val="30"/>
                <w:u w:val="none"/>
                <w:lang w:val="en-US" w:eastAsia="zh-CN" w:bidi="ar"/>
              </w:rPr>
              <w:t>额外加分标准：</w:t>
            </w:r>
            <w:r>
              <w:rPr>
                <w:rStyle w:val="17"/>
                <w:rFonts w:hint="eastAsia" w:ascii="仿宋" w:hAnsi="仿宋" w:eastAsia="仿宋" w:cs="仿宋"/>
                <w:sz w:val="30"/>
                <w:szCs w:val="30"/>
                <w:lang w:val="en-US" w:eastAsia="zh-CN" w:bidi="ar"/>
              </w:rPr>
              <w:t xml:space="preserve">                                                              </w:t>
            </w:r>
            <w:r>
              <w:rPr>
                <w:rStyle w:val="17"/>
                <w:rFonts w:hint="eastAsia" w:ascii="仿宋" w:hAnsi="仿宋" w:eastAsia="仿宋" w:cs="仿宋"/>
                <w:sz w:val="30"/>
                <w:szCs w:val="30"/>
                <w:lang w:val="en-US" w:eastAsia="zh-CN" w:bidi="ar"/>
              </w:rPr>
              <w:br w:type="textWrapping"/>
            </w:r>
            <w:r>
              <w:rPr>
                <w:rStyle w:val="17"/>
                <w:rFonts w:hint="eastAsia" w:ascii="仿宋" w:hAnsi="仿宋" w:eastAsia="仿宋" w:cs="仿宋"/>
                <w:sz w:val="30"/>
                <w:szCs w:val="30"/>
                <w:lang w:val="en-US" w:eastAsia="zh-CN" w:bidi="ar"/>
              </w:rPr>
              <w:t>方案内容全面、逻辑合理，具备极强的落地执行性，得3分；</w:t>
            </w:r>
            <w:r>
              <w:rPr>
                <w:rStyle w:val="17"/>
                <w:rFonts w:hint="eastAsia" w:ascii="仿宋" w:hAnsi="仿宋" w:eastAsia="仿宋" w:cs="仿宋"/>
                <w:sz w:val="30"/>
                <w:szCs w:val="30"/>
                <w:lang w:val="en-US" w:eastAsia="zh-CN" w:bidi="ar"/>
              </w:rPr>
              <w:br w:type="textWrapping"/>
            </w:r>
            <w:r>
              <w:rPr>
                <w:rStyle w:val="17"/>
                <w:rFonts w:hint="eastAsia" w:ascii="仿宋" w:hAnsi="仿宋" w:eastAsia="仿宋" w:cs="仿宋"/>
                <w:sz w:val="30"/>
                <w:szCs w:val="30"/>
                <w:lang w:val="en-US" w:eastAsia="zh-CN" w:bidi="ar"/>
              </w:rPr>
              <w:t>方案较为全面、基本合理，具备一定执行性，得2分；</w:t>
            </w:r>
            <w:r>
              <w:rPr>
                <w:rStyle w:val="17"/>
                <w:rFonts w:hint="eastAsia" w:ascii="仿宋" w:hAnsi="仿宋" w:eastAsia="仿宋" w:cs="仿宋"/>
                <w:sz w:val="30"/>
                <w:szCs w:val="30"/>
                <w:lang w:val="en-US" w:eastAsia="zh-CN" w:bidi="ar"/>
              </w:rPr>
              <w:br w:type="textWrapping"/>
            </w:r>
            <w:r>
              <w:rPr>
                <w:rStyle w:val="17"/>
                <w:rFonts w:hint="eastAsia" w:ascii="仿宋" w:hAnsi="仿宋" w:eastAsia="仿宋" w:cs="仿宋"/>
                <w:sz w:val="30"/>
                <w:szCs w:val="30"/>
                <w:lang w:val="en-US" w:eastAsia="zh-CN" w:bidi="ar"/>
              </w:rPr>
              <w:t xml:space="preserve"> 方案不够全面、合理性不足，执行性较弱，得1分； </w:t>
            </w:r>
            <w:r>
              <w:rPr>
                <w:rStyle w:val="17"/>
                <w:rFonts w:hint="eastAsia" w:ascii="仿宋" w:hAnsi="仿宋" w:eastAsia="仿宋" w:cs="仿宋"/>
                <w:sz w:val="30"/>
                <w:szCs w:val="30"/>
                <w:lang w:val="en-US" w:eastAsia="zh-CN" w:bidi="ar"/>
              </w:rPr>
              <w:br w:type="textWrapping"/>
            </w:r>
            <w:r>
              <w:rPr>
                <w:rStyle w:val="17"/>
                <w:rFonts w:hint="eastAsia" w:ascii="仿宋" w:hAnsi="仿宋" w:eastAsia="仿宋" w:cs="仿宋"/>
                <w:sz w:val="30"/>
                <w:szCs w:val="30"/>
                <w:lang w:val="en-US" w:eastAsia="zh-CN" w:bidi="ar"/>
              </w:rPr>
              <w:t xml:space="preserve">未提供，不得分。                                                                             </w:t>
            </w:r>
          </w:p>
        </w:tc>
      </w:tr>
      <w:tr w14:paraId="299E3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3"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7AB0167C">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F0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安全方案 (9分)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F18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根据投标人提供的安全方案进行评价，内容包括但不限于以下内容：①配送环境（冷链运输）及运输安全方案；②样品储存环境安全方案；③检测团队安全保障及设备安全操作方案。对以上内容进行综合评估，要求方案内容全面完整，能够根据项目实际情况，结合采购需求，提出合理、有效 、逻辑清晰的方案。</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提供方案得基础分6分。</w:t>
            </w:r>
            <w:r>
              <w:rPr>
                <w:rFonts w:hint="eastAsia" w:ascii="仿宋" w:hAnsi="仿宋" w:eastAsia="仿宋" w:cs="仿宋"/>
                <w:b/>
                <w:bCs/>
                <w:i w:val="0"/>
                <w:iCs w:val="0"/>
                <w:color w:val="000000"/>
                <w:kern w:val="0"/>
                <w:sz w:val="30"/>
                <w:szCs w:val="30"/>
                <w:u w:val="none"/>
                <w:lang w:val="en-US" w:eastAsia="zh-CN" w:bidi="ar"/>
              </w:rPr>
              <w:t xml:space="preserve">额外加分标准： </w:t>
            </w:r>
            <w:r>
              <w:rPr>
                <w:rFonts w:hint="eastAsia" w:ascii="仿宋" w:hAnsi="仿宋" w:eastAsia="仿宋" w:cs="仿宋"/>
                <w:i w:val="0"/>
                <w:iCs w:val="0"/>
                <w:color w:val="000000"/>
                <w:kern w:val="0"/>
                <w:sz w:val="30"/>
                <w:szCs w:val="30"/>
                <w:u w:val="none"/>
                <w:lang w:val="en-US" w:eastAsia="zh-CN" w:bidi="ar"/>
              </w:rPr>
              <w:t xml:space="preserve">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 方案内容全面、逻辑合理，具备极强的落地执行性，得3分；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方案较为全面、基本合理，具备一定执行性，得2分；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 方案不够全面、合理性不足，执行性较弱，得1分；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未提供，不得分。                                                                             </w:t>
            </w:r>
          </w:p>
        </w:tc>
      </w:tr>
      <w:tr w14:paraId="05017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0BBEEA0E">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B6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售后服务方案 (8分)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45C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根据投标人提供的售后服务方案进行评价，内容包括但不限于以下内容：①服务响应与支持；②服务流程优化承诺；③培训与教育；④对检验结果提供必要的科研解释及与医生有效沟通方案。对以上内容进行综合评估，要求方案内容全面完整，能够根据项目实际情况，结合采购需求，提出合理、有效、逻辑清晰的方案。提供方案得基础分5分。</w:t>
            </w:r>
            <w:r>
              <w:rPr>
                <w:rFonts w:hint="eastAsia" w:ascii="仿宋" w:hAnsi="仿宋" w:eastAsia="仿宋" w:cs="仿宋"/>
                <w:b/>
                <w:bCs/>
                <w:i w:val="0"/>
                <w:iCs w:val="0"/>
                <w:color w:val="000000"/>
                <w:kern w:val="0"/>
                <w:sz w:val="30"/>
                <w:szCs w:val="30"/>
                <w:u w:val="none"/>
                <w:lang w:val="en-US" w:eastAsia="zh-CN" w:bidi="ar"/>
              </w:rPr>
              <w:t xml:space="preserve">额外加分标准：  </w:t>
            </w:r>
            <w:r>
              <w:rPr>
                <w:rFonts w:hint="eastAsia" w:ascii="仿宋" w:hAnsi="仿宋" w:eastAsia="仿宋" w:cs="仿宋"/>
                <w:i w:val="0"/>
                <w:iCs w:val="0"/>
                <w:color w:val="000000"/>
                <w:kern w:val="0"/>
                <w:sz w:val="30"/>
                <w:szCs w:val="30"/>
                <w:u w:val="none"/>
                <w:lang w:val="en-US" w:eastAsia="zh-CN" w:bidi="ar"/>
              </w:rPr>
              <w:t xml:space="preserve">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方案内容全面、逻辑合理，具备极强的落地执行性，得3分；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方案较为全面、基本合理，具备一定执行性，得2分；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方案不够全面、合理性不足，执行性较弱，得1分；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未提供，不得分。                                                                             </w:t>
            </w:r>
          </w:p>
        </w:tc>
      </w:tr>
      <w:tr w14:paraId="69CC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9"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37B6DD05">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6E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保密方案 (10分)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EDD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根据投标人提供的保密方案进行评价，内容包括但不限于以下内容：①保密管理制度；②签署保密协议内容；③保密培训；④电子信息保密办法。对以上内容进行综合评估，要求方案内容全面完整，能够根据项目实际情况，结合采购需求，提出合理，有效，逻辑清晰的方案。提供方案得基础分7分。</w:t>
            </w:r>
            <w:r>
              <w:rPr>
                <w:rFonts w:hint="eastAsia" w:ascii="仿宋" w:hAnsi="仿宋" w:eastAsia="仿宋" w:cs="仿宋"/>
                <w:b/>
                <w:bCs/>
                <w:i w:val="0"/>
                <w:iCs w:val="0"/>
                <w:color w:val="000000"/>
                <w:kern w:val="0"/>
                <w:sz w:val="30"/>
                <w:szCs w:val="30"/>
                <w:u w:val="none"/>
                <w:lang w:val="en-US" w:eastAsia="zh-CN" w:bidi="ar"/>
              </w:rPr>
              <w:t>额外加分标准：</w:t>
            </w:r>
            <w:r>
              <w:rPr>
                <w:rFonts w:hint="eastAsia" w:ascii="仿宋" w:hAnsi="仿宋" w:eastAsia="仿宋" w:cs="仿宋"/>
                <w:i w:val="0"/>
                <w:iCs w:val="0"/>
                <w:color w:val="000000"/>
                <w:kern w:val="0"/>
                <w:sz w:val="30"/>
                <w:szCs w:val="30"/>
                <w:u w:val="none"/>
                <w:lang w:val="en-US" w:eastAsia="zh-CN" w:bidi="ar"/>
              </w:rPr>
              <w:t xml:space="preserve">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方案内容全面、逻辑合理，具备极强的落地执行性，得3分；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方案较为全面、基本合理，具备一定执行性，得2分；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 方案不够全面、合理性不足，执行性较弱，得1分；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未提供，不得分。                                                                             </w:t>
            </w:r>
          </w:p>
        </w:tc>
      </w:tr>
      <w:tr w14:paraId="5A263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1"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7D78923E">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11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标本运输方案（13分)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50C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投标人实验室具备冷链物流服务能力，包括但不限于以下内容：①投标实验室物流标本箱具备GPS定位和温度监控功能，可实现全程实时监测，提供加盖公章实物图、系统截图及功能证明得2分，无材料0分；②投标人实验室具有《道路运输经营许可证》及运输车辆，得2分。证明文件以加盖公章的行驶证以及道路运输经营许可证复印件为准，未提供齐全的本项不得分；③投标人实验室获得GB/T 42186-2022《医学检验生物样本冷链物流运作规范》国家标准达标企业，提供有效证明文件得2分，否则得0分；④对投标人实验室提供的标本管理与物流服务方案（包括但不限于:标本采集、标本收取、标本冷链转运、交接签收、物流人员培训、异常情况处置等）进行评分。提供方案得基础分4分。</w:t>
            </w:r>
            <w:r>
              <w:rPr>
                <w:rFonts w:hint="eastAsia" w:ascii="仿宋" w:hAnsi="仿宋" w:eastAsia="仿宋" w:cs="仿宋"/>
                <w:b/>
                <w:bCs/>
                <w:i w:val="0"/>
                <w:iCs w:val="0"/>
                <w:color w:val="000000"/>
                <w:kern w:val="0"/>
                <w:sz w:val="30"/>
                <w:szCs w:val="30"/>
                <w:u w:val="none"/>
                <w:lang w:val="en-US" w:eastAsia="zh-CN" w:bidi="ar"/>
              </w:rPr>
              <w:t>额外加分标准：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方案合理，内容详细、清晰，完全满足并优于采购需求的，得3分；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方案较合理，内容较详细、清晰，完全满足采购需求的，得2分；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方案合理性、内容详细、清晰度均一般，不完全满足采购需求的，得1分；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没有提供方案，不得分。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（注：提供相关方案的介绍说明、运输专用容器实物图片、提供全程电子监控系统的系统截图及介绍并加盖公章）。</w:t>
            </w:r>
          </w:p>
        </w:tc>
      </w:tr>
      <w:tr w14:paraId="0406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266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商务部分</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84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业绩 (12分)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645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投标人提供2023年6月1日至今（业绩时间认定以合同签订时间为准）标本外送检测同类项目业绩，每提供一份得4分，本项最多得12分，无业绩0分。（提供合同扫描或复印件，合同需体现签订日期）。</w:t>
            </w:r>
          </w:p>
        </w:tc>
      </w:tr>
      <w:tr w14:paraId="348FA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8" w:hRule="atLeast"/>
        </w:trPr>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9ABFE">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36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实力认证 (8分)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C14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Style w:val="17"/>
                <w:rFonts w:hint="eastAsia" w:ascii="仿宋" w:hAnsi="仿宋" w:eastAsia="仿宋" w:cs="仿宋"/>
                <w:sz w:val="30"/>
                <w:szCs w:val="30"/>
                <w:lang w:val="en-US" w:eastAsia="zh-CN" w:bidi="ar"/>
              </w:rPr>
              <w:t>①投标人实验室通过P2实验室能力认证</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提供有效期内认证证书</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得2分</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不提供不得分。②具有检验 ISO 15189 质量管理体系认证的得2分</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不提供不得分。③具有良好的信用评级证书</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需提供原件扫描件</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信用评级为3A及以上</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得2分</w:t>
            </w:r>
            <w:r>
              <w:rPr>
                <w:rStyle w:val="19"/>
                <w:rFonts w:hint="eastAsia" w:ascii="仿宋" w:hAnsi="仿宋" w:eastAsia="仿宋" w:cs="仿宋"/>
                <w:sz w:val="30"/>
                <w:szCs w:val="30"/>
                <w:lang w:val="en-US" w:eastAsia="zh-CN" w:bidi="ar"/>
              </w:rPr>
              <w:t>，不提供不得分</w:t>
            </w:r>
            <w:r>
              <w:rPr>
                <w:rStyle w:val="17"/>
                <w:rFonts w:hint="eastAsia" w:ascii="仿宋" w:hAnsi="仿宋" w:eastAsia="仿宋" w:cs="仿宋"/>
                <w:sz w:val="30"/>
                <w:szCs w:val="30"/>
                <w:lang w:val="en-US" w:eastAsia="zh-CN" w:bidi="ar"/>
              </w:rPr>
              <w:t>。</w:t>
            </w:r>
            <w:r>
              <w:rPr>
                <w:rStyle w:val="26"/>
                <w:rFonts w:hint="eastAsia" w:ascii="仿宋" w:hAnsi="仿宋" w:eastAsia="仿宋" w:cs="仿宋"/>
                <w:sz w:val="30"/>
                <w:szCs w:val="30"/>
                <w:lang w:val="en-US" w:eastAsia="zh-CN" w:bidi="ar"/>
              </w:rPr>
              <w:t>④</w:t>
            </w:r>
            <w:r>
              <w:rPr>
                <w:rStyle w:val="17"/>
                <w:rFonts w:hint="eastAsia" w:ascii="仿宋" w:hAnsi="仿宋" w:eastAsia="仿宋" w:cs="仿宋"/>
                <w:sz w:val="30"/>
                <w:szCs w:val="30"/>
                <w:lang w:val="en-US" w:eastAsia="zh-CN" w:bidi="ar"/>
              </w:rPr>
              <w:t>.涉及临床基因扩增或测序项目需提供临床基因扩增检验实验室技术审核合格证书，得2分。</w:t>
            </w:r>
          </w:p>
        </w:tc>
      </w:tr>
      <w:tr w14:paraId="685D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E6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投标报价</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DD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投标报价得分 (10分)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3D4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投标报价得分＝（评标基准价/投标报价）×价格分值（注：满足招标文件要求且投标价格最低的投标报价为评标基准价。）最低报价不是中标的唯一依据。</w:t>
            </w:r>
          </w:p>
        </w:tc>
      </w:tr>
    </w:tbl>
    <w:p w14:paraId="1B6658C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52214A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EF63C6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3EEF12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F9F929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AB0FDB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DA0721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004984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B40C00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78FF5A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E03DD9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478FB9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3684F5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654D72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67B589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C19C55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rPr>
      </w:pPr>
      <w:r>
        <w:rPr>
          <w:rFonts w:ascii="宋体" w:hAnsi="宋体" w:eastAsia="宋体" w:cs="宋体"/>
          <w:b w:val="0"/>
          <w:color w:val="000000"/>
          <w:sz w:val="24"/>
          <w:szCs w:val="24"/>
        </w:rPr>
        <w:t>十四、</w:t>
      </w:r>
      <w:r>
        <w:rPr>
          <w:rFonts w:hint="eastAsia" w:ascii="宋体" w:hAnsi="宋体" w:eastAsia="宋体" w:cs="宋体"/>
          <w:b w:val="0"/>
          <w:color w:val="000000"/>
          <w:sz w:val="24"/>
          <w:szCs w:val="24"/>
          <w:lang w:val="en-US" w:eastAsia="zh-CN"/>
        </w:rPr>
        <w:t>综合评审各项要求</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E83B75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F0670D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74F9BCB">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453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453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4538" w:type="dxa"/>
            <w:vMerge w:val="restart"/>
            <w:tcBorders/>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4538" w:type="dxa"/>
            <w:vMerge w:val="continue"/>
            <w:tcBorders/>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default"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                      金额单位：元</w:t>
      </w:r>
    </w:p>
    <w:tbl>
      <w:tblPr>
        <w:tblStyle w:val="11"/>
        <w:tblW w:w="6433" w:type="pct"/>
        <w:tblInd w:w="-10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2460"/>
        <w:gridCol w:w="1545"/>
        <w:gridCol w:w="1440"/>
        <w:gridCol w:w="1500"/>
        <w:gridCol w:w="1500"/>
        <w:gridCol w:w="1500"/>
      </w:tblGrid>
      <w:tr w14:paraId="6F5C7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465" w:type="pct"/>
            <w:tcBorders>
              <w:top w:val="nil"/>
              <w:left w:val="single" w:color="000000" w:sz="4" w:space="0"/>
              <w:bottom w:val="single" w:color="000000" w:sz="4" w:space="0"/>
              <w:right w:val="single" w:color="000000" w:sz="4" w:space="0"/>
            </w:tcBorders>
            <w:shd w:val="clear" w:color="auto" w:fill="auto"/>
            <w:vAlign w:val="center"/>
          </w:tcPr>
          <w:p w14:paraId="239A5B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lang w:val="en-US"/>
              </w:rPr>
            </w:pPr>
            <w:r>
              <w:rPr>
                <w:rFonts w:hint="eastAsia" w:ascii="仿宋" w:hAnsi="仿宋" w:eastAsia="仿宋" w:cs="仿宋"/>
                <w:b/>
                <w:bCs/>
                <w:i w:val="0"/>
                <w:iCs w:val="0"/>
                <w:color w:val="000000"/>
                <w:kern w:val="0"/>
                <w:sz w:val="30"/>
                <w:szCs w:val="30"/>
                <w:u w:val="none"/>
                <w:lang w:val="en-US" w:eastAsia="zh-CN" w:bidi="ar"/>
              </w:rPr>
              <w:t>序号</w:t>
            </w:r>
          </w:p>
        </w:tc>
        <w:tc>
          <w:tcPr>
            <w:tcW w:w="1121" w:type="pct"/>
            <w:tcBorders>
              <w:top w:val="nil"/>
              <w:left w:val="single" w:color="000000" w:sz="4" w:space="0"/>
              <w:bottom w:val="single" w:color="000000" w:sz="4" w:space="0"/>
              <w:right w:val="single" w:color="000000" w:sz="4" w:space="0"/>
            </w:tcBorders>
            <w:shd w:val="clear" w:color="auto" w:fill="auto"/>
            <w:vAlign w:val="center"/>
          </w:tcPr>
          <w:p w14:paraId="629476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项目名称</w:t>
            </w:r>
          </w:p>
        </w:tc>
        <w:tc>
          <w:tcPr>
            <w:tcW w:w="704" w:type="pct"/>
            <w:tcBorders>
              <w:top w:val="nil"/>
              <w:left w:val="single" w:color="000000" w:sz="4" w:space="0"/>
              <w:bottom w:val="single" w:color="000000" w:sz="4" w:space="0"/>
              <w:right w:val="single" w:color="000000" w:sz="4" w:space="0"/>
            </w:tcBorders>
            <w:shd w:val="clear" w:color="auto" w:fill="auto"/>
            <w:vAlign w:val="center"/>
          </w:tcPr>
          <w:p w14:paraId="455BCB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预估数量</w:t>
            </w:r>
          </w:p>
        </w:tc>
        <w:tc>
          <w:tcPr>
            <w:tcW w:w="656" w:type="pct"/>
            <w:tcBorders>
              <w:top w:val="nil"/>
              <w:left w:val="single" w:color="000000" w:sz="4" w:space="0"/>
              <w:bottom w:val="single" w:color="000000" w:sz="4" w:space="0"/>
              <w:right w:val="single" w:color="000000" w:sz="4" w:space="0"/>
            </w:tcBorders>
            <w:shd w:val="clear" w:color="auto" w:fill="auto"/>
            <w:vAlign w:val="center"/>
          </w:tcPr>
          <w:p w14:paraId="0A6F94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预算单价</w:t>
            </w:r>
          </w:p>
        </w:tc>
        <w:tc>
          <w:tcPr>
            <w:tcW w:w="683" w:type="pct"/>
            <w:tcBorders>
              <w:top w:val="nil"/>
              <w:left w:val="single" w:color="000000" w:sz="4" w:space="0"/>
              <w:bottom w:val="single" w:color="000000" w:sz="4" w:space="0"/>
              <w:right w:val="single" w:color="000000" w:sz="4" w:space="0"/>
            </w:tcBorders>
            <w:shd w:val="clear" w:color="auto" w:fill="auto"/>
            <w:vAlign w:val="center"/>
          </w:tcPr>
          <w:p w14:paraId="4F5EC2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预算小计</w:t>
            </w:r>
          </w:p>
        </w:tc>
        <w:tc>
          <w:tcPr>
            <w:tcW w:w="683" w:type="pct"/>
            <w:tcBorders>
              <w:top w:val="nil"/>
              <w:left w:val="single" w:color="000000" w:sz="4" w:space="0"/>
              <w:bottom w:val="single" w:color="000000" w:sz="4" w:space="0"/>
              <w:right w:val="single" w:color="000000" w:sz="4" w:space="0"/>
            </w:tcBorders>
            <w:shd w:val="clear" w:color="auto" w:fill="auto"/>
            <w:vAlign w:val="center"/>
          </w:tcPr>
          <w:p w14:paraId="30FE979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投标单价</w:t>
            </w:r>
          </w:p>
        </w:tc>
        <w:tc>
          <w:tcPr>
            <w:tcW w:w="683" w:type="pct"/>
            <w:tcBorders>
              <w:top w:val="nil"/>
              <w:left w:val="single" w:color="000000" w:sz="4" w:space="0"/>
              <w:bottom w:val="single" w:color="000000" w:sz="4" w:space="0"/>
              <w:right w:val="single" w:color="000000" w:sz="4" w:space="0"/>
            </w:tcBorders>
            <w:shd w:val="clear" w:color="auto" w:fill="auto"/>
            <w:vAlign w:val="center"/>
          </w:tcPr>
          <w:p w14:paraId="3B1A4D0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投标小计</w:t>
            </w:r>
          </w:p>
        </w:tc>
      </w:tr>
      <w:tr w14:paraId="0F8B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BC6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①</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C28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血液肿瘤二代测序</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46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C5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2400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346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48000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29B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1ED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r>
      <w:tr w14:paraId="46E73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06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②</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B01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血液病相关基因定性检测</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1BA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AE4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400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FC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8000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E8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98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r>
      <w:tr w14:paraId="7CA5E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D5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③</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1C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血液病相关基因定量检测</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FB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A6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500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F2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10000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04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4DF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r>
      <w:tr w14:paraId="2D72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8F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④</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16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人细小病毒B19IgM抗体</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518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45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80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DA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1600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C2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F8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9BBB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30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⑤</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C4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人细小病毒B19lgG抗体</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38D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18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80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A44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1600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69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9D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r>
      <w:tr w14:paraId="694B3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854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⑥</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B4D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血液肿瘤染色体核型分析</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E7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F0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450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20B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9000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25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EF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r>
      <w:tr w14:paraId="0AAE0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6C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⑦</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80D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染色体核型分析</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FDD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75</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D4F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450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02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33750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6F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2E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2B4D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BB7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⑧</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E9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白血病55种融合基因</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A1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25</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96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1520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D78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38000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7F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3F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r>
      <w:tr w14:paraId="22D4C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DD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rPr>
              <w:t>⑨</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24E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胃肠道肿瘤基因甲基化血液联合检测</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9B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4E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700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86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14000</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2D6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E2C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r>
      <w:tr w14:paraId="10CCF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29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B1E7C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投标总计合计</w:t>
            </w:r>
          </w:p>
        </w:tc>
        <w:tc>
          <w:tcPr>
            <w:tcW w:w="20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F08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30"/>
                <w:szCs w:val="30"/>
                <w:u w:val="none"/>
                <w:lang w:val="en-US" w:eastAsia="zh-CN" w:bidi="ar"/>
              </w:rPr>
            </w:pPr>
          </w:p>
        </w:tc>
      </w:tr>
    </w:tbl>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综合评审各项要求</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3FD05D6"/>
    <w:rsid w:val="05076A5B"/>
    <w:rsid w:val="06816E75"/>
    <w:rsid w:val="06B07F83"/>
    <w:rsid w:val="07EE0F70"/>
    <w:rsid w:val="080A65A2"/>
    <w:rsid w:val="08B1656C"/>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A9C766F"/>
    <w:rsid w:val="3E650D1D"/>
    <w:rsid w:val="3E9002A8"/>
    <w:rsid w:val="3F552A03"/>
    <w:rsid w:val="40A31F26"/>
    <w:rsid w:val="420B38E3"/>
    <w:rsid w:val="42E570EA"/>
    <w:rsid w:val="43B51B88"/>
    <w:rsid w:val="44AA028A"/>
    <w:rsid w:val="45D233AD"/>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C58632D"/>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3575E4"/>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 w:type="character" w:customStyle="1" w:styleId="26">
    <w:name w:val="font51"/>
    <w:basedOn w:val="13"/>
    <w:qFormat/>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3622</Words>
  <Characters>3858</Characters>
  <Lines>0</Lines>
  <Paragraphs>0</Paragraphs>
  <TotalTime>1</TotalTime>
  <ScaleCrop>false</ScaleCrop>
  <LinksUpToDate>false</LinksUpToDate>
  <CharactersWithSpaces>3927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2026-06-18T02:51:49Z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38AC61141EAD43078044A8593989AC3F_13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