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111720">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医学检验同质化平台项目</w:t>
      </w:r>
      <w:bookmarkStart w:id="1" w:name="_GoBack"/>
      <w:bookmarkEnd w:id="1"/>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2026年6月18日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pPr w:leftFromText="180" w:rightFromText="180" w:vertAnchor="text" w:horzAnchor="page" w:tblpX="1151" w:tblpY="516"/>
        <w:tblOverlap w:val="never"/>
        <w:tblW w:w="9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
        <w:gridCol w:w="3195"/>
        <w:gridCol w:w="1305"/>
        <w:gridCol w:w="1299"/>
        <w:gridCol w:w="1650"/>
        <w:gridCol w:w="1636"/>
      </w:tblGrid>
      <w:tr w14:paraId="2655C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84" w:type="dxa"/>
            <w:vAlign w:val="center"/>
          </w:tcPr>
          <w:p w14:paraId="17848552">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195" w:type="dxa"/>
            <w:vAlign w:val="center"/>
          </w:tcPr>
          <w:p w14:paraId="0D47D720">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305" w:type="dxa"/>
            <w:vAlign w:val="center"/>
          </w:tcPr>
          <w:p w14:paraId="0E1EB276">
            <w:pPr>
              <w:keepNext w:val="0"/>
              <w:keepLines w:val="0"/>
              <w:pageBreakBefore w:val="0"/>
              <w:widowControl/>
              <w:kinsoku/>
              <w:wordWrap/>
              <w:overflowPunct/>
              <w:topLinePunct w:val="0"/>
              <w:autoSpaceDE/>
              <w:autoSpaceDN/>
              <w:bidi w:val="0"/>
              <w:adjustRightInd/>
              <w:snapToGrid/>
              <w:ind w:firstLine="280" w:firstLineChars="1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299" w:type="dxa"/>
            <w:vAlign w:val="center"/>
          </w:tcPr>
          <w:p w14:paraId="7944CB64">
            <w:pPr>
              <w:keepNext w:val="0"/>
              <w:keepLines w:val="0"/>
              <w:pageBreakBefore w:val="0"/>
              <w:widowControl/>
              <w:kinsoku/>
              <w:wordWrap/>
              <w:overflowPunct/>
              <w:topLinePunct w:val="0"/>
              <w:autoSpaceDE/>
              <w:autoSpaceDN/>
              <w:bidi w:val="0"/>
              <w:adjustRightInd/>
              <w:snapToGrid/>
              <w:ind w:firstLine="280" w:firstLineChars="1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50" w:type="dxa"/>
            <w:vAlign w:val="center"/>
          </w:tcPr>
          <w:p w14:paraId="242507ED">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36" w:type="dxa"/>
            <w:vAlign w:val="center"/>
          </w:tcPr>
          <w:p w14:paraId="0570F70D">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1F5AA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trPr>
        <w:tc>
          <w:tcPr>
            <w:tcW w:w="884" w:type="dxa"/>
            <w:vAlign w:val="center"/>
          </w:tcPr>
          <w:p w14:paraId="1CD1D82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3195" w:type="dxa"/>
            <w:vAlign w:val="center"/>
          </w:tcPr>
          <w:p w14:paraId="1C976E9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医学检验同质化平台</w:t>
            </w:r>
            <w:r>
              <w:rPr>
                <w:rFonts w:hint="eastAsia" w:ascii="仿宋_GB2312" w:hAnsi="仿宋_GB2312" w:eastAsia="仿宋_GB2312" w:cs="仿宋_GB2312"/>
                <w:sz w:val="32"/>
                <w:szCs w:val="32"/>
                <w:lang w:val="en-US" w:eastAsia="zh-CN"/>
              </w:rPr>
              <w:t xml:space="preserve"> </w:t>
            </w:r>
          </w:p>
        </w:tc>
        <w:tc>
          <w:tcPr>
            <w:tcW w:w="1305" w:type="dxa"/>
            <w:vAlign w:val="center"/>
          </w:tcPr>
          <w:p w14:paraId="5EBAB1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1299" w:type="dxa"/>
            <w:vAlign w:val="center"/>
          </w:tcPr>
          <w:p w14:paraId="0C94E63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50" w:type="dxa"/>
            <w:vAlign w:val="center"/>
          </w:tcPr>
          <w:p w14:paraId="62A6260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790000</w:t>
            </w:r>
          </w:p>
        </w:tc>
        <w:tc>
          <w:tcPr>
            <w:tcW w:w="1636" w:type="dxa"/>
            <w:vAlign w:val="center"/>
          </w:tcPr>
          <w:p w14:paraId="65774F6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790000</w:t>
            </w:r>
          </w:p>
        </w:tc>
      </w:tr>
      <w:tr w14:paraId="30616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333" w:type="dxa"/>
            <w:gridSpan w:val="5"/>
            <w:vAlign w:val="center"/>
          </w:tcPr>
          <w:p w14:paraId="4B772856">
            <w:pPr>
              <w:keepNext w:val="0"/>
              <w:keepLines w:val="0"/>
              <w:pageBreakBefore w:val="0"/>
              <w:widowControl/>
              <w:kinsoku/>
              <w:wordWrap/>
              <w:overflowPunct/>
              <w:topLinePunct w:val="0"/>
              <w:autoSpaceDE/>
              <w:autoSpaceDN/>
              <w:bidi w:val="0"/>
              <w:adjustRightInd/>
              <w:snapToGrid/>
              <w:ind w:firstLine="3360" w:firstLineChars="1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36" w:type="dxa"/>
            <w:vAlign w:val="center"/>
          </w:tcPr>
          <w:p w14:paraId="0E0962CB">
            <w:pPr>
              <w:keepNext w:val="0"/>
              <w:keepLines w:val="0"/>
              <w:pageBreakBefore w:val="0"/>
              <w:widowControl/>
              <w:kinsoku/>
              <w:wordWrap/>
              <w:overflowPunct/>
              <w:topLinePunct w:val="0"/>
              <w:autoSpaceDE/>
              <w:autoSpaceDN/>
              <w:bidi w:val="0"/>
              <w:adjustRightInd/>
              <w:snapToGrid/>
              <w:ind w:firstLine="280" w:firstLineChars="1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790000</w:t>
            </w:r>
          </w:p>
        </w:tc>
      </w:tr>
      <w:tr w14:paraId="41D0D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884" w:type="dxa"/>
            <w:vAlign w:val="center"/>
          </w:tcPr>
          <w:p w14:paraId="6C9B0DE7">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195" w:type="dxa"/>
            <w:vAlign w:val="center"/>
          </w:tcPr>
          <w:p w14:paraId="739229F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付款条件</w:t>
            </w:r>
          </w:p>
        </w:tc>
        <w:tc>
          <w:tcPr>
            <w:tcW w:w="5890" w:type="dxa"/>
            <w:gridSpan w:val="4"/>
            <w:vAlign w:val="center"/>
          </w:tcPr>
          <w:p w14:paraId="4A63A1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合同签订后支付30%，项目验收合格后支付60%，质保期届满后支付10%</w:t>
            </w:r>
          </w:p>
        </w:tc>
      </w:tr>
      <w:tr w14:paraId="36BEF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84" w:type="dxa"/>
            <w:vAlign w:val="center"/>
          </w:tcPr>
          <w:p w14:paraId="543A5030">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195" w:type="dxa"/>
            <w:vAlign w:val="center"/>
          </w:tcPr>
          <w:p w14:paraId="58AFE3C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890" w:type="dxa"/>
            <w:gridSpan w:val="4"/>
            <w:vAlign w:val="center"/>
          </w:tcPr>
          <w:p w14:paraId="0FF287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合同签订后3个月内</w:t>
            </w:r>
          </w:p>
        </w:tc>
      </w:tr>
      <w:tr w14:paraId="480D9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884" w:type="dxa"/>
            <w:vAlign w:val="center"/>
          </w:tcPr>
          <w:p w14:paraId="7370931D">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195" w:type="dxa"/>
            <w:vAlign w:val="center"/>
          </w:tcPr>
          <w:p w14:paraId="37C3929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合同期</w:t>
            </w:r>
          </w:p>
        </w:tc>
        <w:tc>
          <w:tcPr>
            <w:tcW w:w="5890" w:type="dxa"/>
            <w:gridSpan w:val="4"/>
            <w:vAlign w:val="center"/>
          </w:tcPr>
          <w:p w14:paraId="3F9663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一年</w:t>
            </w:r>
          </w:p>
        </w:tc>
      </w:tr>
      <w:tr w14:paraId="568FC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884" w:type="dxa"/>
            <w:vAlign w:val="center"/>
          </w:tcPr>
          <w:p w14:paraId="2ED1E6F1">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195" w:type="dxa"/>
            <w:vAlign w:val="center"/>
          </w:tcPr>
          <w:p w14:paraId="6E4E772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890" w:type="dxa"/>
            <w:gridSpan w:val="4"/>
            <w:vAlign w:val="center"/>
          </w:tcPr>
          <w:p w14:paraId="5F1B93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三年（自验收合格之日起算）</w:t>
            </w:r>
          </w:p>
        </w:tc>
      </w:tr>
      <w:tr w14:paraId="2189D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884" w:type="dxa"/>
            <w:vAlign w:val="center"/>
          </w:tcPr>
          <w:p w14:paraId="7020AC63">
            <w:pPr>
              <w:keepNext w:val="0"/>
              <w:keepLines w:val="0"/>
              <w:pageBreakBefore w:val="0"/>
              <w:widowControl/>
              <w:kinsoku/>
              <w:wordWrap/>
              <w:overflowPunct/>
              <w:topLinePunct w:val="0"/>
              <w:autoSpaceDE/>
              <w:autoSpaceDN/>
              <w:bidi w:val="0"/>
              <w:adjustRightInd/>
              <w:snapToGrid/>
              <w:ind w:firstLine="280" w:firstLineChars="100"/>
              <w:jc w:val="both"/>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w:t>
            </w:r>
          </w:p>
        </w:tc>
        <w:tc>
          <w:tcPr>
            <w:tcW w:w="3195" w:type="dxa"/>
            <w:vAlign w:val="center"/>
          </w:tcPr>
          <w:p w14:paraId="23C8BF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服务地点</w:t>
            </w:r>
          </w:p>
        </w:tc>
        <w:tc>
          <w:tcPr>
            <w:tcW w:w="5890" w:type="dxa"/>
            <w:gridSpan w:val="4"/>
            <w:vAlign w:val="center"/>
          </w:tcPr>
          <w:p w14:paraId="3D00161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AADA4E0">
      <w:pPr>
        <w:numPr>
          <w:ilvl w:val="0"/>
          <w:numId w:val="3"/>
        </w:numPr>
        <w:spacing w:line="360" w:lineRule="auto"/>
        <w:ind w:firstLine="42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国家关于促进医疗机构检验质量同质化、提升医疗资源利用效率，保障医疗安全的基础性要求，我院检验科（市级检验质控中心）需采购一套临床检验结果互认质量评价平台，用来对市域范围内各旗区重点二级以上医院检验项目进行室内与室间质评。</w:t>
      </w:r>
    </w:p>
    <w:p w14:paraId="2A4197D0">
      <w:pPr>
        <w:numPr>
          <w:numId w:val="0"/>
        </w:numPr>
        <w:spacing w:line="360" w:lineRule="auto"/>
        <w:jc w:val="left"/>
        <w:rPr>
          <w:rFonts w:hint="eastAsia" w:ascii="仿宋_GB2312" w:hAnsi="仿宋_GB2312" w:eastAsia="仿宋_GB2312" w:cs="仿宋_GB2312"/>
          <w:sz w:val="32"/>
          <w:szCs w:val="32"/>
          <w:lang w:val="en-US" w:eastAsia="zh-CN"/>
        </w:rPr>
      </w:pPr>
    </w:p>
    <w:p w14:paraId="70AB285F">
      <w:pPr>
        <w:numPr>
          <w:numId w:val="0"/>
        </w:numPr>
        <w:spacing w:line="360" w:lineRule="auto"/>
        <w:jc w:val="left"/>
        <w:rPr>
          <w:rFonts w:hint="eastAsia" w:ascii="仿宋_GB2312" w:hAnsi="仿宋_GB2312" w:eastAsia="仿宋_GB2312" w:cs="仿宋_GB2312"/>
          <w:sz w:val="32"/>
          <w:szCs w:val="32"/>
          <w:lang w:val="en-US" w:eastAsia="zh-CN"/>
        </w:rPr>
      </w:pPr>
    </w:p>
    <w:p w14:paraId="003A42AE">
      <w:pPr>
        <w:numPr>
          <w:ilvl w:val="0"/>
          <w:numId w:val="3"/>
        </w:numPr>
        <w:spacing w:line="360" w:lineRule="auto"/>
        <w:ind w:left="0" w:leftChars="0" w:firstLine="42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技术参数和要求</w:t>
      </w:r>
    </w:p>
    <w:tbl>
      <w:tblPr>
        <w:tblStyle w:val="11"/>
        <w:tblW w:w="9810" w:type="dxa"/>
        <w:jc w:val="center"/>
        <w:tblLayout w:type="fixed"/>
        <w:tblCellMar>
          <w:top w:w="0" w:type="dxa"/>
          <w:left w:w="108" w:type="dxa"/>
          <w:bottom w:w="0" w:type="dxa"/>
          <w:right w:w="108" w:type="dxa"/>
        </w:tblCellMar>
      </w:tblPr>
      <w:tblGrid>
        <w:gridCol w:w="1555"/>
        <w:gridCol w:w="1134"/>
        <w:gridCol w:w="7121"/>
      </w:tblGrid>
      <w:tr w14:paraId="0B09870D">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C90DEF9">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参数性质</w:t>
            </w:r>
          </w:p>
        </w:tc>
        <w:tc>
          <w:tcPr>
            <w:tcW w:w="1134" w:type="dxa"/>
            <w:tcBorders>
              <w:top w:val="single" w:color="auto" w:sz="4" w:space="0"/>
              <w:left w:val="nil"/>
              <w:bottom w:val="single" w:color="auto" w:sz="4" w:space="0"/>
              <w:right w:val="single" w:color="auto" w:sz="4" w:space="0"/>
            </w:tcBorders>
            <w:noWrap w:val="0"/>
            <w:vAlign w:val="center"/>
          </w:tcPr>
          <w:p w14:paraId="4F436888">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编号</w:t>
            </w:r>
          </w:p>
        </w:tc>
        <w:tc>
          <w:tcPr>
            <w:tcW w:w="7121" w:type="dxa"/>
            <w:tcBorders>
              <w:top w:val="single" w:color="auto" w:sz="4" w:space="0"/>
              <w:left w:val="nil"/>
              <w:bottom w:val="single" w:color="auto" w:sz="4" w:space="0"/>
              <w:right w:val="single" w:color="auto" w:sz="4" w:space="0"/>
            </w:tcBorders>
            <w:noWrap w:val="0"/>
            <w:vAlign w:val="center"/>
          </w:tcPr>
          <w:p w14:paraId="0B4727B8">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技术参数和要求</w:t>
            </w:r>
          </w:p>
        </w:tc>
      </w:tr>
      <w:tr w14:paraId="69AD7DF2">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AB9028B">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47117AE">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121" w:type="dxa"/>
            <w:tcBorders>
              <w:top w:val="single" w:color="auto" w:sz="4" w:space="0"/>
              <w:left w:val="nil"/>
              <w:bottom w:val="single" w:color="auto" w:sz="4" w:space="0"/>
              <w:right w:val="single" w:color="auto" w:sz="4" w:space="0"/>
            </w:tcBorders>
            <w:noWrap w:val="0"/>
            <w:vAlign w:val="center"/>
          </w:tcPr>
          <w:p w14:paraId="06D36A1B">
            <w:pPr>
              <w:widowControl/>
              <w:jc w:val="lef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一、项目整体要求</w:t>
            </w:r>
            <w:r>
              <w:rPr>
                <w:rFonts w:hint="eastAsia" w:ascii="仿宋_GB2312" w:hAnsi="仿宋_GB2312" w:eastAsia="仿宋_GB2312" w:cs="仿宋_GB2312"/>
                <w:b/>
                <w:bCs/>
                <w:sz w:val="28"/>
                <w:szCs w:val="28"/>
                <w:lang w:val="en-US" w:eastAsia="zh-CN"/>
              </w:rPr>
              <w:t>（编号至2至6）</w:t>
            </w:r>
          </w:p>
        </w:tc>
      </w:tr>
      <w:tr w14:paraId="7E6B9DF6">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2267B0B">
            <w:pPr>
              <w:widowControl/>
              <w:jc w:val="center"/>
              <w:rPr>
                <w:rFonts w:hint="eastAsia" w:ascii="仿宋_GB2312" w:hAnsi="仿宋_GB2312" w:eastAsia="仿宋_GB2312" w:cs="仿宋_GB2312"/>
                <w:sz w:val="28"/>
                <w:szCs w:val="28"/>
                <w:lang w:eastAsia="zh-CN"/>
              </w:rPr>
            </w:pPr>
          </w:p>
        </w:tc>
        <w:tc>
          <w:tcPr>
            <w:tcW w:w="1134" w:type="dxa"/>
            <w:tcBorders>
              <w:top w:val="single" w:color="auto" w:sz="4" w:space="0"/>
              <w:left w:val="nil"/>
              <w:bottom w:val="single" w:color="auto" w:sz="4" w:space="0"/>
              <w:right w:val="single" w:color="auto" w:sz="4" w:space="0"/>
            </w:tcBorders>
            <w:noWrap w:val="0"/>
            <w:vAlign w:val="center"/>
          </w:tcPr>
          <w:p w14:paraId="35EF0C3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7121" w:type="dxa"/>
            <w:tcBorders>
              <w:top w:val="single" w:color="auto" w:sz="4" w:space="0"/>
              <w:left w:val="nil"/>
              <w:bottom w:val="single" w:color="auto" w:sz="4" w:space="0"/>
              <w:right w:val="single" w:color="auto" w:sz="4" w:space="0"/>
            </w:tcBorders>
            <w:noWrap w:val="0"/>
            <w:vAlign w:val="center"/>
          </w:tcPr>
          <w:p w14:paraId="5CA5B689">
            <w:pPr>
              <w:widowControl/>
              <w:jc w:val="left"/>
              <w:rPr>
                <w:rFonts w:hint="default" w:ascii="仿宋_GB2312" w:hAnsi="仿宋_GB2312" w:eastAsia="仿宋_GB2312" w:cs="仿宋_GB2312"/>
                <w:sz w:val="28"/>
                <w:szCs w:val="28"/>
                <w:lang w:val="en-US"/>
              </w:rPr>
            </w:pPr>
            <w:r>
              <w:rPr>
                <w:rFonts w:hint="eastAsia" w:ascii="仿宋_GB2312" w:hAnsi="仿宋_GB2312" w:eastAsia="仿宋_GB2312" w:cs="仿宋_GB2312"/>
                <w:b w:val="0"/>
                <w:bCs w:val="0"/>
                <w:sz w:val="28"/>
                <w:szCs w:val="28"/>
                <w:lang w:val="en-US" w:eastAsia="zh-CN"/>
              </w:rPr>
              <w:t>1.1</w:t>
            </w:r>
            <w:r>
              <w:rPr>
                <w:rFonts w:hint="default" w:ascii="仿宋_GB2312" w:hAnsi="仿宋_GB2312" w:eastAsia="仿宋_GB2312" w:cs="仿宋_GB2312"/>
                <w:sz w:val="28"/>
                <w:szCs w:val="28"/>
                <w:lang w:val="en-US" w:eastAsia="zh-CN"/>
              </w:rPr>
              <w:t>项目概况</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本项目为市级检验同质化管理平台建设，旨在对区域内质控中心成员单位检验室内质控数据进行统一质控与室间质评，实现全市医疗机构检验质量数据自动化采集与统一管理，建立科学动态的检验质量评价体系，推动检验结果互认机制落地，提升基层实验室质量管理能力，构建可视化、智能化的质控监管体系。</w:t>
            </w:r>
          </w:p>
        </w:tc>
      </w:tr>
      <w:tr w14:paraId="435DF84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786445D">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6509FF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7121" w:type="dxa"/>
            <w:tcBorders>
              <w:top w:val="single" w:color="auto" w:sz="4" w:space="0"/>
              <w:left w:val="nil"/>
              <w:bottom w:val="single" w:color="auto" w:sz="4" w:space="0"/>
              <w:right w:val="single" w:color="auto" w:sz="4" w:space="0"/>
            </w:tcBorders>
            <w:noWrap w:val="0"/>
            <w:vAlign w:val="center"/>
          </w:tcPr>
          <w:p w14:paraId="05C298F9">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1.2</w:t>
            </w:r>
            <w:r>
              <w:rPr>
                <w:rFonts w:hint="default" w:ascii="仿宋_GB2312" w:hAnsi="仿宋_GB2312" w:eastAsia="仿宋_GB2312" w:cs="仿宋_GB2312"/>
                <w:sz w:val="28"/>
                <w:szCs w:val="28"/>
                <w:lang w:val="en-US" w:eastAsia="zh-CN"/>
              </w:rPr>
              <w:t>建设目标</w:t>
            </w:r>
            <w:r>
              <w:rPr>
                <w:rFonts w:hint="eastAsia" w:ascii="仿宋_GB2312" w:hAnsi="仿宋_GB2312" w:eastAsia="仿宋_GB2312" w:cs="仿宋_GB2312"/>
                <w:sz w:val="28"/>
                <w:szCs w:val="28"/>
                <w:lang w:val="en-US" w:eastAsia="zh-CN"/>
              </w:rPr>
              <w:t>：1. 实现全市医疗机构检验质量数据的自动化采集、标准化存储与统一管理；2. 建立覆盖室内质控、室间质评、质量指标评价的全流程检验质量管控体系；3. 实现检验质量的可视化、智能化监管，辅助管理决策与应急响应；4. 推动区域内检验结果互认，提升医疗资源利用效率；5. 搭建标准化教育培训体系，提升基层检验人员专业能力。</w:t>
            </w:r>
          </w:p>
        </w:tc>
      </w:tr>
      <w:tr w14:paraId="3C0414D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127FCD9">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E368EDE">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7121" w:type="dxa"/>
            <w:tcBorders>
              <w:top w:val="single" w:color="auto" w:sz="4" w:space="0"/>
              <w:left w:val="nil"/>
              <w:bottom w:val="single" w:color="auto" w:sz="4" w:space="0"/>
              <w:right w:val="single" w:color="auto" w:sz="4" w:space="0"/>
            </w:tcBorders>
            <w:noWrap w:val="0"/>
            <w:vAlign w:val="center"/>
          </w:tcPr>
          <w:p w14:paraId="28B38C73">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1.3</w:t>
            </w:r>
            <w:r>
              <w:rPr>
                <w:rFonts w:hint="default" w:ascii="仿宋_GB2312" w:hAnsi="仿宋_GB2312" w:eastAsia="仿宋_GB2312" w:cs="仿宋_GB2312"/>
                <w:sz w:val="28"/>
                <w:szCs w:val="28"/>
                <w:lang w:val="en-US" w:eastAsia="zh-CN"/>
              </w:rPr>
              <w:t>服务范围</w:t>
            </w:r>
            <w:r>
              <w:rPr>
                <w:rFonts w:hint="eastAsia" w:ascii="仿宋_GB2312" w:hAnsi="仿宋_GB2312" w:eastAsia="仿宋_GB2312" w:cs="仿宋_GB2312"/>
                <w:sz w:val="28"/>
                <w:szCs w:val="28"/>
                <w:lang w:val="en-US" w:eastAsia="zh-CN"/>
              </w:rPr>
              <w:t>：覆盖全市所有质控中心成员单位，包括市级医院、县级医院、社区卫生服务中心、乡镇卫生院等医疗机构的临床实验室，支持不少于30家实验室接入，预留后续扩展能力。</w:t>
            </w:r>
          </w:p>
        </w:tc>
      </w:tr>
      <w:tr w14:paraId="775BE7E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7FB89B4">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6D4DDA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7121" w:type="dxa"/>
            <w:tcBorders>
              <w:top w:val="single" w:color="auto" w:sz="4" w:space="0"/>
              <w:left w:val="nil"/>
              <w:bottom w:val="single" w:color="auto" w:sz="4" w:space="0"/>
              <w:right w:val="single" w:color="auto" w:sz="4" w:space="0"/>
            </w:tcBorders>
            <w:noWrap w:val="0"/>
            <w:vAlign w:val="center"/>
          </w:tcPr>
          <w:p w14:paraId="0ACDF4F3">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r>
              <w:rPr>
                <w:rFonts w:hint="default" w:ascii="仿宋_GB2312" w:hAnsi="仿宋_GB2312" w:eastAsia="仿宋_GB2312" w:cs="仿宋_GB2312"/>
                <w:sz w:val="28"/>
                <w:szCs w:val="28"/>
                <w:lang w:val="en-US" w:eastAsia="zh-CN"/>
              </w:rPr>
              <w:t>实施周期</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合同签订后3个月内完成平台开发、部署、调试与上线试运行，试运行期3个月，试运行通过后完成项目终验。</w:t>
            </w:r>
          </w:p>
        </w:tc>
      </w:tr>
      <w:tr w14:paraId="7FFE09C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F8F2FA7">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AD3FFBE">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7121" w:type="dxa"/>
            <w:tcBorders>
              <w:top w:val="single" w:color="auto" w:sz="4" w:space="0"/>
              <w:left w:val="nil"/>
              <w:bottom w:val="single" w:color="auto" w:sz="4" w:space="0"/>
              <w:right w:val="single" w:color="auto" w:sz="4" w:space="0"/>
            </w:tcBorders>
            <w:noWrap w:val="0"/>
            <w:vAlign w:val="center"/>
          </w:tcPr>
          <w:p w14:paraId="6EDF0503">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r>
              <w:rPr>
                <w:rFonts w:hint="default" w:ascii="仿宋_GB2312" w:hAnsi="仿宋_GB2312" w:eastAsia="仿宋_GB2312" w:cs="仿宋_GB2312"/>
                <w:sz w:val="28"/>
                <w:szCs w:val="28"/>
                <w:lang w:val="en-US" w:eastAsia="zh-CN"/>
              </w:rPr>
              <w:t>验收标准</w:t>
            </w:r>
            <w:r>
              <w:rPr>
                <w:rFonts w:hint="eastAsia" w:ascii="仿宋_GB2312" w:hAnsi="仿宋_GB2312" w:eastAsia="仿宋_GB2312" w:cs="仿宋_GB2312"/>
                <w:sz w:val="28"/>
                <w:szCs w:val="28"/>
                <w:lang w:val="en-US" w:eastAsia="zh-CN"/>
              </w:rPr>
              <w:t>：1. 功能验收：所有招标要求的功能模块全部实现，满足业务需求，通过功能测试；2. 性能验收：平台响应时间、并发量、数据处理能力等性能指标满足招标要求，通过压力测试；3. 安全验收：平台满足等保2.0三级以上安全要求，通过第三方安全测评；4. 文档验收：交付完整的项目文档，包括需求规格说明书、设计文档、测试报告、操作手册、运维手册等；5. 培训验收：完成对所有使用单位的操作培训，考核通过率100%。</w:t>
            </w:r>
          </w:p>
        </w:tc>
      </w:tr>
      <w:tr w14:paraId="4857747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63ABAE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D0023DB">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7121" w:type="dxa"/>
            <w:tcBorders>
              <w:top w:val="single" w:color="auto" w:sz="4" w:space="0"/>
              <w:left w:val="nil"/>
              <w:bottom w:val="single" w:color="auto" w:sz="4" w:space="0"/>
              <w:right w:val="single" w:color="auto" w:sz="4" w:space="0"/>
            </w:tcBorders>
            <w:noWrap w:val="0"/>
            <w:vAlign w:val="center"/>
          </w:tcPr>
          <w:p w14:paraId="400F7778">
            <w:pPr>
              <w:widowControl/>
              <w:jc w:val="lef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二、核心功能模块要求</w:t>
            </w:r>
            <w:r>
              <w:rPr>
                <w:rFonts w:hint="eastAsia" w:ascii="仿宋_GB2312" w:hAnsi="仿宋_GB2312" w:eastAsia="仿宋_GB2312" w:cs="仿宋_GB2312"/>
                <w:b/>
                <w:bCs/>
                <w:sz w:val="28"/>
                <w:szCs w:val="28"/>
                <w:lang w:val="en-US" w:eastAsia="zh-CN"/>
              </w:rPr>
              <w:t>（编号9至82）</w:t>
            </w:r>
          </w:p>
        </w:tc>
      </w:tr>
      <w:tr w14:paraId="5EF9358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4C6613A">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92B1B69">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7121" w:type="dxa"/>
            <w:tcBorders>
              <w:top w:val="single" w:color="auto" w:sz="4" w:space="0"/>
              <w:left w:val="nil"/>
              <w:bottom w:val="single" w:color="auto" w:sz="4" w:space="0"/>
              <w:right w:val="single" w:color="auto" w:sz="4" w:space="0"/>
            </w:tcBorders>
            <w:noWrap w:val="0"/>
            <w:vAlign w:val="center"/>
          </w:tcPr>
          <w:p w14:paraId="12B50AFC">
            <w:pPr>
              <w:widowControl/>
              <w:jc w:val="lef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2.1 室内质控数据收集模块</w:t>
            </w:r>
            <w:r>
              <w:rPr>
                <w:rFonts w:hint="eastAsia" w:ascii="仿宋_GB2312" w:hAnsi="仿宋_GB2312" w:eastAsia="仿宋_GB2312" w:cs="仿宋_GB2312"/>
                <w:b/>
                <w:bCs/>
                <w:sz w:val="28"/>
                <w:szCs w:val="28"/>
                <w:lang w:val="en-US" w:eastAsia="zh-CN"/>
              </w:rPr>
              <w:t>（编号10至13）</w:t>
            </w:r>
          </w:p>
        </w:tc>
      </w:tr>
      <w:tr w14:paraId="44B4D2D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D474CF6">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1FE4AA77">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7121" w:type="dxa"/>
            <w:tcBorders>
              <w:top w:val="single" w:color="auto" w:sz="4" w:space="0"/>
              <w:left w:val="nil"/>
              <w:bottom w:val="single" w:color="auto" w:sz="4" w:space="0"/>
              <w:right w:val="single" w:color="auto" w:sz="4" w:space="0"/>
            </w:tcBorders>
            <w:noWrap w:val="0"/>
            <w:vAlign w:val="center"/>
          </w:tcPr>
          <w:p w14:paraId="48157E08">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实验室端数据采集：管理平台可实现质控数据的实时或者定时自动采集，各成员单位将本单位质控数据按照指定格式存储于指定位置，由安装到本地的数据传输模块定时或实时将质控数据回传到质控中心管理平台进行分析（需提供系统截图）；支持手动补录质控数据，满足特殊场景需求（需提供系统截图）。</w:t>
            </w:r>
          </w:p>
        </w:tc>
      </w:tr>
      <w:tr w14:paraId="67CC98A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27A3678">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59B31E84">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7121" w:type="dxa"/>
            <w:tcBorders>
              <w:top w:val="single" w:color="auto" w:sz="4" w:space="0"/>
              <w:left w:val="nil"/>
              <w:bottom w:val="single" w:color="auto" w:sz="4" w:space="0"/>
              <w:right w:val="single" w:color="auto" w:sz="4" w:space="0"/>
            </w:tcBorders>
            <w:noWrap w:val="0"/>
            <w:vAlign w:val="center"/>
          </w:tcPr>
          <w:p w14:paraId="19CAA6AF">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2.1.2数据标准化处理平台支持对采集的质控数据进行标准化清洗、格式转换、异常值过滤，确保数据符合国家临床检验质控标准规范（需提供佐证材料）；支持不同品牌、型号的检验设备、</w:t>
            </w:r>
            <w:r>
              <w:rPr>
                <w:rFonts w:hint="default" w:ascii="仿宋_GB2312" w:hAnsi="仿宋_GB2312" w:eastAsia="仿宋_GB2312" w:cs="仿宋_GB2312"/>
                <w:sz w:val="28"/>
                <w:szCs w:val="28"/>
                <w:lang w:val="en-US" w:eastAsia="zh-CN"/>
              </w:rPr>
              <w:t>LIS</w:t>
            </w:r>
            <w:r>
              <w:rPr>
                <w:rFonts w:hint="eastAsia" w:ascii="仿宋_GB2312" w:hAnsi="仿宋_GB2312" w:eastAsia="仿宋_GB2312" w:cs="仿宋_GB2312"/>
                <w:sz w:val="28"/>
                <w:szCs w:val="28"/>
                <w:lang w:val="en-US" w:eastAsia="zh-CN"/>
              </w:rPr>
              <w:t>系统数据格式适配，兼容主流厂商设备与系统（需提供佐证材料）。</w:t>
            </w:r>
          </w:p>
        </w:tc>
      </w:tr>
      <w:tr w14:paraId="76BC6C0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018842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AD05EF6">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7121" w:type="dxa"/>
            <w:tcBorders>
              <w:top w:val="single" w:color="auto" w:sz="4" w:space="0"/>
              <w:left w:val="nil"/>
              <w:bottom w:val="single" w:color="auto" w:sz="4" w:space="0"/>
              <w:right w:val="single" w:color="auto" w:sz="4" w:space="0"/>
            </w:tcBorders>
            <w:noWrap w:val="0"/>
            <w:vAlign w:val="center"/>
          </w:tcPr>
          <w:p w14:paraId="0B2604FC">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2.1.3</w:t>
            </w:r>
            <w:r>
              <w:rPr>
                <w:rFonts w:hint="default" w:ascii="仿宋_GB2312" w:hAnsi="仿宋_GB2312" w:eastAsia="仿宋_GB2312" w:cs="仿宋_GB2312"/>
                <w:sz w:val="28"/>
                <w:szCs w:val="28"/>
                <w:lang w:val="en-US" w:eastAsia="zh-CN"/>
              </w:rPr>
              <w:t>平台管理端数据查看</w:t>
            </w:r>
            <w:r>
              <w:rPr>
                <w:rFonts w:hint="eastAsia" w:ascii="仿宋_GB2312" w:hAnsi="仿宋_GB2312" w:eastAsia="仿宋_GB2312" w:cs="仿宋_GB2312"/>
                <w:sz w:val="28"/>
                <w:szCs w:val="28"/>
                <w:lang w:val="en-US" w:eastAsia="zh-CN"/>
              </w:rPr>
              <w:t>：质量管理中心可以实时查看各实验室每个质控项目的相关信息，包括但不限于质控品名称批号、仪器试剂厂家，室内质控数据、</w:t>
            </w:r>
            <w:r>
              <w:rPr>
                <w:rFonts w:hint="default" w:ascii="仿宋_GB2312" w:hAnsi="仿宋_GB2312" w:eastAsia="仿宋_GB2312" w:cs="仿宋_GB2312"/>
                <w:sz w:val="28"/>
                <w:szCs w:val="28"/>
                <w:lang w:val="en-US" w:eastAsia="zh-CN"/>
              </w:rPr>
              <w:t>L-J</w:t>
            </w:r>
            <w:r>
              <w:rPr>
                <w:rFonts w:hint="eastAsia" w:ascii="仿宋_GB2312" w:hAnsi="仿宋_GB2312" w:eastAsia="仿宋_GB2312" w:cs="仿宋_GB2312"/>
                <w:sz w:val="28"/>
                <w:szCs w:val="28"/>
                <w:lang w:val="en-US" w:eastAsia="zh-CN"/>
              </w:rPr>
              <w:t>图、失控数据，失控报告，室内质控室间比对报告，月小结报告等；支持多维度筛选、查询、导出数据。</w:t>
            </w:r>
          </w:p>
        </w:tc>
      </w:tr>
      <w:tr w14:paraId="765CC29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B98AB61">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E2D8492">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7121" w:type="dxa"/>
            <w:tcBorders>
              <w:top w:val="single" w:color="auto" w:sz="4" w:space="0"/>
              <w:left w:val="nil"/>
              <w:bottom w:val="single" w:color="auto" w:sz="4" w:space="0"/>
              <w:right w:val="single" w:color="auto" w:sz="4" w:space="0"/>
            </w:tcBorders>
            <w:noWrap w:val="0"/>
            <w:vAlign w:val="center"/>
          </w:tcPr>
          <w:p w14:paraId="1FF955A2">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2.1.4</w:t>
            </w:r>
            <w:r>
              <w:rPr>
                <w:rFonts w:hint="default" w:ascii="仿宋_GB2312" w:hAnsi="仿宋_GB2312" w:eastAsia="仿宋_GB2312" w:cs="仿宋_GB2312"/>
                <w:sz w:val="28"/>
                <w:szCs w:val="28"/>
                <w:lang w:val="en-US" w:eastAsia="zh-CN"/>
              </w:rPr>
              <w:t>平台实验室端数据查看</w:t>
            </w:r>
            <w:r>
              <w:rPr>
                <w:rFonts w:hint="eastAsia" w:ascii="仿宋_GB2312" w:hAnsi="仿宋_GB2312" w:eastAsia="仿宋_GB2312" w:cs="仿宋_GB2312"/>
                <w:sz w:val="28"/>
                <w:szCs w:val="28"/>
                <w:lang w:val="en-US" w:eastAsia="zh-CN"/>
              </w:rPr>
              <w:t>：区域内参与同质化管理的实验室，通过平台实验室端能查看本实验室上传的质量管理数据并下载依据中心同质化管理要求出具的质量评估报告；支持本实验室历史数据回溯、趋势分析、报告打印。</w:t>
            </w:r>
          </w:p>
        </w:tc>
      </w:tr>
      <w:tr w14:paraId="5FA8B7C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77811B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B1B21CA">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7121" w:type="dxa"/>
            <w:tcBorders>
              <w:top w:val="single" w:color="auto" w:sz="4" w:space="0"/>
              <w:left w:val="nil"/>
              <w:bottom w:val="single" w:color="auto" w:sz="4" w:space="0"/>
              <w:right w:val="single" w:color="auto" w:sz="4" w:space="0"/>
            </w:tcBorders>
            <w:noWrap w:val="0"/>
            <w:vAlign w:val="center"/>
          </w:tcPr>
          <w:p w14:paraId="79176194">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2.1.5</w:t>
            </w:r>
            <w:r>
              <w:rPr>
                <w:rFonts w:hint="default" w:ascii="仿宋_GB2312" w:hAnsi="仿宋_GB2312" w:eastAsia="仿宋_GB2312" w:cs="仿宋_GB2312"/>
                <w:sz w:val="28"/>
                <w:szCs w:val="28"/>
                <w:lang w:val="en-US" w:eastAsia="zh-CN"/>
              </w:rPr>
              <w:t>数据传输模块</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中标厂商提供无线数据采集模块，用户安装在质控中心成员单位内部LIS专用数据传输服务器上，用来定时向质控中心传输符合质控中心要求的质控数据。数量不少于30个，支持后续扩展。</w:t>
            </w:r>
          </w:p>
        </w:tc>
      </w:tr>
      <w:tr w14:paraId="5C631EB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4C76115">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6110501">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7121" w:type="dxa"/>
            <w:tcBorders>
              <w:top w:val="single" w:color="auto" w:sz="4" w:space="0"/>
              <w:left w:val="nil"/>
              <w:bottom w:val="single" w:color="auto" w:sz="4" w:space="0"/>
              <w:right w:val="single" w:color="auto" w:sz="4" w:space="0"/>
            </w:tcBorders>
            <w:noWrap w:val="0"/>
            <w:vAlign w:val="center"/>
          </w:tcPr>
          <w:p w14:paraId="200F13CE">
            <w:pPr>
              <w:widowControl/>
              <w:jc w:val="lef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2.2 质量指标评价模块</w:t>
            </w:r>
            <w:r>
              <w:rPr>
                <w:rFonts w:hint="eastAsia" w:ascii="仿宋_GB2312" w:hAnsi="仿宋_GB2312" w:eastAsia="仿宋_GB2312" w:cs="仿宋_GB2312"/>
                <w:b/>
                <w:bCs/>
                <w:sz w:val="28"/>
                <w:szCs w:val="28"/>
                <w:lang w:val="en-US" w:eastAsia="zh-CN"/>
              </w:rPr>
              <w:t>（编号15至18）</w:t>
            </w:r>
          </w:p>
        </w:tc>
      </w:tr>
      <w:tr w14:paraId="03D5825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0803FA5">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A9CE059">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7121" w:type="dxa"/>
            <w:tcBorders>
              <w:top w:val="single" w:color="auto" w:sz="4" w:space="0"/>
              <w:left w:val="nil"/>
              <w:bottom w:val="single" w:color="auto" w:sz="4" w:space="0"/>
              <w:right w:val="single" w:color="auto" w:sz="4" w:space="0"/>
            </w:tcBorders>
            <w:noWrap w:val="0"/>
            <w:vAlign w:val="center"/>
          </w:tcPr>
          <w:p w14:paraId="1155851B">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2.2.1</w:t>
            </w:r>
            <w:r>
              <w:rPr>
                <w:rFonts w:hint="default" w:ascii="仿宋_GB2312" w:hAnsi="仿宋_GB2312" w:eastAsia="仿宋_GB2312" w:cs="仿宋_GB2312"/>
                <w:sz w:val="28"/>
                <w:szCs w:val="28"/>
                <w:lang w:val="en-US" w:eastAsia="zh-CN"/>
              </w:rPr>
              <w:t>质量指标库管理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平台内置国家临床检验质量指标库，覆盖分析前、分析中、分析后全流程质量指标，支持指标的新增、修改、删除、启用/禁用，支持自定义质量指标；指标需符合《临床实验室定量测定室内质量控制指南》《医疗机构临床实验室管理办法》等行业规范。</w:t>
            </w:r>
          </w:p>
        </w:tc>
      </w:tr>
      <w:tr w14:paraId="0C11473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F9AC546">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66FE8711">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7121" w:type="dxa"/>
            <w:tcBorders>
              <w:top w:val="single" w:color="auto" w:sz="4" w:space="0"/>
              <w:left w:val="nil"/>
              <w:bottom w:val="single" w:color="auto" w:sz="4" w:space="0"/>
              <w:right w:val="single" w:color="auto" w:sz="4" w:space="0"/>
            </w:tcBorders>
            <w:noWrap w:val="0"/>
            <w:vAlign w:val="center"/>
          </w:tcPr>
          <w:p w14:paraId="35751C89">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2.2.2质量指标数据采集：支持区域各实验室质量指标参数的自动化采集与手动上报，支持按周期（日</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周</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月</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季</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年）上报指标数据，支持数据校验、异常提醒，确保上报数据的真实性、完整性（需提供系统截图）。</w:t>
            </w:r>
          </w:p>
        </w:tc>
      </w:tr>
      <w:tr w14:paraId="28D5CB0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DEE8D7C">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5F77F2A">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7121" w:type="dxa"/>
            <w:tcBorders>
              <w:top w:val="single" w:color="auto" w:sz="4" w:space="0"/>
              <w:left w:val="nil"/>
              <w:bottom w:val="single" w:color="auto" w:sz="4" w:space="0"/>
              <w:right w:val="single" w:color="auto" w:sz="4" w:space="0"/>
            </w:tcBorders>
            <w:noWrap w:val="0"/>
            <w:vAlign w:val="center"/>
          </w:tcPr>
          <w:p w14:paraId="55EA9AD7">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2.2.3</w:t>
            </w:r>
            <w:r>
              <w:rPr>
                <w:rFonts w:hint="default" w:ascii="仿宋_GB2312" w:hAnsi="仿宋_GB2312" w:eastAsia="仿宋_GB2312" w:cs="仿宋_GB2312"/>
                <w:sz w:val="28"/>
                <w:szCs w:val="28"/>
                <w:lang w:val="en-US" w:eastAsia="zh-CN"/>
              </w:rPr>
              <w:t>质量指标综合评价</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根据征集的质量指标参数，对实验室实验前/实验中/实验后的质量管理状况做出综合评价；支持多维度评价模型配置，支持按实验室、按专业、按项目、按时间维度的评价分析，生成可视化评价报告。</w:t>
            </w:r>
          </w:p>
        </w:tc>
      </w:tr>
      <w:tr w14:paraId="10EE129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04ED0F7">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4F6FA7D">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7121" w:type="dxa"/>
            <w:tcBorders>
              <w:top w:val="single" w:color="auto" w:sz="4" w:space="0"/>
              <w:left w:val="nil"/>
              <w:bottom w:val="single" w:color="auto" w:sz="4" w:space="0"/>
              <w:right w:val="single" w:color="auto" w:sz="4" w:space="0"/>
            </w:tcBorders>
            <w:noWrap w:val="0"/>
            <w:vAlign w:val="center"/>
          </w:tcPr>
          <w:p w14:paraId="28848DBF">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2.2.4</w:t>
            </w:r>
            <w:r>
              <w:rPr>
                <w:rFonts w:hint="default" w:ascii="仿宋_GB2312" w:hAnsi="仿宋_GB2312" w:eastAsia="仿宋_GB2312" w:cs="仿宋_GB2312"/>
                <w:sz w:val="28"/>
                <w:szCs w:val="28"/>
                <w:lang w:val="en-US" w:eastAsia="zh-CN"/>
              </w:rPr>
              <w:t>支持对质量指标评价中发现的问题进行闭环管理，包括问题记录、原因分析、整改措施制定、整改跟踪、效果验证；支持整改过程的消息提醒、进度监控、逾期告警。</w:t>
            </w:r>
          </w:p>
        </w:tc>
      </w:tr>
      <w:tr w14:paraId="6EBC616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5CF300A">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ED90CE5">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7121" w:type="dxa"/>
            <w:tcBorders>
              <w:top w:val="single" w:color="auto" w:sz="4" w:space="0"/>
              <w:left w:val="nil"/>
              <w:bottom w:val="single" w:color="auto" w:sz="4" w:space="0"/>
              <w:right w:val="single" w:color="auto" w:sz="4" w:space="0"/>
            </w:tcBorders>
            <w:noWrap w:val="0"/>
            <w:vAlign w:val="center"/>
          </w:tcPr>
          <w:p w14:paraId="6BB8EE94">
            <w:pPr>
              <w:widowControl/>
              <w:jc w:val="lef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2.3 个性化质量管理模块</w:t>
            </w:r>
            <w:r>
              <w:rPr>
                <w:rFonts w:hint="eastAsia" w:ascii="仿宋_GB2312" w:hAnsi="仿宋_GB2312" w:eastAsia="仿宋_GB2312" w:cs="仿宋_GB2312"/>
                <w:b/>
                <w:bCs/>
                <w:sz w:val="28"/>
                <w:szCs w:val="28"/>
                <w:lang w:val="en-US" w:eastAsia="zh-CN"/>
              </w:rPr>
              <w:t>（编号20至22）</w:t>
            </w:r>
          </w:p>
        </w:tc>
      </w:tr>
      <w:tr w14:paraId="1CE69DE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60161E0">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6A672C99">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7121" w:type="dxa"/>
            <w:tcBorders>
              <w:top w:val="single" w:color="auto" w:sz="4" w:space="0"/>
              <w:left w:val="nil"/>
              <w:bottom w:val="single" w:color="auto" w:sz="4" w:space="0"/>
              <w:right w:val="single" w:color="auto" w:sz="4" w:space="0"/>
            </w:tcBorders>
            <w:noWrap w:val="0"/>
            <w:vAlign w:val="center"/>
          </w:tcPr>
          <w:p w14:paraId="43D96062">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2.3.1质控规则设置：支持质量管理中心平台为实验室设定基础失控规则并强制执行，支持Westgard多规则、13s、22s、R4s、41s、10x等主流质控规则，支持自定义质控规则（需提供系统截图）；支持按实验室、按专业、按项目分别设置质控规则（需提供系统截图）。</w:t>
            </w:r>
          </w:p>
        </w:tc>
      </w:tr>
      <w:tr w14:paraId="6C30286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F4B2154">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361D8E0">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w:t>
            </w:r>
          </w:p>
        </w:tc>
        <w:tc>
          <w:tcPr>
            <w:tcW w:w="7121" w:type="dxa"/>
            <w:tcBorders>
              <w:top w:val="single" w:color="auto" w:sz="4" w:space="0"/>
              <w:left w:val="nil"/>
              <w:bottom w:val="single" w:color="auto" w:sz="4" w:space="0"/>
              <w:right w:val="single" w:color="auto" w:sz="4" w:space="0"/>
            </w:tcBorders>
            <w:noWrap w:val="0"/>
            <w:vAlign w:val="center"/>
          </w:tcPr>
          <w:p w14:paraId="76963712">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2.3.2</w:t>
            </w:r>
            <w:r>
              <w:rPr>
                <w:rFonts w:hint="default" w:ascii="仿宋_GB2312" w:hAnsi="仿宋_GB2312" w:eastAsia="仿宋_GB2312" w:cs="仿宋_GB2312"/>
                <w:sz w:val="28"/>
                <w:szCs w:val="28"/>
                <w:lang w:val="en-US" w:eastAsia="zh-CN"/>
              </w:rPr>
              <w:t>质量管理要求及目标设置</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支持质量管理中心按照医院、专业、项目设置每个项目的质量管理的要求和目标，包括CV目标、SD目标、偏倚目标、合格率目标等；支持目标值的批量设置、导入导出，支持目标执行情况的实时监控。</w:t>
            </w:r>
          </w:p>
        </w:tc>
      </w:tr>
      <w:tr w14:paraId="475B9DA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854901B">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E1815DA">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w:t>
            </w:r>
          </w:p>
        </w:tc>
        <w:tc>
          <w:tcPr>
            <w:tcW w:w="7121" w:type="dxa"/>
            <w:tcBorders>
              <w:top w:val="single" w:color="auto" w:sz="4" w:space="0"/>
              <w:left w:val="nil"/>
              <w:bottom w:val="single" w:color="auto" w:sz="4" w:space="0"/>
              <w:right w:val="single" w:color="auto" w:sz="4" w:space="0"/>
            </w:tcBorders>
            <w:noWrap w:val="0"/>
            <w:vAlign w:val="center"/>
          </w:tcPr>
          <w:p w14:paraId="7077B7F6">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2.3.3</w:t>
            </w:r>
            <w:r>
              <w:rPr>
                <w:rFonts w:hint="default" w:ascii="仿宋_GB2312" w:hAnsi="仿宋_GB2312" w:eastAsia="仿宋_GB2312" w:cs="仿宋_GB2312"/>
                <w:sz w:val="28"/>
                <w:szCs w:val="28"/>
                <w:lang w:val="en-US" w:eastAsia="zh-CN"/>
              </w:rPr>
              <w:t>个性化质控方案管理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支持为不同实验室、不同专业、不同项目制定个性化的质控方案，包括质控品选择、质控频率、质控规则、评价标准等；支持方案的模板化管理，一键套用，提升配置效率。</w:t>
            </w:r>
          </w:p>
        </w:tc>
      </w:tr>
      <w:tr w14:paraId="6E2F1A0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6A0E201">
            <w:pPr>
              <w:widowControl/>
              <w:jc w:val="center"/>
              <w:rPr>
                <w:rFonts w:hint="eastAsia" w:ascii="宋体" w:hAnsi="宋体" w:eastAsia="宋体" w:cs="宋体"/>
                <w:i w:val="0"/>
                <w:iCs w:val="0"/>
                <w:color w:val="000000"/>
                <w:kern w:val="0"/>
                <w:sz w:val="28"/>
                <w:szCs w:val="28"/>
                <w:u w:val="none"/>
                <w:lang w:val="en-US" w:eastAsia="zh-CN" w:bidi="ar"/>
              </w:rPr>
            </w:pPr>
          </w:p>
        </w:tc>
        <w:tc>
          <w:tcPr>
            <w:tcW w:w="1134" w:type="dxa"/>
            <w:tcBorders>
              <w:top w:val="single" w:color="auto" w:sz="4" w:space="0"/>
              <w:left w:val="nil"/>
              <w:bottom w:val="single" w:color="auto" w:sz="4" w:space="0"/>
              <w:right w:val="single" w:color="auto" w:sz="4" w:space="0"/>
            </w:tcBorders>
            <w:noWrap w:val="0"/>
            <w:vAlign w:val="center"/>
          </w:tcPr>
          <w:p w14:paraId="6CC2B3D1">
            <w:pPr>
              <w:keepNext w:val="0"/>
              <w:keepLines w:val="0"/>
              <w:widowControl/>
              <w:suppressLineNumbers w:val="0"/>
              <w:jc w:val="center"/>
              <w:textAlignment w:val="center"/>
              <w:rPr>
                <w:rFonts w:hint="default" w:ascii="微软雅黑" w:hAnsi="微软雅黑" w:eastAsia="微软雅黑" w:cs="微软雅黑"/>
                <w:b/>
                <w:bCs/>
                <w:i w:val="0"/>
                <w:iCs w:val="0"/>
                <w:color w:val="C65911"/>
                <w:kern w:val="0"/>
                <w:sz w:val="28"/>
                <w:szCs w:val="28"/>
                <w:u w:val="none"/>
                <w:lang w:val="en-US" w:eastAsia="zh-CN" w:bidi="ar"/>
              </w:rPr>
            </w:pPr>
            <w:r>
              <w:rPr>
                <w:rFonts w:hint="eastAsia" w:ascii="仿宋_GB2312" w:hAnsi="仿宋_GB2312" w:eastAsia="仿宋_GB2312" w:cs="仿宋_GB2312"/>
                <w:sz w:val="28"/>
                <w:szCs w:val="28"/>
                <w:lang w:val="en-US" w:eastAsia="zh-CN"/>
              </w:rPr>
              <w:t>23</w:t>
            </w:r>
          </w:p>
        </w:tc>
        <w:tc>
          <w:tcPr>
            <w:tcW w:w="7121" w:type="dxa"/>
            <w:tcBorders>
              <w:top w:val="single" w:color="auto" w:sz="4" w:space="0"/>
              <w:left w:val="nil"/>
              <w:bottom w:val="single" w:color="auto" w:sz="4" w:space="0"/>
              <w:right w:val="single" w:color="auto" w:sz="4" w:space="0"/>
            </w:tcBorders>
            <w:noWrap w:val="0"/>
            <w:vAlign w:val="center"/>
          </w:tcPr>
          <w:p w14:paraId="2557B38A">
            <w:pPr>
              <w:keepNext w:val="0"/>
              <w:keepLines w:val="0"/>
              <w:widowControl/>
              <w:suppressLineNumbers w:val="0"/>
              <w:jc w:val="left"/>
              <w:textAlignment w:val="center"/>
              <w:rPr>
                <w:rFonts w:hint="eastAsia" w:ascii="微软雅黑" w:hAnsi="微软雅黑" w:eastAsia="微软雅黑" w:cs="微软雅黑"/>
                <w:b/>
                <w:bCs/>
                <w:i w:val="0"/>
                <w:iCs w:val="0"/>
                <w:color w:val="C65911"/>
                <w:kern w:val="0"/>
                <w:sz w:val="28"/>
                <w:szCs w:val="28"/>
                <w:u w:val="none"/>
                <w:lang w:val="en-US" w:eastAsia="zh-CN" w:bidi="ar"/>
              </w:rPr>
            </w:pPr>
            <w:r>
              <w:rPr>
                <w:rFonts w:hint="eastAsia" w:ascii="仿宋_GB2312" w:hAnsi="仿宋_GB2312" w:eastAsia="仿宋_GB2312" w:cs="仿宋_GB2312"/>
                <w:b/>
                <w:bCs/>
                <w:sz w:val="28"/>
                <w:szCs w:val="28"/>
                <w:lang w:val="en-US" w:eastAsia="zh-CN"/>
              </w:rPr>
              <w:t>2.4 同质化管理与互认评价模块（编号24至29）</w:t>
            </w:r>
          </w:p>
        </w:tc>
      </w:tr>
      <w:tr w14:paraId="0568F32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37BCD83">
            <w:pPr>
              <w:widowControl/>
              <w:jc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4327B08C">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w:t>
            </w:r>
          </w:p>
        </w:tc>
        <w:tc>
          <w:tcPr>
            <w:tcW w:w="7121" w:type="dxa"/>
            <w:tcBorders>
              <w:top w:val="single" w:color="auto" w:sz="4" w:space="0"/>
              <w:left w:val="nil"/>
              <w:bottom w:val="single" w:color="auto" w:sz="4" w:space="0"/>
              <w:right w:val="single" w:color="auto" w:sz="4" w:space="0"/>
            </w:tcBorders>
            <w:noWrap w:val="0"/>
            <w:vAlign w:val="center"/>
          </w:tcPr>
          <w:p w14:paraId="1DA71472">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2.4.1标准指标管理：管理端可对各实验室做多维度的质量评价，包含但不限于以下指标：质量指标、室间质评、精密度、室内质控室间比对SDI/CVI、工作日质控结果上报率、失控纠正率、消息读取率、教育培训参与率、教育培训合格率等；支持指标的自定义配置、权重设置（需提供系统截图）。</w:t>
            </w:r>
          </w:p>
        </w:tc>
      </w:tr>
      <w:tr w14:paraId="665BEF3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DCEDA77">
            <w:pPr>
              <w:widowControl/>
              <w:jc w:val="center"/>
              <w:rPr>
                <w:rFonts w:hint="eastAsia" w:ascii="宋体" w:hAnsi="宋体" w:eastAsia="宋体" w:cs="宋体"/>
                <w:i w:val="0"/>
                <w:iCs w:val="0"/>
                <w:color w:val="000000"/>
                <w:kern w:val="0"/>
                <w:sz w:val="28"/>
                <w:szCs w:val="28"/>
                <w:u w:val="none"/>
                <w:lang w:val="en-US" w:eastAsia="zh-CN" w:bidi="ar"/>
              </w:rPr>
            </w:pPr>
          </w:p>
        </w:tc>
        <w:tc>
          <w:tcPr>
            <w:tcW w:w="1134" w:type="dxa"/>
            <w:tcBorders>
              <w:top w:val="single" w:color="auto" w:sz="4" w:space="0"/>
              <w:left w:val="nil"/>
              <w:bottom w:val="single" w:color="auto" w:sz="4" w:space="0"/>
              <w:right w:val="single" w:color="auto" w:sz="4" w:space="0"/>
            </w:tcBorders>
            <w:noWrap w:val="0"/>
            <w:vAlign w:val="center"/>
          </w:tcPr>
          <w:p w14:paraId="2109F5D8">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w:t>
            </w:r>
          </w:p>
        </w:tc>
        <w:tc>
          <w:tcPr>
            <w:tcW w:w="7121" w:type="dxa"/>
            <w:tcBorders>
              <w:top w:val="single" w:color="auto" w:sz="4" w:space="0"/>
              <w:left w:val="nil"/>
              <w:bottom w:val="single" w:color="auto" w:sz="4" w:space="0"/>
              <w:right w:val="single" w:color="auto" w:sz="4" w:space="0"/>
            </w:tcBorders>
            <w:noWrap w:val="0"/>
            <w:vAlign w:val="center"/>
          </w:tcPr>
          <w:p w14:paraId="545DAB9E">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2.4.2</w:t>
            </w:r>
            <w:r>
              <w:rPr>
                <w:rFonts w:hint="default" w:ascii="仿宋_GB2312" w:hAnsi="仿宋_GB2312" w:eastAsia="仿宋_GB2312" w:cs="仿宋_GB2312"/>
                <w:sz w:val="28"/>
                <w:szCs w:val="28"/>
                <w:lang w:val="en-US" w:eastAsia="zh-CN"/>
              </w:rPr>
              <w:t>标准设置管理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管理端可以根据评价需要选用各评价指标灵活设置同质化标准；支持按专业、按项目、按实验室级别设置不同的同质化标准，支持标准的版本管理、历史回溯。</w:t>
            </w:r>
          </w:p>
        </w:tc>
      </w:tr>
      <w:tr w14:paraId="545CCFE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5C1226B">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C2B152D">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w:t>
            </w:r>
          </w:p>
        </w:tc>
        <w:tc>
          <w:tcPr>
            <w:tcW w:w="7121" w:type="dxa"/>
            <w:tcBorders>
              <w:top w:val="single" w:color="auto" w:sz="4" w:space="0"/>
              <w:left w:val="nil"/>
              <w:bottom w:val="single" w:color="auto" w:sz="4" w:space="0"/>
              <w:right w:val="single" w:color="auto" w:sz="4" w:space="0"/>
            </w:tcBorders>
            <w:noWrap w:val="0"/>
            <w:vAlign w:val="center"/>
          </w:tcPr>
          <w:p w14:paraId="2A177088">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2.4.3</w:t>
            </w:r>
            <w:r>
              <w:rPr>
                <w:rFonts w:hint="default" w:ascii="仿宋_GB2312" w:hAnsi="仿宋_GB2312" w:eastAsia="仿宋_GB2312" w:cs="仿宋_GB2312"/>
                <w:sz w:val="28"/>
                <w:szCs w:val="28"/>
                <w:lang w:val="en-US" w:eastAsia="zh-CN"/>
              </w:rPr>
              <w:t>同质化情况预览</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以表格、图表形式查看管辖区域各实验室同质化管理指标现阶段情况，支持按区域、实验室、专业、项目多维度筛选查看，支持数据下钻分析。</w:t>
            </w:r>
          </w:p>
        </w:tc>
      </w:tr>
      <w:tr w14:paraId="71D993B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3A2692B">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216E9C7">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w:t>
            </w:r>
          </w:p>
        </w:tc>
        <w:tc>
          <w:tcPr>
            <w:tcW w:w="7121" w:type="dxa"/>
            <w:tcBorders>
              <w:top w:val="single" w:color="auto" w:sz="4" w:space="0"/>
              <w:left w:val="nil"/>
              <w:bottom w:val="single" w:color="auto" w:sz="4" w:space="0"/>
              <w:right w:val="single" w:color="auto" w:sz="4" w:space="0"/>
            </w:tcBorders>
            <w:noWrap w:val="0"/>
            <w:vAlign w:val="center"/>
          </w:tcPr>
          <w:p w14:paraId="38768659">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2.4.4</w:t>
            </w:r>
            <w:r>
              <w:rPr>
                <w:rFonts w:hint="default" w:ascii="仿宋_GB2312" w:hAnsi="仿宋_GB2312" w:eastAsia="仿宋_GB2312" w:cs="仿宋_GB2312"/>
                <w:sz w:val="28"/>
                <w:szCs w:val="28"/>
                <w:lang w:val="en-US" w:eastAsia="zh-CN"/>
              </w:rPr>
              <w:t>评价结果导出</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可以一键式导出区域内所有实验室同质化项目明细，支持Excel、PDF格式导出，支持按实验室、按专业、按项目、按时间周期自定义导出内容。</w:t>
            </w:r>
          </w:p>
        </w:tc>
      </w:tr>
      <w:tr w14:paraId="0D2A225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1972CD1">
            <w:pPr>
              <w:widowControl/>
              <w:jc w:val="center"/>
              <w:rPr>
                <w:rFonts w:hint="eastAsia" w:ascii="宋体" w:hAnsi="宋体" w:eastAsia="宋体" w:cs="宋体"/>
                <w:i w:val="0"/>
                <w:iCs w:val="0"/>
                <w:color w:val="000000"/>
                <w:kern w:val="0"/>
                <w:sz w:val="28"/>
                <w:szCs w:val="28"/>
                <w:u w:val="none"/>
                <w:lang w:val="en-US" w:eastAsia="zh-CN" w:bidi="ar"/>
              </w:rPr>
            </w:pPr>
          </w:p>
        </w:tc>
        <w:tc>
          <w:tcPr>
            <w:tcW w:w="1134" w:type="dxa"/>
            <w:tcBorders>
              <w:top w:val="single" w:color="auto" w:sz="4" w:space="0"/>
              <w:left w:val="nil"/>
              <w:bottom w:val="single" w:color="auto" w:sz="4" w:space="0"/>
              <w:right w:val="single" w:color="auto" w:sz="4" w:space="0"/>
            </w:tcBorders>
            <w:noWrap w:val="0"/>
            <w:vAlign w:val="center"/>
          </w:tcPr>
          <w:p w14:paraId="450F3D64">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w:t>
            </w:r>
          </w:p>
        </w:tc>
        <w:tc>
          <w:tcPr>
            <w:tcW w:w="7121" w:type="dxa"/>
            <w:tcBorders>
              <w:top w:val="single" w:color="auto" w:sz="4" w:space="0"/>
              <w:left w:val="nil"/>
              <w:bottom w:val="single" w:color="auto" w:sz="4" w:space="0"/>
              <w:right w:val="single" w:color="auto" w:sz="4" w:space="0"/>
            </w:tcBorders>
            <w:noWrap w:val="0"/>
            <w:vAlign w:val="center"/>
          </w:tcPr>
          <w:p w14:paraId="022B673D">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2.4.5评价结论生成：</w:t>
            </w:r>
            <w:r>
              <w:rPr>
                <w:rFonts w:hint="default" w:ascii="仿宋_GB2312" w:hAnsi="仿宋_GB2312" w:eastAsia="仿宋_GB2312" w:cs="仿宋_GB2312"/>
                <w:sz w:val="28"/>
                <w:szCs w:val="28"/>
                <w:lang w:val="en-US" w:eastAsia="zh-CN"/>
              </w:rPr>
              <w:t>为各实验室生成同质化评价报告，包含评价周期内中所确定的同质化标准，每个项目的评价结论、各评价指标的通过标准及实际表现、存在的问题、改进建议等；支持报告的自定义模板、一键生成、批量导出、在线打印。</w:t>
            </w:r>
          </w:p>
        </w:tc>
      </w:tr>
      <w:tr w14:paraId="406B126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2D56E33">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5D41E134">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w:t>
            </w:r>
          </w:p>
        </w:tc>
        <w:tc>
          <w:tcPr>
            <w:tcW w:w="7121" w:type="dxa"/>
            <w:tcBorders>
              <w:top w:val="single" w:color="auto" w:sz="4" w:space="0"/>
              <w:left w:val="nil"/>
              <w:bottom w:val="single" w:color="auto" w:sz="4" w:space="0"/>
              <w:right w:val="single" w:color="auto" w:sz="4" w:space="0"/>
            </w:tcBorders>
            <w:noWrap w:val="0"/>
            <w:vAlign w:val="center"/>
          </w:tcPr>
          <w:p w14:paraId="0A027A0F">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2.4.6检验结果互认管理：1. 互认项目清单管理：支持国家、省、市互认项目清单的维护，支持互认项目的新增、修改、启用/禁用（需提供系统截图）；2. 互认规则配置：支持互认项目的互认规则、有效期、适用范围配置（需提供系统截图）；3. 互认结果统计：支持区域内互认项目的检测结果互认情况统计，包括互认率、互认项目数量、异议数量等（需提供系统截图）；4. 互认异议处理：支持互认结果异议的申请、审核、调查、反馈全流程闭环管理（需提供系统截图）；5. 互认证书管理：支持对符合互认标准的实验室颁发互认资质证书，证书全生命周期管理（需提供系统截图）。</w:t>
            </w:r>
          </w:p>
        </w:tc>
      </w:tr>
      <w:tr w14:paraId="17DC975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C5CFB3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7F1B4B7">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w:t>
            </w:r>
          </w:p>
        </w:tc>
        <w:tc>
          <w:tcPr>
            <w:tcW w:w="7121" w:type="dxa"/>
            <w:tcBorders>
              <w:top w:val="single" w:color="auto" w:sz="4" w:space="0"/>
              <w:left w:val="nil"/>
              <w:bottom w:val="single" w:color="auto" w:sz="4" w:space="0"/>
              <w:right w:val="single" w:color="auto" w:sz="4" w:space="0"/>
            </w:tcBorders>
            <w:noWrap w:val="0"/>
            <w:vAlign w:val="center"/>
          </w:tcPr>
          <w:p w14:paraId="4DE097E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2.5 证书全生命周期管理模块（编号31至35）</w:t>
            </w:r>
          </w:p>
        </w:tc>
      </w:tr>
      <w:tr w14:paraId="531B1C2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D7B99B3">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CF1034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w:t>
            </w:r>
          </w:p>
        </w:tc>
        <w:tc>
          <w:tcPr>
            <w:tcW w:w="7121" w:type="dxa"/>
            <w:tcBorders>
              <w:top w:val="single" w:color="auto" w:sz="4" w:space="0"/>
              <w:left w:val="nil"/>
              <w:bottom w:val="single" w:color="auto" w:sz="4" w:space="0"/>
              <w:right w:val="single" w:color="auto" w:sz="4" w:space="0"/>
            </w:tcBorders>
            <w:noWrap w:val="0"/>
            <w:vAlign w:val="center"/>
          </w:tcPr>
          <w:p w14:paraId="47F4CA60">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2.5.1</w:t>
            </w:r>
            <w:r>
              <w:rPr>
                <w:rFonts w:hint="default" w:ascii="仿宋_GB2312" w:hAnsi="仿宋_GB2312" w:eastAsia="仿宋_GB2312" w:cs="仿宋_GB2312"/>
                <w:sz w:val="28"/>
                <w:szCs w:val="28"/>
                <w:lang w:val="en-US" w:eastAsia="zh-CN"/>
              </w:rPr>
              <w:t>证书模板管理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平台内置多种证书模板，包括同质化合格证书、室间质评合格证书、培训合格证书、互认资质证书等；支持证书模板的自定义配置，可自定义抬头、水印、红章、证书内容、编号规则、有效期等。</w:t>
            </w:r>
          </w:p>
        </w:tc>
      </w:tr>
      <w:tr w14:paraId="0335EDF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1555371">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D18AD3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w:t>
            </w:r>
          </w:p>
        </w:tc>
        <w:tc>
          <w:tcPr>
            <w:tcW w:w="7121" w:type="dxa"/>
            <w:tcBorders>
              <w:top w:val="single" w:color="auto" w:sz="4" w:space="0"/>
              <w:left w:val="nil"/>
              <w:bottom w:val="single" w:color="auto" w:sz="4" w:space="0"/>
              <w:right w:val="single" w:color="auto" w:sz="4" w:space="0"/>
            </w:tcBorders>
            <w:noWrap w:val="0"/>
            <w:vAlign w:val="center"/>
          </w:tcPr>
          <w:p w14:paraId="32CE05E0">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2.5.2</w:t>
            </w:r>
            <w:r>
              <w:rPr>
                <w:rFonts w:hint="default" w:ascii="仿宋_GB2312" w:hAnsi="仿宋_GB2312" w:eastAsia="仿宋_GB2312" w:cs="仿宋_GB2312"/>
                <w:sz w:val="28"/>
                <w:szCs w:val="28"/>
                <w:lang w:val="en-US" w:eastAsia="zh-CN"/>
              </w:rPr>
              <w:t>证书申请与审核</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支持实验室在线提交证书申请，上传相关证明材料；管理端可对申请进行审核，支持多级审核流程，审核通过后自动生成证书，审核不通过可退回并说明原因。</w:t>
            </w:r>
          </w:p>
        </w:tc>
      </w:tr>
      <w:tr w14:paraId="2E3AFFB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37BC6F2">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9F842D1">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w:t>
            </w:r>
          </w:p>
        </w:tc>
        <w:tc>
          <w:tcPr>
            <w:tcW w:w="7121" w:type="dxa"/>
            <w:tcBorders>
              <w:top w:val="single" w:color="auto" w:sz="4" w:space="0"/>
              <w:left w:val="nil"/>
              <w:bottom w:val="single" w:color="auto" w:sz="4" w:space="0"/>
              <w:right w:val="single" w:color="auto" w:sz="4" w:space="0"/>
            </w:tcBorders>
            <w:noWrap w:val="0"/>
            <w:vAlign w:val="center"/>
          </w:tcPr>
          <w:p w14:paraId="50022B9E">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2.5.3</w:t>
            </w:r>
            <w:r>
              <w:rPr>
                <w:rFonts w:hint="default" w:ascii="仿宋_GB2312" w:hAnsi="仿宋_GB2312" w:eastAsia="仿宋_GB2312" w:cs="仿宋_GB2312"/>
                <w:sz w:val="28"/>
                <w:szCs w:val="28"/>
                <w:lang w:val="en-US" w:eastAsia="zh-CN"/>
              </w:rPr>
              <w:t>证书颁发与下载</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证书系统可统一生成并下发证书，平台生成的证书可自定义抬头、水印以及红章，可根据同质化认可标准一键完成获证实验室的证书制作；支持证书的批量生成、批量下发，实验室可在线下载、打印证书。</w:t>
            </w:r>
          </w:p>
        </w:tc>
      </w:tr>
      <w:tr w14:paraId="5C798F5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04ACAD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B8C8153">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w:t>
            </w:r>
          </w:p>
        </w:tc>
        <w:tc>
          <w:tcPr>
            <w:tcW w:w="7121" w:type="dxa"/>
            <w:tcBorders>
              <w:top w:val="single" w:color="auto" w:sz="4" w:space="0"/>
              <w:left w:val="nil"/>
              <w:bottom w:val="single" w:color="auto" w:sz="4" w:space="0"/>
              <w:right w:val="single" w:color="auto" w:sz="4" w:space="0"/>
            </w:tcBorders>
            <w:noWrap w:val="0"/>
            <w:vAlign w:val="center"/>
          </w:tcPr>
          <w:p w14:paraId="3B91B16A">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2.5.4</w:t>
            </w:r>
            <w:r>
              <w:rPr>
                <w:rFonts w:hint="default" w:ascii="仿宋_GB2312" w:hAnsi="仿宋_GB2312" w:eastAsia="仿宋_GB2312" w:cs="仿宋_GB2312"/>
                <w:sz w:val="28"/>
                <w:szCs w:val="28"/>
                <w:lang w:val="en-US" w:eastAsia="zh-CN"/>
              </w:rPr>
              <w:t>证书全生命周期管理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支持证书的颁发、续期、吊销、挂失、验真全生命周期管理；支持证书到期前自动提醒续期，支持吊销证书的公告发布，支持证书在线验真，输入证书编号即可查询证书真伪与状态。</w:t>
            </w:r>
          </w:p>
        </w:tc>
      </w:tr>
      <w:tr w14:paraId="2692318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B97EE94">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AC3CCF3">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w:t>
            </w:r>
          </w:p>
        </w:tc>
        <w:tc>
          <w:tcPr>
            <w:tcW w:w="7121" w:type="dxa"/>
            <w:tcBorders>
              <w:top w:val="single" w:color="auto" w:sz="4" w:space="0"/>
              <w:left w:val="nil"/>
              <w:bottom w:val="single" w:color="auto" w:sz="4" w:space="0"/>
              <w:right w:val="single" w:color="auto" w:sz="4" w:space="0"/>
            </w:tcBorders>
            <w:noWrap w:val="0"/>
            <w:vAlign w:val="center"/>
          </w:tcPr>
          <w:p w14:paraId="1DC9E7C9">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2.5.5</w:t>
            </w:r>
            <w:r>
              <w:rPr>
                <w:rFonts w:hint="default" w:ascii="仿宋_GB2312" w:hAnsi="仿宋_GB2312" w:eastAsia="仿宋_GB2312" w:cs="仿宋_GB2312"/>
                <w:sz w:val="28"/>
                <w:szCs w:val="28"/>
                <w:lang w:val="en-US" w:eastAsia="zh-CN"/>
              </w:rPr>
              <w:t>证书统计分析</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支持按证书类型、实验室、专业、时间周期统计证书的颁发数量、有效数量、过期数量、吊销数量等；支持证书数据的可视化展示、报表导出。</w:t>
            </w:r>
          </w:p>
        </w:tc>
      </w:tr>
      <w:tr w14:paraId="153251F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E1437F5">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AC51EC8">
            <w:pPr>
              <w:widowControl/>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36</w:t>
            </w:r>
          </w:p>
        </w:tc>
        <w:tc>
          <w:tcPr>
            <w:tcW w:w="7121" w:type="dxa"/>
            <w:tcBorders>
              <w:top w:val="single" w:color="auto" w:sz="4" w:space="0"/>
              <w:left w:val="nil"/>
              <w:bottom w:val="single" w:color="auto" w:sz="4" w:space="0"/>
              <w:right w:val="single" w:color="auto" w:sz="4" w:space="0"/>
            </w:tcBorders>
            <w:noWrap w:val="0"/>
            <w:vAlign w:val="center"/>
          </w:tcPr>
          <w:p w14:paraId="6748C3E0">
            <w:pPr>
              <w:widowControl/>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2.6 室内质控室间比对模块（编号37至41）</w:t>
            </w:r>
          </w:p>
        </w:tc>
      </w:tr>
      <w:tr w14:paraId="05446C5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C4258A9">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AD416E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w:t>
            </w:r>
          </w:p>
        </w:tc>
        <w:tc>
          <w:tcPr>
            <w:tcW w:w="7121" w:type="dxa"/>
            <w:tcBorders>
              <w:top w:val="single" w:color="auto" w:sz="4" w:space="0"/>
              <w:left w:val="nil"/>
              <w:bottom w:val="single" w:color="auto" w:sz="4" w:space="0"/>
              <w:right w:val="single" w:color="auto" w:sz="4" w:space="0"/>
            </w:tcBorders>
            <w:noWrap w:val="0"/>
            <w:vAlign w:val="center"/>
          </w:tcPr>
          <w:p w14:paraId="722505DD">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2.6.1</w:t>
            </w:r>
            <w:r>
              <w:rPr>
                <w:rFonts w:hint="default" w:ascii="仿宋_GB2312" w:hAnsi="仿宋_GB2312" w:eastAsia="仿宋_GB2312" w:cs="仿宋_GB2312"/>
                <w:sz w:val="28"/>
                <w:szCs w:val="28"/>
                <w:lang w:val="en-US" w:eastAsia="zh-CN"/>
              </w:rPr>
              <w:t>月度比对报告</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质量管理中心对比分析区域内各实验室上传的质量管理相关数据：能汇总分析并计算不同实验室室内质控数据的均值、CV和SD，并将各实验室室内质控的本月均值、SD、CV进行逐项分析并分别与对等组、方法组、所有组进行比较，通过获取的BIAS(偏倚）和SDI（标准差指数）及CVI（变异系数指数）了解该项目的质量水平，为问题项目质量管理明确改进方向。</w:t>
            </w:r>
          </w:p>
        </w:tc>
      </w:tr>
      <w:tr w14:paraId="014D57E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52ECD11">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6670B3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w:t>
            </w:r>
          </w:p>
        </w:tc>
        <w:tc>
          <w:tcPr>
            <w:tcW w:w="7121" w:type="dxa"/>
            <w:tcBorders>
              <w:top w:val="single" w:color="auto" w:sz="4" w:space="0"/>
              <w:left w:val="nil"/>
              <w:bottom w:val="single" w:color="auto" w:sz="4" w:space="0"/>
              <w:right w:val="single" w:color="auto" w:sz="4" w:space="0"/>
            </w:tcBorders>
            <w:noWrap w:val="0"/>
            <w:vAlign w:val="center"/>
          </w:tcPr>
          <w:p w14:paraId="2B868B9A">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2.6.2</w:t>
            </w:r>
            <w:r>
              <w:rPr>
                <w:rFonts w:hint="default" w:ascii="仿宋_GB2312" w:hAnsi="仿宋_GB2312" w:eastAsia="仿宋_GB2312" w:cs="仿宋_GB2312"/>
                <w:sz w:val="28"/>
                <w:szCs w:val="28"/>
                <w:lang w:val="en-US" w:eastAsia="zh-CN"/>
              </w:rPr>
              <w:t>每日比对报告</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实验室可实时查看某项目当日及之前连续4日的本实验室质控数据与对等组、方法组、所有组的室内质控室间化数据分析及分布情况；支持数据趋势图、散点图可视化展示，支持异常数据高亮提醒。</w:t>
            </w:r>
          </w:p>
        </w:tc>
      </w:tr>
      <w:tr w14:paraId="4682D80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60CF966">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287D51C2">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39</w:t>
            </w:r>
          </w:p>
        </w:tc>
        <w:tc>
          <w:tcPr>
            <w:tcW w:w="7121" w:type="dxa"/>
            <w:tcBorders>
              <w:top w:val="single" w:color="auto" w:sz="4" w:space="0"/>
              <w:left w:val="nil"/>
              <w:bottom w:val="single" w:color="auto" w:sz="4" w:space="0"/>
              <w:right w:val="single" w:color="auto" w:sz="4" w:space="0"/>
            </w:tcBorders>
            <w:noWrap w:val="0"/>
            <w:vAlign w:val="center"/>
          </w:tcPr>
          <w:p w14:paraId="44E91326">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2.6.3中心管理端汇总报告:通过平台管理端能一键生成上月的区域上传数据汇总报告，报告参数至少包括但不限于区域及实验室维度各项目上报率、失控率、失控处理率、项目CV符合率，对于同一项目给出各实验室上报点数、均值/SD值,室内质控室间比对SDI,CVI及项目偏倚参数（需提供系统截图）；支持报告的自定义模板、批量生成、导出打印（需提供系统截图）。</w:t>
            </w:r>
          </w:p>
        </w:tc>
      </w:tr>
      <w:tr w14:paraId="569A88F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CA0BF42">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3B74512">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7121" w:type="dxa"/>
            <w:tcBorders>
              <w:top w:val="single" w:color="auto" w:sz="4" w:space="0"/>
              <w:left w:val="nil"/>
              <w:bottom w:val="single" w:color="auto" w:sz="4" w:space="0"/>
              <w:right w:val="single" w:color="auto" w:sz="4" w:space="0"/>
            </w:tcBorders>
            <w:noWrap w:val="0"/>
            <w:vAlign w:val="center"/>
          </w:tcPr>
          <w:p w14:paraId="55DD50BC">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2.6.4</w:t>
            </w:r>
            <w:r>
              <w:rPr>
                <w:rFonts w:hint="default" w:ascii="仿宋_GB2312" w:hAnsi="仿宋_GB2312" w:eastAsia="仿宋_GB2312" w:cs="仿宋_GB2312"/>
                <w:sz w:val="28"/>
                <w:szCs w:val="28"/>
                <w:lang w:val="en-US" w:eastAsia="zh-CN"/>
              </w:rPr>
              <w:t>质控数据月小结</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质量管理中心对各实验室上传的室内质控数据，进行分析并计算不同医院室内质控数据的均值、SD和CV,形成L-J图，系统根据数据特点给与自动评价，供中心或实验室调整使用，形成项目月度小结报告；支持月度小结报告的批量生成、下发、导出。</w:t>
            </w:r>
          </w:p>
        </w:tc>
      </w:tr>
      <w:tr w14:paraId="1802DA3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5125A0B">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1396EB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w:t>
            </w:r>
          </w:p>
        </w:tc>
        <w:tc>
          <w:tcPr>
            <w:tcW w:w="7121" w:type="dxa"/>
            <w:tcBorders>
              <w:top w:val="single" w:color="auto" w:sz="4" w:space="0"/>
              <w:left w:val="nil"/>
              <w:bottom w:val="single" w:color="auto" w:sz="4" w:space="0"/>
              <w:right w:val="single" w:color="auto" w:sz="4" w:space="0"/>
            </w:tcBorders>
            <w:noWrap w:val="0"/>
            <w:vAlign w:val="center"/>
          </w:tcPr>
          <w:p w14:paraId="5877150C">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2.6.5</w:t>
            </w:r>
            <w:r>
              <w:rPr>
                <w:rFonts w:hint="default" w:ascii="仿宋_GB2312" w:hAnsi="仿宋_GB2312" w:eastAsia="仿宋_GB2312" w:cs="仿宋_GB2312"/>
                <w:sz w:val="28"/>
                <w:szCs w:val="28"/>
                <w:lang w:val="en-US" w:eastAsia="zh-CN"/>
              </w:rPr>
              <w:t>自愿比对拓展功能</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支持自愿加入的实验室在质控品和检测系统一致的情况下，实现室内质控室间实时比对，支持比对数据的实时同步、异常预警、结果分析，支持比对报告的自动生成。</w:t>
            </w:r>
          </w:p>
        </w:tc>
      </w:tr>
      <w:tr w14:paraId="41C2115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1D3AC6F">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E34144C">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w:t>
            </w:r>
          </w:p>
        </w:tc>
        <w:tc>
          <w:tcPr>
            <w:tcW w:w="7121" w:type="dxa"/>
            <w:tcBorders>
              <w:top w:val="single" w:color="auto" w:sz="4" w:space="0"/>
              <w:left w:val="nil"/>
              <w:bottom w:val="single" w:color="auto" w:sz="4" w:space="0"/>
              <w:right w:val="single" w:color="auto" w:sz="4" w:space="0"/>
            </w:tcBorders>
            <w:noWrap w:val="0"/>
            <w:vAlign w:val="center"/>
          </w:tcPr>
          <w:p w14:paraId="5E64CFFE">
            <w:pPr>
              <w:widowControl/>
              <w:jc w:val="left"/>
              <w:rPr>
                <w:rFonts w:hint="eastAsia" w:ascii="Calibri" w:hAnsi="Calibri" w:eastAsia="等线" w:cs="Calibri"/>
                <w:i w:val="0"/>
                <w:iCs w:val="0"/>
                <w:color w:val="000000"/>
                <w:kern w:val="2"/>
                <w:sz w:val="22"/>
                <w:szCs w:val="22"/>
                <w:u w:val="none"/>
                <w:lang w:val="en-US" w:eastAsia="zh-CN" w:bidi="ar-SA"/>
              </w:rPr>
            </w:pPr>
            <w:r>
              <w:rPr>
                <w:rFonts w:hint="default" w:ascii="仿宋_GB2312" w:hAnsi="仿宋_GB2312" w:eastAsia="仿宋_GB2312" w:cs="仿宋_GB2312"/>
                <w:b/>
                <w:bCs/>
                <w:sz w:val="28"/>
                <w:szCs w:val="28"/>
                <w:lang w:val="en-US" w:eastAsia="zh-CN"/>
              </w:rPr>
              <w:t>2.7 一致性比对/室间质评/盲样调查模块</w:t>
            </w:r>
            <w:r>
              <w:rPr>
                <w:rFonts w:hint="eastAsia" w:ascii="仿宋_GB2312" w:hAnsi="仿宋_GB2312" w:eastAsia="仿宋_GB2312" w:cs="仿宋_GB2312"/>
                <w:b/>
                <w:bCs/>
                <w:sz w:val="28"/>
                <w:szCs w:val="28"/>
                <w:lang w:val="en-US" w:eastAsia="zh-CN"/>
              </w:rPr>
              <w:t>（编号43至46）</w:t>
            </w:r>
          </w:p>
        </w:tc>
      </w:tr>
      <w:tr w14:paraId="1F7D4D1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B3A1208">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0499E0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w:t>
            </w:r>
          </w:p>
        </w:tc>
        <w:tc>
          <w:tcPr>
            <w:tcW w:w="7121" w:type="dxa"/>
            <w:tcBorders>
              <w:top w:val="single" w:color="auto" w:sz="4" w:space="0"/>
              <w:left w:val="nil"/>
              <w:bottom w:val="single" w:color="auto" w:sz="4" w:space="0"/>
              <w:right w:val="single" w:color="auto" w:sz="4" w:space="0"/>
            </w:tcBorders>
            <w:noWrap w:val="0"/>
            <w:vAlign w:val="center"/>
          </w:tcPr>
          <w:p w14:paraId="3D5A99DF">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2.7.1</w:t>
            </w:r>
            <w:r>
              <w:rPr>
                <w:rFonts w:hint="default" w:ascii="仿宋_GB2312" w:hAnsi="仿宋_GB2312" w:eastAsia="仿宋_GB2312" w:cs="仿宋_GB2312"/>
                <w:sz w:val="28"/>
                <w:szCs w:val="28"/>
                <w:lang w:val="en-US" w:eastAsia="zh-CN"/>
              </w:rPr>
              <w:t>EQA室间质评模块</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支持中心进行区域实验室间检测结果一致性比对（室间质量评价），支持按专业、按项目、按实验室分组设置室间质评计划，支持质评样本的信息管理、结果上报、数据统计、成绩评定、报告生成全流程管理。</w:t>
            </w:r>
          </w:p>
        </w:tc>
      </w:tr>
      <w:tr w14:paraId="1C22E30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D33F96C">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69895F9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44</w:t>
            </w:r>
          </w:p>
        </w:tc>
        <w:tc>
          <w:tcPr>
            <w:tcW w:w="7121" w:type="dxa"/>
            <w:tcBorders>
              <w:top w:val="single" w:color="auto" w:sz="4" w:space="0"/>
              <w:left w:val="nil"/>
              <w:bottom w:val="single" w:color="auto" w:sz="4" w:space="0"/>
              <w:right w:val="single" w:color="auto" w:sz="4" w:space="0"/>
            </w:tcBorders>
            <w:noWrap w:val="0"/>
            <w:vAlign w:val="center"/>
          </w:tcPr>
          <w:p w14:paraId="28C3B007">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2.7.2盲样调查管理：支持盲样调查，调查形式包括：a.兼顾全浓度考核的部分盲样方案;b.忽略浓度考核只确保上报数据真实性的完全盲样方案，确保统计数据的客观性（需提供系统截图）；支持盲样调查计划制定、样本信息管理、结果上报、数据校验、统计分析、结果通报全流程管理（需提供系统截图）。</w:t>
            </w:r>
          </w:p>
        </w:tc>
      </w:tr>
      <w:tr w14:paraId="5A6AA93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9E5B69A">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020A563">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w:t>
            </w:r>
          </w:p>
        </w:tc>
        <w:tc>
          <w:tcPr>
            <w:tcW w:w="7121" w:type="dxa"/>
            <w:tcBorders>
              <w:top w:val="single" w:color="auto" w:sz="4" w:space="0"/>
              <w:left w:val="nil"/>
              <w:bottom w:val="single" w:color="auto" w:sz="4" w:space="0"/>
              <w:right w:val="single" w:color="auto" w:sz="4" w:space="0"/>
            </w:tcBorders>
            <w:noWrap w:val="0"/>
            <w:vAlign w:val="center"/>
          </w:tcPr>
          <w:p w14:paraId="7ECF1782">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2.7.3</w:t>
            </w:r>
            <w:r>
              <w:rPr>
                <w:rFonts w:hint="default" w:ascii="仿宋_GB2312" w:hAnsi="仿宋_GB2312" w:eastAsia="仿宋_GB2312" w:cs="仿宋_GB2312"/>
                <w:sz w:val="28"/>
                <w:szCs w:val="28"/>
                <w:lang w:val="en-US" w:eastAsia="zh-CN"/>
              </w:rPr>
              <w:t>EQA成绩调查模块</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支持进行国家级及省级室间质量评价结果征集工作，作为同质化评价准确度标准；支持室间质评成绩的批量导入、数据统计、合格率分析、趋势分析，支持与区域内室间质评结果对比分析。</w:t>
            </w:r>
          </w:p>
        </w:tc>
      </w:tr>
      <w:tr w14:paraId="03C3DD2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28A6CD2">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A8981A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w:t>
            </w:r>
          </w:p>
        </w:tc>
        <w:tc>
          <w:tcPr>
            <w:tcW w:w="7121" w:type="dxa"/>
            <w:tcBorders>
              <w:top w:val="single" w:color="auto" w:sz="4" w:space="0"/>
              <w:left w:val="nil"/>
              <w:bottom w:val="single" w:color="auto" w:sz="4" w:space="0"/>
              <w:right w:val="single" w:color="auto" w:sz="4" w:space="0"/>
            </w:tcBorders>
            <w:noWrap w:val="0"/>
            <w:vAlign w:val="center"/>
          </w:tcPr>
          <w:p w14:paraId="5ED994EA">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2.7.4</w:t>
            </w:r>
            <w:r>
              <w:rPr>
                <w:rFonts w:hint="default" w:ascii="仿宋_GB2312" w:hAnsi="仿宋_GB2312" w:eastAsia="仿宋_GB2312" w:cs="仿宋_GB2312"/>
                <w:sz w:val="28"/>
                <w:szCs w:val="28"/>
                <w:lang w:val="en-US" w:eastAsia="zh-CN"/>
              </w:rPr>
              <w:t>比对结果分析与应用</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支持一致性比对/室间质评结果的多维度统计分析，包括合格率、优秀率、偏倚分布、CV分布等；支持比对结果与实验室同质化评价、互认资质评定挂钩，支持问题实验室的整改跟踪。</w:t>
            </w:r>
          </w:p>
        </w:tc>
      </w:tr>
      <w:tr w14:paraId="2760BA5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FA312CB">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5A93834">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47</w:t>
            </w:r>
          </w:p>
        </w:tc>
        <w:tc>
          <w:tcPr>
            <w:tcW w:w="7121" w:type="dxa"/>
            <w:tcBorders>
              <w:top w:val="single" w:color="auto" w:sz="4" w:space="0"/>
              <w:left w:val="nil"/>
              <w:bottom w:val="single" w:color="auto" w:sz="4" w:space="0"/>
              <w:right w:val="single" w:color="auto" w:sz="4" w:space="0"/>
            </w:tcBorders>
            <w:noWrap w:val="0"/>
            <w:vAlign w:val="center"/>
          </w:tcPr>
          <w:p w14:paraId="5C8AE675">
            <w:pPr>
              <w:keepNext w:val="0"/>
              <w:keepLines w:val="0"/>
              <w:widowControl/>
              <w:suppressLineNumbers w:val="0"/>
              <w:jc w:val="left"/>
              <w:textAlignment w:val="center"/>
              <w:rPr>
                <w:rFonts w:hint="eastAsia" w:ascii="Calibri" w:hAnsi="Calibri" w:eastAsia="等线" w:cs="Calibri"/>
                <w:i w:val="0"/>
                <w:iCs w:val="0"/>
                <w:color w:val="000000"/>
                <w:kern w:val="2"/>
                <w:sz w:val="22"/>
                <w:szCs w:val="22"/>
                <w:u w:val="none"/>
                <w:lang w:val="en-US" w:eastAsia="zh-CN" w:bidi="ar-SA"/>
              </w:rPr>
            </w:pPr>
            <w:r>
              <w:rPr>
                <w:rFonts w:hint="default" w:ascii="仿宋_GB2312" w:hAnsi="仿宋_GB2312" w:eastAsia="仿宋_GB2312" w:cs="仿宋_GB2312"/>
                <w:b/>
                <w:bCs/>
                <w:sz w:val="28"/>
                <w:szCs w:val="28"/>
                <w:lang w:val="en-US" w:eastAsia="zh-CN"/>
              </w:rPr>
              <w:t>2.8 教育培训与在线考试模块</w:t>
            </w:r>
            <w:r>
              <w:rPr>
                <w:rFonts w:hint="eastAsia" w:ascii="仿宋_GB2312" w:hAnsi="仿宋_GB2312" w:eastAsia="仿宋_GB2312" w:cs="仿宋_GB2312"/>
                <w:b/>
                <w:bCs/>
                <w:sz w:val="28"/>
                <w:szCs w:val="28"/>
                <w:lang w:val="en-US" w:eastAsia="zh-CN"/>
              </w:rPr>
              <w:t>（编号48至53）</w:t>
            </w:r>
          </w:p>
        </w:tc>
      </w:tr>
      <w:tr w14:paraId="4FC3547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7F60BAA">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3F234B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w:t>
            </w:r>
          </w:p>
        </w:tc>
        <w:tc>
          <w:tcPr>
            <w:tcW w:w="7121" w:type="dxa"/>
            <w:tcBorders>
              <w:top w:val="single" w:color="auto" w:sz="4" w:space="0"/>
              <w:left w:val="nil"/>
              <w:bottom w:val="single" w:color="auto" w:sz="4" w:space="0"/>
              <w:right w:val="single" w:color="auto" w:sz="4" w:space="0"/>
            </w:tcBorders>
            <w:noWrap w:val="0"/>
            <w:vAlign w:val="center"/>
          </w:tcPr>
          <w:p w14:paraId="52167D0C">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2.8.1</w:t>
            </w:r>
            <w:r>
              <w:rPr>
                <w:rFonts w:hint="default" w:ascii="仿宋_GB2312" w:hAnsi="仿宋_GB2312" w:eastAsia="仿宋_GB2312" w:cs="仿宋_GB2312"/>
                <w:sz w:val="28"/>
                <w:szCs w:val="28"/>
                <w:lang w:val="en-US" w:eastAsia="zh-CN"/>
              </w:rPr>
              <w:t>课程资源管理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平台需配备培训教育模块，模块中课程数量不少于400节，覆盖临床检验各专业、质控管理、法律法规等内容；支持自制课程及考题的上传，支持课程分类管理、章节管理、附件管理、发布管理。</w:t>
            </w:r>
          </w:p>
        </w:tc>
      </w:tr>
      <w:tr w14:paraId="0ED8EE4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5239624">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7198F2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w:t>
            </w:r>
          </w:p>
        </w:tc>
        <w:tc>
          <w:tcPr>
            <w:tcW w:w="7121" w:type="dxa"/>
            <w:tcBorders>
              <w:top w:val="single" w:color="auto" w:sz="4" w:space="0"/>
              <w:left w:val="nil"/>
              <w:bottom w:val="single" w:color="auto" w:sz="4" w:space="0"/>
              <w:right w:val="single" w:color="auto" w:sz="4" w:space="0"/>
            </w:tcBorders>
            <w:noWrap w:val="0"/>
            <w:vAlign w:val="center"/>
          </w:tcPr>
          <w:p w14:paraId="373F4E60">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2.8.2</w:t>
            </w:r>
            <w:r>
              <w:rPr>
                <w:rFonts w:hint="default" w:ascii="仿宋_GB2312" w:hAnsi="仿宋_GB2312" w:eastAsia="仿宋_GB2312" w:cs="仿宋_GB2312"/>
                <w:sz w:val="28"/>
                <w:szCs w:val="28"/>
                <w:lang w:val="en-US" w:eastAsia="zh-CN"/>
              </w:rPr>
              <w:t>个性化课程定制</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平台培训教育模块支持质控中心根据区域特点进行个性化课程定制，支持按实验室级别、专业、岗位制定不同的培训计划与课程体系，支持必修课程与选修课程设置。</w:t>
            </w:r>
          </w:p>
        </w:tc>
      </w:tr>
      <w:tr w14:paraId="4E74C62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20F5B07">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55BC56C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w:t>
            </w:r>
          </w:p>
        </w:tc>
        <w:tc>
          <w:tcPr>
            <w:tcW w:w="7121" w:type="dxa"/>
            <w:tcBorders>
              <w:top w:val="single" w:color="auto" w:sz="4" w:space="0"/>
              <w:left w:val="nil"/>
              <w:bottom w:val="single" w:color="auto" w:sz="4" w:space="0"/>
              <w:right w:val="single" w:color="auto" w:sz="4" w:space="0"/>
            </w:tcBorders>
            <w:noWrap w:val="0"/>
            <w:vAlign w:val="center"/>
          </w:tcPr>
          <w:p w14:paraId="030B34FB">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2.8.3多终端学习支持：支持实验室人员随时随地通过手机端、PC端进行学习与考试，支持课程在线观看、离线下载、学习进度自动同步，支持断点续播（需提供系统截图）。</w:t>
            </w:r>
          </w:p>
        </w:tc>
      </w:tr>
      <w:tr w14:paraId="41BCE63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AED91CD">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1D4C7F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w:t>
            </w:r>
          </w:p>
        </w:tc>
        <w:tc>
          <w:tcPr>
            <w:tcW w:w="7121" w:type="dxa"/>
            <w:tcBorders>
              <w:top w:val="single" w:color="auto" w:sz="4" w:space="0"/>
              <w:left w:val="nil"/>
              <w:bottom w:val="single" w:color="auto" w:sz="4" w:space="0"/>
              <w:right w:val="single" w:color="auto" w:sz="4" w:space="0"/>
            </w:tcBorders>
            <w:noWrap w:val="0"/>
            <w:vAlign w:val="center"/>
          </w:tcPr>
          <w:p w14:paraId="73B46401">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2.8.4</w:t>
            </w:r>
            <w:r>
              <w:rPr>
                <w:rFonts w:hint="default" w:ascii="仿宋_GB2312" w:hAnsi="仿宋_GB2312" w:eastAsia="仿宋_GB2312" w:cs="仿宋_GB2312"/>
                <w:sz w:val="28"/>
                <w:szCs w:val="28"/>
                <w:lang w:val="en-US" w:eastAsia="zh-CN"/>
              </w:rPr>
              <w:t>在线考试管理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支持题库管理，支持单选题、多选题、判断题、案例分析题等多种题型；支持试卷生成、考试发布、在线答题、自动阅卷、成绩统计全流程管理；支持防作弊设置，包括随机抽题、限时答题、禁止切屏等。</w:t>
            </w:r>
          </w:p>
        </w:tc>
      </w:tr>
      <w:tr w14:paraId="20D72D4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DB44814">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7F07069">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w:t>
            </w:r>
          </w:p>
        </w:tc>
        <w:tc>
          <w:tcPr>
            <w:tcW w:w="7121" w:type="dxa"/>
            <w:tcBorders>
              <w:top w:val="single" w:color="auto" w:sz="4" w:space="0"/>
              <w:left w:val="nil"/>
              <w:bottom w:val="single" w:color="auto" w:sz="4" w:space="0"/>
              <w:right w:val="single" w:color="auto" w:sz="4" w:space="0"/>
            </w:tcBorders>
            <w:noWrap w:val="0"/>
            <w:vAlign w:val="center"/>
          </w:tcPr>
          <w:p w14:paraId="3F8A3674">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2.8.5</w:t>
            </w:r>
            <w:r>
              <w:rPr>
                <w:rFonts w:hint="default" w:ascii="仿宋_GB2312" w:hAnsi="仿宋_GB2312" w:eastAsia="仿宋_GB2312" w:cs="仿宋_GB2312"/>
                <w:sz w:val="28"/>
                <w:szCs w:val="28"/>
                <w:lang w:val="en-US" w:eastAsia="zh-CN"/>
              </w:rPr>
              <w:t>培训效果管理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中心可以定期查看教育计划的完成度和检验人员的考评成绩，支持学习进度监控、考试成绩统计、合格率分析、培训效果评估；支持培训数据与实验室同质化评价挂钩，未完成培训或考试不合格的实验室限制相关资质申请。</w:t>
            </w:r>
          </w:p>
        </w:tc>
      </w:tr>
      <w:tr w14:paraId="70AF903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170BC6D">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1222E99">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w:t>
            </w:r>
          </w:p>
        </w:tc>
        <w:tc>
          <w:tcPr>
            <w:tcW w:w="7121" w:type="dxa"/>
            <w:tcBorders>
              <w:top w:val="single" w:color="auto" w:sz="4" w:space="0"/>
              <w:left w:val="nil"/>
              <w:bottom w:val="single" w:color="auto" w:sz="4" w:space="0"/>
              <w:right w:val="single" w:color="auto" w:sz="4" w:space="0"/>
            </w:tcBorders>
            <w:noWrap w:val="0"/>
            <w:vAlign w:val="center"/>
          </w:tcPr>
          <w:p w14:paraId="245B7D77">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2.8.6</w:t>
            </w:r>
            <w:r>
              <w:rPr>
                <w:rFonts w:hint="default" w:ascii="仿宋_GB2312" w:hAnsi="仿宋_GB2312" w:eastAsia="仿宋_GB2312" w:cs="仿宋_GB2312"/>
                <w:sz w:val="28"/>
                <w:szCs w:val="28"/>
                <w:lang w:val="en-US" w:eastAsia="zh-CN"/>
              </w:rPr>
              <w:t>培训档案管理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为每个检验人员建立个人培训档案，记录学习课程、考试成绩、培训时长、获得证书等信息，支持培训档案的查询、导出、打印。</w:t>
            </w:r>
          </w:p>
        </w:tc>
      </w:tr>
      <w:tr w14:paraId="7EF2642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032C04B">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6BF75C2">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54</w:t>
            </w:r>
          </w:p>
        </w:tc>
        <w:tc>
          <w:tcPr>
            <w:tcW w:w="7121" w:type="dxa"/>
            <w:tcBorders>
              <w:top w:val="single" w:color="auto" w:sz="4" w:space="0"/>
              <w:left w:val="nil"/>
              <w:bottom w:val="single" w:color="auto" w:sz="4" w:space="0"/>
              <w:right w:val="single" w:color="auto" w:sz="4" w:space="0"/>
            </w:tcBorders>
            <w:noWrap w:val="0"/>
            <w:vAlign w:val="center"/>
          </w:tcPr>
          <w:p w14:paraId="265D64B0">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2.9 智能告警系统模块（编号55至59）</w:t>
            </w:r>
          </w:p>
        </w:tc>
      </w:tr>
      <w:tr w14:paraId="482E4DE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A8F9121">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35792AF9">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55</w:t>
            </w:r>
          </w:p>
        </w:tc>
        <w:tc>
          <w:tcPr>
            <w:tcW w:w="7121" w:type="dxa"/>
            <w:tcBorders>
              <w:top w:val="single" w:color="auto" w:sz="4" w:space="0"/>
              <w:left w:val="nil"/>
              <w:bottom w:val="single" w:color="auto" w:sz="4" w:space="0"/>
              <w:right w:val="single" w:color="auto" w:sz="4" w:space="0"/>
            </w:tcBorders>
            <w:noWrap w:val="0"/>
            <w:vAlign w:val="center"/>
          </w:tcPr>
          <w:p w14:paraId="5A51121F">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2.9.1告警规则配置：支持多维度告警规则配置，包括质控数据失控告警、数据上报逾期告警、失控处理逾期告警、质量指标不达标告警、培训任务逾期告警、证书到期告警等（需提供系统截图）；支持按告警级别、告警对象、触发条件、通知方式自定义配置告警规则（需提供系统截图）。</w:t>
            </w:r>
          </w:p>
        </w:tc>
      </w:tr>
      <w:tr w14:paraId="32D6A1D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1B7CA42">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D1EC6F6">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56</w:t>
            </w:r>
          </w:p>
        </w:tc>
        <w:tc>
          <w:tcPr>
            <w:tcW w:w="7121" w:type="dxa"/>
            <w:tcBorders>
              <w:top w:val="single" w:color="auto" w:sz="4" w:space="0"/>
              <w:left w:val="nil"/>
              <w:bottom w:val="single" w:color="auto" w:sz="4" w:space="0"/>
              <w:right w:val="single" w:color="auto" w:sz="4" w:space="0"/>
            </w:tcBorders>
            <w:noWrap w:val="0"/>
            <w:vAlign w:val="center"/>
          </w:tcPr>
          <w:p w14:paraId="58594B17">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2.9.2</w:t>
            </w:r>
            <w:r>
              <w:rPr>
                <w:rFonts w:hint="default" w:ascii="仿宋_GB2312" w:hAnsi="仿宋_GB2312" w:eastAsia="仿宋_GB2312" w:cs="仿宋_GB2312"/>
                <w:sz w:val="28"/>
                <w:szCs w:val="28"/>
                <w:lang w:val="en-US" w:eastAsia="zh-CN"/>
              </w:rPr>
              <w:t>告警级别管理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支持告警级别划分，包括一般告警、重要告警、紧急告警，不同级别告警对应不同的通知方式、处理时限、升级规则。</w:t>
            </w:r>
          </w:p>
        </w:tc>
      </w:tr>
      <w:tr w14:paraId="3AA8D7C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35DB81F">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3105072">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w:t>
            </w:r>
          </w:p>
        </w:tc>
        <w:tc>
          <w:tcPr>
            <w:tcW w:w="7121" w:type="dxa"/>
            <w:tcBorders>
              <w:top w:val="single" w:color="auto" w:sz="4" w:space="0"/>
              <w:left w:val="nil"/>
              <w:bottom w:val="single" w:color="auto" w:sz="4" w:space="0"/>
              <w:right w:val="single" w:color="auto" w:sz="4" w:space="0"/>
            </w:tcBorders>
            <w:noWrap w:val="0"/>
            <w:vAlign w:val="center"/>
          </w:tcPr>
          <w:p w14:paraId="0B4655D9">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2.9.3</w:t>
            </w:r>
            <w:r>
              <w:rPr>
                <w:rFonts w:hint="default" w:ascii="仿宋_GB2312" w:hAnsi="仿宋_GB2312" w:eastAsia="仿宋_GB2312" w:cs="仿宋_GB2312"/>
                <w:sz w:val="28"/>
                <w:szCs w:val="28"/>
                <w:lang w:val="en-US" w:eastAsia="zh-CN"/>
              </w:rPr>
              <w:t>多渠道告警通知</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平台管理端可向指定的实验室端发送公告及质量问题告警，且能查看客户端消息读取情况；支持平台内消息、短信、微信、邮件等多渠道告警通知，确保告警信息及时触达。</w:t>
            </w:r>
          </w:p>
        </w:tc>
      </w:tr>
      <w:tr w14:paraId="3E43797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3EB553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129CDF8">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58</w:t>
            </w:r>
          </w:p>
        </w:tc>
        <w:tc>
          <w:tcPr>
            <w:tcW w:w="7121" w:type="dxa"/>
            <w:tcBorders>
              <w:top w:val="single" w:color="auto" w:sz="4" w:space="0"/>
              <w:left w:val="nil"/>
              <w:bottom w:val="single" w:color="auto" w:sz="4" w:space="0"/>
              <w:right w:val="single" w:color="auto" w:sz="4" w:space="0"/>
            </w:tcBorders>
            <w:noWrap w:val="0"/>
            <w:vAlign w:val="center"/>
          </w:tcPr>
          <w:p w14:paraId="0DD2C5C3">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2.9.4</w:t>
            </w:r>
            <w:r>
              <w:rPr>
                <w:rFonts w:hint="default" w:ascii="仿宋_GB2312" w:hAnsi="仿宋_GB2312" w:eastAsia="仿宋_GB2312" w:cs="仿宋_GB2312"/>
                <w:sz w:val="28"/>
                <w:szCs w:val="28"/>
                <w:lang w:val="en-US" w:eastAsia="zh-CN"/>
              </w:rPr>
              <w:t>告警闭环处理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支持告警信息的接收、确认、处理、反馈、验证全流程闭环管理；支持告警处理进度实时监控，逾期未处理的告警自动升级，通知上级管理人员；支持告警处理记录的全程留痕、可追溯。</w:t>
            </w:r>
          </w:p>
        </w:tc>
      </w:tr>
      <w:tr w14:paraId="6251C96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D551F48">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4BE4FA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59</w:t>
            </w:r>
          </w:p>
        </w:tc>
        <w:tc>
          <w:tcPr>
            <w:tcW w:w="7121" w:type="dxa"/>
            <w:tcBorders>
              <w:top w:val="single" w:color="auto" w:sz="4" w:space="0"/>
              <w:left w:val="nil"/>
              <w:bottom w:val="single" w:color="auto" w:sz="4" w:space="0"/>
              <w:right w:val="single" w:color="auto" w:sz="4" w:space="0"/>
            </w:tcBorders>
            <w:noWrap w:val="0"/>
            <w:vAlign w:val="center"/>
          </w:tcPr>
          <w:p w14:paraId="495C9918">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2.9.5</w:t>
            </w:r>
            <w:r>
              <w:rPr>
                <w:rFonts w:hint="default" w:ascii="仿宋_GB2312" w:hAnsi="仿宋_GB2312" w:eastAsia="仿宋_GB2312" w:cs="仿宋_GB2312"/>
                <w:sz w:val="28"/>
                <w:szCs w:val="28"/>
                <w:lang w:val="en-US" w:eastAsia="zh-CN"/>
              </w:rPr>
              <w:t>告警统计分析</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支持按告警类型、告警级别、实验室、时间周期统计告警数量、处理及时率、处理闭环率、平均处理时长等；支持告警数据的可视化展示、趋势分析、报表导出，为管理决策提供数据支撑。</w:t>
            </w:r>
          </w:p>
        </w:tc>
      </w:tr>
      <w:tr w14:paraId="3B8B8C9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8D9783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F2F97DC">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c>
          <w:tcPr>
            <w:tcW w:w="7121" w:type="dxa"/>
            <w:tcBorders>
              <w:top w:val="single" w:color="auto" w:sz="4" w:space="0"/>
              <w:left w:val="nil"/>
              <w:bottom w:val="single" w:color="auto" w:sz="4" w:space="0"/>
              <w:right w:val="single" w:color="auto" w:sz="4" w:space="0"/>
            </w:tcBorders>
            <w:noWrap w:val="0"/>
            <w:vAlign w:val="center"/>
          </w:tcPr>
          <w:p w14:paraId="76B73627">
            <w:pPr>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kern w:val="2"/>
                <w:sz w:val="28"/>
                <w:szCs w:val="28"/>
                <w:lang w:val="en-US" w:eastAsia="zh-CN" w:bidi="ar-SA"/>
              </w:rPr>
              <w:t xml:space="preserve">2.10 </w:t>
            </w:r>
            <w:r>
              <w:rPr>
                <w:rFonts w:hint="eastAsia" w:ascii="仿宋_GB2312" w:hAnsi="仿宋_GB2312" w:eastAsia="仿宋_GB2312" w:cs="仿宋_GB2312"/>
                <w:b/>
                <w:bCs/>
                <w:kern w:val="2"/>
                <w:sz w:val="28"/>
                <w:szCs w:val="28"/>
                <w:lang w:val="en-US" w:eastAsia="zh-CN" w:bidi="ar-SA"/>
              </w:rPr>
              <w:t>镜像系统模块</w:t>
            </w:r>
            <w:r>
              <w:rPr>
                <w:rFonts w:hint="eastAsia" w:ascii="仿宋_GB2312" w:hAnsi="仿宋_GB2312" w:eastAsia="仿宋_GB2312" w:cs="仿宋_GB2312"/>
                <w:b/>
                <w:bCs/>
                <w:sz w:val="28"/>
                <w:szCs w:val="28"/>
                <w:lang w:val="en-US" w:eastAsia="zh-CN"/>
              </w:rPr>
              <w:t>（编号61至65）</w:t>
            </w:r>
          </w:p>
        </w:tc>
      </w:tr>
      <w:tr w14:paraId="1344393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3A560F2">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36B58C6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61</w:t>
            </w:r>
          </w:p>
        </w:tc>
        <w:tc>
          <w:tcPr>
            <w:tcW w:w="7121" w:type="dxa"/>
            <w:tcBorders>
              <w:top w:val="single" w:color="auto" w:sz="4" w:space="0"/>
              <w:left w:val="nil"/>
              <w:bottom w:val="single" w:color="auto" w:sz="4" w:space="0"/>
              <w:right w:val="single" w:color="auto" w:sz="4" w:space="0"/>
            </w:tcBorders>
            <w:noWrap w:val="0"/>
            <w:vAlign w:val="center"/>
          </w:tcPr>
          <w:p w14:paraId="710B35FF">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2.10.1远程镜像访问：支持随时远程访问辖区各实验室室内质控管理系统（远程镜像系统），无需到现场即可查看实验室质控系统的实时数据、操作界面、系统配置，实现远程监管、技术指导、问题排查（需提供系统截图）。</w:t>
            </w:r>
          </w:p>
        </w:tc>
      </w:tr>
      <w:tr w14:paraId="4FD1385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E92D3C6">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5FB9B56">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w:t>
            </w:r>
          </w:p>
        </w:tc>
        <w:tc>
          <w:tcPr>
            <w:tcW w:w="7121" w:type="dxa"/>
            <w:tcBorders>
              <w:top w:val="single" w:color="auto" w:sz="4" w:space="0"/>
              <w:left w:val="nil"/>
              <w:bottom w:val="single" w:color="auto" w:sz="4" w:space="0"/>
              <w:right w:val="single" w:color="auto" w:sz="4" w:space="0"/>
            </w:tcBorders>
            <w:noWrap w:val="0"/>
            <w:vAlign w:val="center"/>
          </w:tcPr>
          <w:p w14:paraId="277E9A79">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2.10.2</w:t>
            </w:r>
            <w:r>
              <w:rPr>
                <w:rFonts w:hint="default" w:ascii="仿宋_GB2312" w:hAnsi="仿宋_GB2312" w:eastAsia="仿宋_GB2312" w:cs="仿宋_GB2312"/>
                <w:sz w:val="28"/>
                <w:szCs w:val="28"/>
                <w:lang w:val="en-US" w:eastAsia="zh-CN"/>
              </w:rPr>
              <w:t>镜像权限控制</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支持精细化的镜像访问权限控制，按用户角色、实验室、功能模块分配不同的访问权限，包括只读权限、操作权限、管理权限；支持访问权限的有效期设置，到期自动回收。</w:t>
            </w:r>
          </w:p>
        </w:tc>
      </w:tr>
      <w:tr w14:paraId="46155DC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0384398">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2632848">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63</w:t>
            </w:r>
          </w:p>
        </w:tc>
        <w:tc>
          <w:tcPr>
            <w:tcW w:w="7121" w:type="dxa"/>
            <w:tcBorders>
              <w:top w:val="single" w:color="auto" w:sz="4" w:space="0"/>
              <w:left w:val="nil"/>
              <w:bottom w:val="single" w:color="auto" w:sz="4" w:space="0"/>
              <w:right w:val="single" w:color="auto" w:sz="4" w:space="0"/>
            </w:tcBorders>
            <w:noWrap w:val="0"/>
            <w:vAlign w:val="center"/>
          </w:tcPr>
          <w:p w14:paraId="58297891">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2.10.3</w:t>
            </w:r>
            <w:r>
              <w:rPr>
                <w:rFonts w:hint="default" w:ascii="仿宋_GB2312" w:hAnsi="仿宋_GB2312" w:eastAsia="仿宋_GB2312" w:cs="仿宋_GB2312"/>
                <w:sz w:val="28"/>
                <w:szCs w:val="28"/>
                <w:lang w:val="en-US" w:eastAsia="zh-CN"/>
              </w:rPr>
              <w:t>操作审计与日志</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支持镜像系统的所有操作全程留痕，包括访问时间、访问人员、操作内容、操作结果、IP地址等，生成完整的操作审计日志；支持日志的查询、筛选、导出，确保所有操作可追溯、可审计。</w:t>
            </w:r>
          </w:p>
        </w:tc>
      </w:tr>
      <w:tr w14:paraId="5556AD6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96CE598">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FB6DE9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64</w:t>
            </w:r>
          </w:p>
        </w:tc>
        <w:tc>
          <w:tcPr>
            <w:tcW w:w="7121" w:type="dxa"/>
            <w:tcBorders>
              <w:top w:val="single" w:color="auto" w:sz="4" w:space="0"/>
              <w:left w:val="nil"/>
              <w:bottom w:val="single" w:color="auto" w:sz="4" w:space="0"/>
              <w:right w:val="single" w:color="auto" w:sz="4" w:space="0"/>
            </w:tcBorders>
            <w:noWrap w:val="0"/>
            <w:vAlign w:val="center"/>
          </w:tcPr>
          <w:p w14:paraId="7F4173BB">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2.10.4</w:t>
            </w:r>
            <w:r>
              <w:rPr>
                <w:rFonts w:hint="default" w:ascii="仿宋_GB2312" w:hAnsi="仿宋_GB2312" w:eastAsia="仿宋_GB2312" w:cs="仿宋_GB2312"/>
                <w:sz w:val="28"/>
                <w:szCs w:val="28"/>
                <w:lang w:val="en-US" w:eastAsia="zh-CN"/>
              </w:rPr>
              <w:t>数据隔离与安全</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支持镜像系统与生产系统的数据隔离，镜像操作不影响实验室生产系统的正常运行；支持镜像数据的加密传输、加密存储，防止数据泄露；支持离线镜像功能，可在无网络环境下查看镜像数据。</w:t>
            </w:r>
          </w:p>
        </w:tc>
      </w:tr>
      <w:tr w14:paraId="04894D2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4F9126D">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9A0F7B6">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w:t>
            </w:r>
          </w:p>
        </w:tc>
        <w:tc>
          <w:tcPr>
            <w:tcW w:w="7121" w:type="dxa"/>
            <w:tcBorders>
              <w:top w:val="single" w:color="auto" w:sz="4" w:space="0"/>
              <w:left w:val="nil"/>
              <w:bottom w:val="single" w:color="auto" w:sz="4" w:space="0"/>
              <w:right w:val="single" w:color="auto" w:sz="4" w:space="0"/>
            </w:tcBorders>
            <w:noWrap w:val="0"/>
            <w:vAlign w:val="center"/>
          </w:tcPr>
          <w:p w14:paraId="55C9F6EC">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2.10.5</w:t>
            </w:r>
            <w:r>
              <w:rPr>
                <w:rFonts w:hint="default" w:ascii="仿宋_GB2312" w:hAnsi="仿宋_GB2312" w:eastAsia="仿宋_GB2312" w:cs="仿宋_GB2312"/>
                <w:sz w:val="28"/>
                <w:szCs w:val="28"/>
                <w:lang w:val="en-US" w:eastAsia="zh-CN"/>
              </w:rPr>
              <w:t>镜像协作功能</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支持多用户同时在线查看同一镜像，支持远程标注、截图、文件传输，实现中心与实验室之间的远程技术协作、问题会诊、培训指导。</w:t>
            </w:r>
          </w:p>
        </w:tc>
      </w:tr>
      <w:tr w14:paraId="77E7294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07BCA20">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A00A25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66</w:t>
            </w:r>
          </w:p>
        </w:tc>
        <w:tc>
          <w:tcPr>
            <w:tcW w:w="7121" w:type="dxa"/>
            <w:tcBorders>
              <w:top w:val="single" w:color="auto" w:sz="4" w:space="0"/>
              <w:left w:val="nil"/>
              <w:bottom w:val="single" w:color="auto" w:sz="4" w:space="0"/>
              <w:right w:val="single" w:color="auto" w:sz="4" w:space="0"/>
            </w:tcBorders>
            <w:noWrap w:val="0"/>
            <w:vAlign w:val="center"/>
          </w:tcPr>
          <w:p w14:paraId="160E1B38">
            <w:pPr>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kern w:val="2"/>
                <w:sz w:val="28"/>
                <w:szCs w:val="28"/>
                <w:lang w:val="en-US" w:eastAsia="zh-CN" w:bidi="ar-SA"/>
              </w:rPr>
              <w:t>2.11 可视化监控模块</w:t>
            </w:r>
            <w:r>
              <w:rPr>
                <w:rFonts w:hint="eastAsia" w:ascii="仿宋_GB2312" w:hAnsi="仿宋_GB2312" w:eastAsia="仿宋_GB2312" w:cs="仿宋_GB2312"/>
                <w:b/>
                <w:bCs/>
                <w:sz w:val="28"/>
                <w:szCs w:val="28"/>
                <w:lang w:val="en-US" w:eastAsia="zh-CN"/>
              </w:rPr>
              <w:t>（编号67至72）</w:t>
            </w:r>
          </w:p>
        </w:tc>
      </w:tr>
      <w:tr w14:paraId="060170E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1C4A687">
            <w:pPr>
              <w:widowControl/>
              <w:jc w:val="center"/>
              <w:rPr>
                <w:rFonts w:hint="eastAsia" w:ascii="仿宋_GB2312" w:hAnsi="仿宋_GB2312" w:eastAsia="仿宋_GB2312" w:cs="仿宋_GB2312"/>
                <w:sz w:val="28"/>
                <w:szCs w:val="28"/>
              </w:rPr>
            </w:pPr>
            <w:r>
              <w:rPr>
                <w:rFonts w:hint="eastAsia" w:ascii="宋体" w:hAnsi="宋体" w:eastAsia="宋体" w:cs="宋体"/>
                <w:i w:val="0"/>
                <w:iCs w:val="0"/>
                <w:color w:val="000000"/>
                <w:kern w:val="0"/>
                <w:sz w:val="22"/>
                <w:szCs w:val="22"/>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0506B96E">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67</w:t>
            </w:r>
          </w:p>
        </w:tc>
        <w:tc>
          <w:tcPr>
            <w:tcW w:w="7121" w:type="dxa"/>
            <w:tcBorders>
              <w:top w:val="single" w:color="auto" w:sz="4" w:space="0"/>
              <w:left w:val="nil"/>
              <w:bottom w:val="single" w:color="auto" w:sz="4" w:space="0"/>
              <w:right w:val="single" w:color="auto" w:sz="4" w:space="0"/>
            </w:tcBorders>
            <w:noWrap w:val="0"/>
            <w:vAlign w:val="center"/>
          </w:tcPr>
          <w:p w14:paraId="67127F42">
            <w:pPr>
              <w:keepNext w:val="0"/>
              <w:keepLines w:val="0"/>
              <w:widowControl/>
              <w:suppressLineNumbers w:val="0"/>
              <w:jc w:val="left"/>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2.11.1监控屏配置:配置不少于2台专业监控大屏，单屏尺寸不小于85英寸，用于平台数据可视化展示、实时监控、应急指挥；详细参数（屏幕刷新率：330Hz；屏幕亮度：6000nits；WiFi协议：支持wifi6；运行内存：4G+；硬盘内存：64G+；操作系统：android 16；视频接口：HDMI 2.1 * 4；屏幕分辨率：4k（3840*2160）；个性化需求：支持开发者模式；usb接口：usb3.0 * 2；蓝牙：蓝牙5.4；USB扩展存储：&gt;=2TB；CPU：4核）</w:t>
            </w:r>
          </w:p>
        </w:tc>
      </w:tr>
      <w:tr w14:paraId="6C6490B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1E0290D">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2CEFF5B">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68</w:t>
            </w:r>
          </w:p>
        </w:tc>
        <w:tc>
          <w:tcPr>
            <w:tcW w:w="7121" w:type="dxa"/>
            <w:tcBorders>
              <w:top w:val="single" w:color="auto" w:sz="4" w:space="0"/>
              <w:left w:val="nil"/>
              <w:bottom w:val="single" w:color="auto" w:sz="4" w:space="0"/>
              <w:right w:val="single" w:color="auto" w:sz="4" w:space="0"/>
            </w:tcBorders>
            <w:noWrap w:val="0"/>
            <w:vAlign w:val="center"/>
          </w:tcPr>
          <w:p w14:paraId="0BD601B5">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2.11.2</w:t>
            </w:r>
            <w:r>
              <w:rPr>
                <w:rFonts w:hint="default" w:ascii="仿宋_GB2312" w:hAnsi="仿宋_GB2312" w:eastAsia="仿宋_GB2312" w:cs="仿宋_GB2312"/>
                <w:sz w:val="28"/>
                <w:szCs w:val="28"/>
                <w:lang w:val="en-US" w:eastAsia="zh-CN"/>
              </w:rPr>
              <w:t>整体监管总览</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通过监控屏总览区域整体的失控情况，失控处理情况及质控上报情况；支持区域整体质控数据的实时汇总展示，包括实验室接入数量、项目总数、当日上报率、失控率、失控处理及时率等核心指标。</w:t>
            </w:r>
          </w:p>
        </w:tc>
      </w:tr>
      <w:tr w14:paraId="6C961C1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0B7BF31">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D4AFE3B">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69</w:t>
            </w:r>
          </w:p>
        </w:tc>
        <w:tc>
          <w:tcPr>
            <w:tcW w:w="7121" w:type="dxa"/>
            <w:tcBorders>
              <w:top w:val="single" w:color="auto" w:sz="4" w:space="0"/>
              <w:left w:val="nil"/>
              <w:bottom w:val="single" w:color="auto" w:sz="4" w:space="0"/>
              <w:right w:val="single" w:color="auto" w:sz="4" w:space="0"/>
            </w:tcBorders>
            <w:noWrap w:val="0"/>
            <w:vAlign w:val="center"/>
          </w:tcPr>
          <w:p w14:paraId="3C20297C">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2.11.3</w:t>
            </w:r>
            <w:r>
              <w:rPr>
                <w:rFonts w:hint="default" w:ascii="仿宋_GB2312" w:hAnsi="仿宋_GB2312" w:eastAsia="仿宋_GB2312" w:cs="仿宋_GB2312"/>
                <w:sz w:val="28"/>
                <w:szCs w:val="28"/>
                <w:lang w:val="en-US" w:eastAsia="zh-CN"/>
              </w:rPr>
              <w:t>分层级监管展示</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支持按照整体区域、各实验室、各项目分层级呈现各评价指标当前状态，图形化直观呈现的方式更佳；支持数据下钻分析，从区域总览可下钻到实验室详情，再下钻到项目详情。</w:t>
            </w:r>
          </w:p>
        </w:tc>
      </w:tr>
      <w:tr w14:paraId="290667C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B6F53C9">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0B8A041">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70</w:t>
            </w:r>
          </w:p>
        </w:tc>
        <w:tc>
          <w:tcPr>
            <w:tcW w:w="7121" w:type="dxa"/>
            <w:tcBorders>
              <w:top w:val="single" w:color="auto" w:sz="4" w:space="0"/>
              <w:left w:val="nil"/>
              <w:bottom w:val="single" w:color="auto" w:sz="4" w:space="0"/>
              <w:right w:val="single" w:color="auto" w:sz="4" w:space="0"/>
            </w:tcBorders>
            <w:noWrap w:val="0"/>
            <w:vAlign w:val="center"/>
          </w:tcPr>
          <w:p w14:paraId="61A9E6FA">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2.11.4</w:t>
            </w:r>
            <w:r>
              <w:rPr>
                <w:rFonts w:hint="default" w:ascii="仿宋_GB2312" w:hAnsi="仿宋_GB2312" w:eastAsia="仿宋_GB2312" w:cs="仿宋_GB2312"/>
                <w:sz w:val="28"/>
                <w:szCs w:val="28"/>
                <w:lang w:val="en-US" w:eastAsia="zh-CN"/>
              </w:rPr>
              <w:t>快速检索与定位</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支持以检索的形式快速查找存在问题的实验室，如上报率过低、失控未处理、质量指标不达标等；支持异常实验室、异常项目的高亮提醒，一键定位详情。</w:t>
            </w:r>
          </w:p>
        </w:tc>
      </w:tr>
      <w:tr w14:paraId="722335D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50C4AC6">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11CBF4B">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71</w:t>
            </w:r>
          </w:p>
        </w:tc>
        <w:tc>
          <w:tcPr>
            <w:tcW w:w="7121" w:type="dxa"/>
            <w:tcBorders>
              <w:top w:val="single" w:color="auto" w:sz="4" w:space="0"/>
              <w:left w:val="nil"/>
              <w:bottom w:val="single" w:color="auto" w:sz="4" w:space="0"/>
              <w:right w:val="single" w:color="auto" w:sz="4" w:space="0"/>
            </w:tcBorders>
            <w:noWrap w:val="0"/>
            <w:vAlign w:val="center"/>
          </w:tcPr>
          <w:p w14:paraId="4D8B5D06">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2.11.5</w:t>
            </w:r>
            <w:r>
              <w:rPr>
                <w:rFonts w:hint="default" w:ascii="仿宋_GB2312" w:hAnsi="仿宋_GB2312" w:eastAsia="仿宋_GB2312" w:cs="仿宋_GB2312"/>
                <w:sz w:val="28"/>
                <w:szCs w:val="28"/>
                <w:lang w:val="en-US" w:eastAsia="zh-CN"/>
              </w:rPr>
              <w:t>可视化图表展示</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支持多种可视化图表类型，包括柱状图、折线图、饼图、散点图、热力图、地图等，直观展示质控数据趋势、分布、对比情况；支持图表的自定义配置、多屏联动、实时刷新。</w:t>
            </w:r>
          </w:p>
        </w:tc>
      </w:tr>
      <w:tr w14:paraId="343BDF8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82B5E29">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2FE19C4">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w:t>
            </w:r>
          </w:p>
        </w:tc>
        <w:tc>
          <w:tcPr>
            <w:tcW w:w="7121" w:type="dxa"/>
            <w:tcBorders>
              <w:top w:val="single" w:color="auto" w:sz="4" w:space="0"/>
              <w:left w:val="nil"/>
              <w:bottom w:val="single" w:color="auto" w:sz="4" w:space="0"/>
              <w:right w:val="single" w:color="auto" w:sz="4" w:space="0"/>
            </w:tcBorders>
            <w:noWrap w:val="0"/>
            <w:vAlign w:val="center"/>
          </w:tcPr>
          <w:p w14:paraId="1BECBD75">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2.11.6</w:t>
            </w:r>
            <w:r>
              <w:rPr>
                <w:rFonts w:hint="default" w:ascii="仿宋_GB2312" w:hAnsi="仿宋_GB2312" w:eastAsia="仿宋_GB2312" w:cs="仿宋_GB2312"/>
                <w:sz w:val="28"/>
                <w:szCs w:val="28"/>
                <w:lang w:val="en-US" w:eastAsia="zh-CN"/>
              </w:rPr>
              <w:t>应急指挥展示</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支持突发公共卫生事件、重大质量问题的应急指挥展示，包括事件详情、涉及实验室、影响范围、处置进度、资源调度等信息，实现应急处置的可视化指挥。</w:t>
            </w:r>
          </w:p>
        </w:tc>
      </w:tr>
      <w:tr w14:paraId="35EF46A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889B384">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7DB06F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73</w:t>
            </w:r>
          </w:p>
        </w:tc>
        <w:tc>
          <w:tcPr>
            <w:tcW w:w="7121" w:type="dxa"/>
            <w:tcBorders>
              <w:top w:val="single" w:color="auto" w:sz="4" w:space="0"/>
              <w:left w:val="nil"/>
              <w:bottom w:val="single" w:color="auto" w:sz="4" w:space="0"/>
              <w:right w:val="single" w:color="auto" w:sz="4" w:space="0"/>
            </w:tcBorders>
            <w:noWrap w:val="0"/>
            <w:vAlign w:val="center"/>
          </w:tcPr>
          <w:p w14:paraId="61D3BA20">
            <w:pPr>
              <w:widowControl/>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2.12 权限与分级管理模块</w:t>
            </w:r>
            <w:r>
              <w:rPr>
                <w:rFonts w:hint="eastAsia" w:ascii="仿宋_GB2312" w:hAnsi="仿宋_GB2312" w:eastAsia="仿宋_GB2312" w:cs="仿宋_GB2312"/>
                <w:b/>
                <w:bCs/>
                <w:sz w:val="28"/>
                <w:szCs w:val="28"/>
                <w:lang w:val="en-US" w:eastAsia="zh-CN"/>
              </w:rPr>
              <w:t>（编号74至77）</w:t>
            </w:r>
          </w:p>
        </w:tc>
      </w:tr>
      <w:tr w14:paraId="7F7567E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51FE37F">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E5489B9">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74</w:t>
            </w:r>
          </w:p>
        </w:tc>
        <w:tc>
          <w:tcPr>
            <w:tcW w:w="7121" w:type="dxa"/>
            <w:tcBorders>
              <w:top w:val="single" w:color="auto" w:sz="4" w:space="0"/>
              <w:left w:val="nil"/>
              <w:bottom w:val="single" w:color="auto" w:sz="4" w:space="0"/>
              <w:right w:val="single" w:color="auto" w:sz="4" w:space="0"/>
            </w:tcBorders>
            <w:noWrap w:val="0"/>
            <w:vAlign w:val="center"/>
          </w:tcPr>
          <w:p w14:paraId="77D5E731">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2.12.1</w:t>
            </w:r>
            <w:r>
              <w:rPr>
                <w:rFonts w:hint="default" w:ascii="仿宋_GB2312" w:hAnsi="仿宋_GB2312" w:eastAsia="仿宋_GB2312" w:cs="仿宋_GB2312"/>
                <w:sz w:val="28"/>
                <w:szCs w:val="28"/>
                <w:lang w:val="en-US" w:eastAsia="zh-CN"/>
              </w:rPr>
              <w:t>分权限管理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质量监测评估报告等内容支持审核审批后发送至区域内各临床实验室，同时支持各区域内各实验室通过平台实验室端下载质量监测评估报告；支持基于角色的权限控制（RBAC），预设管理端、实验室端、审计端、游客端等多种角色，支持角色的自定义、权限的精细化分配。</w:t>
            </w:r>
          </w:p>
        </w:tc>
      </w:tr>
      <w:tr w14:paraId="2EB7CCA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DF811C4">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4637A18">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75</w:t>
            </w:r>
          </w:p>
        </w:tc>
        <w:tc>
          <w:tcPr>
            <w:tcW w:w="7121" w:type="dxa"/>
            <w:tcBorders>
              <w:top w:val="single" w:color="auto" w:sz="4" w:space="0"/>
              <w:left w:val="nil"/>
              <w:bottom w:val="single" w:color="auto" w:sz="4" w:space="0"/>
              <w:right w:val="single" w:color="auto" w:sz="4" w:space="0"/>
            </w:tcBorders>
            <w:noWrap w:val="0"/>
            <w:vAlign w:val="center"/>
          </w:tcPr>
          <w:p w14:paraId="03ED1520">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2.12.2</w:t>
            </w:r>
            <w:r>
              <w:rPr>
                <w:rFonts w:hint="default" w:ascii="仿宋_GB2312" w:hAnsi="仿宋_GB2312" w:eastAsia="仿宋_GB2312" w:cs="仿宋_GB2312"/>
                <w:sz w:val="28"/>
                <w:szCs w:val="28"/>
                <w:lang w:val="en-US" w:eastAsia="zh-CN"/>
              </w:rPr>
              <w:t>分级管理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平台支持在现有中心下搭建下一级的子中心，并实现上级中心对下级中心管理情况的监管评价；支持市-县-乡三级分级管理架构，各级中心可管理辖区内的实验室，上级中心可查看、监管下级中心的管理数据与工作情况。</w:t>
            </w:r>
          </w:p>
        </w:tc>
      </w:tr>
      <w:tr w14:paraId="681A226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06FCC10">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B15082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76</w:t>
            </w:r>
          </w:p>
        </w:tc>
        <w:tc>
          <w:tcPr>
            <w:tcW w:w="7121" w:type="dxa"/>
            <w:tcBorders>
              <w:top w:val="single" w:color="auto" w:sz="4" w:space="0"/>
              <w:left w:val="nil"/>
              <w:bottom w:val="single" w:color="auto" w:sz="4" w:space="0"/>
              <w:right w:val="single" w:color="auto" w:sz="4" w:space="0"/>
            </w:tcBorders>
            <w:noWrap w:val="0"/>
            <w:vAlign w:val="center"/>
          </w:tcPr>
          <w:p w14:paraId="05DBE17B">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2.12.3</w:t>
            </w:r>
            <w:r>
              <w:rPr>
                <w:rFonts w:hint="default" w:ascii="仿宋_GB2312" w:hAnsi="仿宋_GB2312" w:eastAsia="仿宋_GB2312" w:cs="仿宋_GB2312"/>
                <w:sz w:val="28"/>
                <w:szCs w:val="28"/>
                <w:lang w:val="en-US" w:eastAsia="zh-CN"/>
              </w:rPr>
              <w:t>用户管理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支持用户账号的新增、修改、删除、启用/禁用、密码重置等管理；支持用户与实验室、角色的绑定，支持用户登录日志、操作日志的查询、审计。</w:t>
            </w:r>
          </w:p>
        </w:tc>
      </w:tr>
      <w:tr w14:paraId="0B39D3C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55408B8">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155929B">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77</w:t>
            </w:r>
          </w:p>
        </w:tc>
        <w:tc>
          <w:tcPr>
            <w:tcW w:w="7121" w:type="dxa"/>
            <w:tcBorders>
              <w:top w:val="single" w:color="auto" w:sz="4" w:space="0"/>
              <w:left w:val="nil"/>
              <w:bottom w:val="single" w:color="auto" w:sz="4" w:space="0"/>
              <w:right w:val="single" w:color="auto" w:sz="4" w:space="0"/>
            </w:tcBorders>
            <w:noWrap w:val="0"/>
            <w:vAlign w:val="center"/>
          </w:tcPr>
          <w:p w14:paraId="26709673">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2.12.4</w:t>
            </w:r>
            <w:r>
              <w:rPr>
                <w:rFonts w:hint="default" w:ascii="仿宋_GB2312" w:hAnsi="仿宋_GB2312" w:eastAsia="仿宋_GB2312" w:cs="仿宋_GB2312"/>
                <w:sz w:val="28"/>
                <w:szCs w:val="28"/>
                <w:lang w:val="en-US" w:eastAsia="zh-CN"/>
              </w:rPr>
              <w:t>审批流程管理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支持自定义审批流程，包括报告审核、证书申请、整改确认、公告发布等业务场景的审批流程配置；支持多级审批、会签、或签、驳回、退回等审批节点配置，支持审批进度实时监控、消息提醒。</w:t>
            </w:r>
          </w:p>
        </w:tc>
      </w:tr>
      <w:tr w14:paraId="1454873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BC7F84C">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F5683F3">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78</w:t>
            </w:r>
          </w:p>
        </w:tc>
        <w:tc>
          <w:tcPr>
            <w:tcW w:w="7121" w:type="dxa"/>
            <w:tcBorders>
              <w:top w:val="single" w:color="auto" w:sz="4" w:space="0"/>
              <w:left w:val="nil"/>
              <w:bottom w:val="single" w:color="auto" w:sz="4" w:space="0"/>
              <w:right w:val="single" w:color="auto" w:sz="4" w:space="0"/>
            </w:tcBorders>
            <w:noWrap w:val="0"/>
            <w:vAlign w:val="center"/>
          </w:tcPr>
          <w:p w14:paraId="37FA104A">
            <w:pPr>
              <w:jc w:val="left"/>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b/>
                <w:bCs/>
                <w:kern w:val="2"/>
                <w:sz w:val="28"/>
                <w:szCs w:val="28"/>
                <w:lang w:val="en-US" w:eastAsia="zh-CN" w:bidi="ar-SA"/>
              </w:rPr>
              <w:t>2.13 消息互通与协作模块</w:t>
            </w:r>
            <w:r>
              <w:rPr>
                <w:rFonts w:hint="eastAsia" w:ascii="仿宋_GB2312" w:hAnsi="仿宋_GB2312" w:eastAsia="仿宋_GB2312" w:cs="仿宋_GB2312"/>
                <w:b/>
                <w:bCs/>
                <w:sz w:val="28"/>
                <w:szCs w:val="28"/>
                <w:lang w:val="en-US" w:eastAsia="zh-CN"/>
              </w:rPr>
              <w:t>（编号79至82）</w:t>
            </w:r>
          </w:p>
        </w:tc>
      </w:tr>
      <w:tr w14:paraId="29376F0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6C43C75">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387B23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79</w:t>
            </w:r>
          </w:p>
        </w:tc>
        <w:tc>
          <w:tcPr>
            <w:tcW w:w="7121" w:type="dxa"/>
            <w:tcBorders>
              <w:top w:val="single" w:color="auto" w:sz="4" w:space="0"/>
              <w:left w:val="nil"/>
              <w:bottom w:val="single" w:color="auto" w:sz="4" w:space="0"/>
              <w:right w:val="single" w:color="auto" w:sz="4" w:space="0"/>
            </w:tcBorders>
            <w:noWrap w:val="0"/>
            <w:vAlign w:val="center"/>
          </w:tcPr>
          <w:p w14:paraId="5CCBA695">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2.13.1</w:t>
            </w:r>
            <w:r>
              <w:rPr>
                <w:rFonts w:hint="default" w:ascii="仿宋_GB2312" w:hAnsi="仿宋_GB2312" w:eastAsia="仿宋_GB2312" w:cs="仿宋_GB2312"/>
                <w:kern w:val="2"/>
                <w:sz w:val="28"/>
                <w:szCs w:val="28"/>
                <w:lang w:val="en-US" w:eastAsia="zh-CN" w:bidi="ar-SA"/>
              </w:rPr>
              <w:t>公告管理</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支持管理端发布平台公告、政策通知、培训通知、质控要求等内容，支持按实验室、专业、角色定向发布；支持公告的发布、修改、撤销、置顶、过期管理，支持公告的已读未读统计。</w:t>
            </w:r>
          </w:p>
        </w:tc>
      </w:tr>
      <w:tr w14:paraId="1F5E5C0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784E785">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702798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w:t>
            </w:r>
          </w:p>
        </w:tc>
        <w:tc>
          <w:tcPr>
            <w:tcW w:w="7121" w:type="dxa"/>
            <w:tcBorders>
              <w:top w:val="single" w:color="auto" w:sz="4" w:space="0"/>
              <w:left w:val="nil"/>
              <w:bottom w:val="single" w:color="auto" w:sz="4" w:space="0"/>
              <w:right w:val="single" w:color="auto" w:sz="4" w:space="0"/>
            </w:tcBorders>
            <w:noWrap w:val="0"/>
            <w:vAlign w:val="center"/>
          </w:tcPr>
          <w:p w14:paraId="1229828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2.13.2</w:t>
            </w:r>
            <w:r>
              <w:rPr>
                <w:rFonts w:hint="default" w:ascii="仿宋_GB2312" w:hAnsi="仿宋_GB2312" w:eastAsia="仿宋_GB2312" w:cs="仿宋_GB2312"/>
                <w:kern w:val="2"/>
                <w:sz w:val="28"/>
                <w:szCs w:val="28"/>
                <w:lang w:val="en-US" w:eastAsia="zh-CN" w:bidi="ar-SA"/>
              </w:rPr>
              <w:t>移动端反馈</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支持手机端失控报告填写，实验室可通过绑定的微信手机端直接填写失控报告；支持手机端消息接收、告警查看、报告下载、课程学习、在线考试等功能。</w:t>
            </w:r>
          </w:p>
        </w:tc>
      </w:tr>
      <w:tr w14:paraId="6979D8D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A92E892">
            <w:pPr>
              <w:widowControl/>
              <w:jc w:val="center"/>
              <w:rPr>
                <w:rFonts w:hint="eastAsia" w:ascii="仿宋_GB2312" w:hAnsi="仿宋_GB2312" w:eastAsia="仿宋_GB2312" w:cs="仿宋_GB2312"/>
                <w:sz w:val="28"/>
                <w:szCs w:val="28"/>
              </w:rPr>
            </w:pPr>
            <w:r>
              <w:rPr>
                <w:rFonts w:hint="eastAsia" w:ascii="宋体" w:hAnsi="宋体" w:eastAsia="宋体" w:cs="宋体"/>
                <w:color w:val="000000"/>
                <w:kern w:val="0"/>
                <w:sz w:val="28"/>
                <w:szCs w:val="28"/>
              </w:rPr>
              <w:t>▲</w:t>
            </w:r>
          </w:p>
        </w:tc>
        <w:tc>
          <w:tcPr>
            <w:tcW w:w="1134" w:type="dxa"/>
            <w:tcBorders>
              <w:top w:val="single" w:color="auto" w:sz="4" w:space="0"/>
              <w:left w:val="nil"/>
              <w:bottom w:val="single" w:color="auto" w:sz="4" w:space="0"/>
              <w:right w:val="single" w:color="auto" w:sz="4" w:space="0"/>
            </w:tcBorders>
            <w:noWrap w:val="0"/>
            <w:vAlign w:val="center"/>
          </w:tcPr>
          <w:p w14:paraId="1FED4B71">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81</w:t>
            </w:r>
          </w:p>
        </w:tc>
        <w:tc>
          <w:tcPr>
            <w:tcW w:w="7121" w:type="dxa"/>
            <w:tcBorders>
              <w:top w:val="single" w:color="auto" w:sz="4" w:space="0"/>
              <w:left w:val="nil"/>
              <w:bottom w:val="single" w:color="auto" w:sz="4" w:space="0"/>
              <w:right w:val="single" w:color="auto" w:sz="4" w:space="0"/>
            </w:tcBorders>
            <w:noWrap w:val="0"/>
            <w:vAlign w:val="center"/>
          </w:tcPr>
          <w:p w14:paraId="344F347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2.13.3失控求助与技术支持:实验室可通过平台实验室端向中心发出失控求助信息（包含失控项目所有数据文件），中心可结合数据信息结合镜像功能给出适当的失控分析建议（需提供系统截图）；支持求助信息的接收、分配、处理、反馈、满意度评价全流程管理，支持技术支持知识库的建设与查询（需提供系统截图）。</w:t>
            </w:r>
          </w:p>
        </w:tc>
      </w:tr>
      <w:tr w14:paraId="356A9EC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374A001">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5655B8B">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82</w:t>
            </w:r>
          </w:p>
        </w:tc>
        <w:tc>
          <w:tcPr>
            <w:tcW w:w="7121" w:type="dxa"/>
            <w:tcBorders>
              <w:top w:val="single" w:color="auto" w:sz="4" w:space="0"/>
              <w:left w:val="nil"/>
              <w:bottom w:val="single" w:color="auto" w:sz="4" w:space="0"/>
              <w:right w:val="single" w:color="auto" w:sz="4" w:space="0"/>
            </w:tcBorders>
            <w:noWrap w:val="0"/>
            <w:vAlign w:val="center"/>
          </w:tcPr>
          <w:p w14:paraId="523C4E6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2.13.4</w:t>
            </w:r>
            <w:r>
              <w:rPr>
                <w:rFonts w:hint="default" w:ascii="仿宋_GB2312" w:hAnsi="仿宋_GB2312" w:eastAsia="仿宋_GB2312" w:cs="仿宋_GB2312"/>
                <w:kern w:val="2"/>
                <w:sz w:val="28"/>
                <w:szCs w:val="28"/>
                <w:lang w:val="en-US" w:eastAsia="zh-CN" w:bidi="ar-SA"/>
              </w:rPr>
              <w:t>内部通讯</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支持平台内用户之间的即时通讯，支持单聊、群聊，支持文本、图片、文件、截图等消息类型；支持按实验室、专业、角色创建聊天群，方便业务沟通与技术交流。</w:t>
            </w:r>
          </w:p>
        </w:tc>
      </w:tr>
      <w:tr w14:paraId="4508623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D7E3F73">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2A78470">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83</w:t>
            </w:r>
          </w:p>
        </w:tc>
        <w:tc>
          <w:tcPr>
            <w:tcW w:w="7121" w:type="dxa"/>
            <w:tcBorders>
              <w:top w:val="single" w:color="auto" w:sz="4" w:space="0"/>
              <w:left w:val="nil"/>
              <w:bottom w:val="single" w:color="auto" w:sz="4" w:space="0"/>
              <w:right w:val="single" w:color="auto" w:sz="4" w:space="0"/>
            </w:tcBorders>
            <w:noWrap w:val="0"/>
            <w:vAlign w:val="center"/>
          </w:tcPr>
          <w:p w14:paraId="454B1EC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三、平台架构与非功能性要求（编号84至110）</w:t>
            </w:r>
          </w:p>
        </w:tc>
      </w:tr>
      <w:tr w14:paraId="7D7F388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14FE50D">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668815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84</w:t>
            </w:r>
          </w:p>
        </w:tc>
        <w:tc>
          <w:tcPr>
            <w:tcW w:w="7121" w:type="dxa"/>
            <w:tcBorders>
              <w:top w:val="single" w:color="auto" w:sz="4" w:space="0"/>
              <w:left w:val="nil"/>
              <w:bottom w:val="single" w:color="auto" w:sz="4" w:space="0"/>
              <w:right w:val="single" w:color="auto" w:sz="4" w:space="0"/>
            </w:tcBorders>
            <w:noWrap w:val="0"/>
            <w:vAlign w:val="center"/>
          </w:tcPr>
          <w:p w14:paraId="2764AA3E">
            <w:pPr>
              <w:widowControl/>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3.1 平台网络数据架构</w:t>
            </w:r>
            <w:r>
              <w:rPr>
                <w:rFonts w:hint="eastAsia" w:ascii="仿宋_GB2312" w:hAnsi="仿宋_GB2312" w:eastAsia="仿宋_GB2312" w:cs="仿宋_GB2312"/>
                <w:b/>
                <w:bCs/>
                <w:sz w:val="28"/>
                <w:szCs w:val="28"/>
                <w:lang w:val="en-US" w:eastAsia="zh-CN"/>
              </w:rPr>
              <w:t>（编号85至88）</w:t>
            </w:r>
          </w:p>
        </w:tc>
      </w:tr>
      <w:tr w14:paraId="4731D1B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52535C1">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iCs w:val="0"/>
                <w:color w:val="000000"/>
                <w:kern w:val="0"/>
                <w:sz w:val="22"/>
                <w:szCs w:val="22"/>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45C36F33">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85</w:t>
            </w:r>
          </w:p>
        </w:tc>
        <w:tc>
          <w:tcPr>
            <w:tcW w:w="7121" w:type="dxa"/>
            <w:tcBorders>
              <w:top w:val="single" w:color="auto" w:sz="4" w:space="0"/>
              <w:left w:val="nil"/>
              <w:bottom w:val="single" w:color="auto" w:sz="4" w:space="0"/>
              <w:right w:val="single" w:color="auto" w:sz="4" w:space="0"/>
            </w:tcBorders>
            <w:noWrap w:val="0"/>
            <w:vAlign w:val="center"/>
          </w:tcPr>
          <w:p w14:paraId="3FE83EB9">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3.1.1</w:t>
            </w:r>
            <w:r>
              <w:rPr>
                <w:rFonts w:hint="default" w:ascii="仿宋_GB2312" w:hAnsi="仿宋_GB2312" w:eastAsia="仿宋_GB2312" w:cs="仿宋_GB2312"/>
                <w:kern w:val="2"/>
                <w:sz w:val="28"/>
                <w:szCs w:val="28"/>
                <w:lang w:val="en-US" w:eastAsia="zh-CN" w:bidi="ar-SA"/>
              </w:rPr>
              <w:t>平台架构</w:t>
            </w:r>
            <w:r>
              <w:rPr>
                <w:rFonts w:hint="eastAsia" w:ascii="仿宋_GB2312" w:hAnsi="仿宋_GB2312" w:eastAsia="仿宋_GB2312" w:cs="仿宋_GB2312"/>
                <w:kern w:val="2"/>
                <w:sz w:val="28"/>
                <w:szCs w:val="28"/>
                <w:lang w:val="en-US" w:eastAsia="zh-CN" w:bidi="ar-SA"/>
              </w:rPr>
              <w:t>:采用</w:t>
            </w:r>
            <w:r>
              <w:rPr>
                <w:rFonts w:hint="default" w:ascii="仿宋_GB2312" w:hAnsi="仿宋_GB2312" w:eastAsia="仿宋_GB2312" w:cs="仿宋_GB2312"/>
                <w:kern w:val="2"/>
                <w:sz w:val="28"/>
                <w:szCs w:val="28"/>
                <w:lang w:val="en-US" w:eastAsia="zh-CN" w:bidi="ar-SA"/>
              </w:rPr>
              <w:t xml:space="preserve"> B/S </w:t>
            </w:r>
            <w:r>
              <w:rPr>
                <w:rFonts w:hint="eastAsia" w:ascii="仿宋_GB2312" w:hAnsi="仿宋_GB2312" w:eastAsia="仿宋_GB2312" w:cs="仿宋_GB2312"/>
                <w:kern w:val="2"/>
                <w:sz w:val="28"/>
                <w:szCs w:val="28"/>
                <w:lang w:val="en-US" w:eastAsia="zh-CN" w:bidi="ar-SA"/>
              </w:rPr>
              <w:t>架构，用户通过浏览器即可使用平台功能，无需安装客户端，支持主流浏览器（</w:t>
            </w:r>
            <w:r>
              <w:rPr>
                <w:rFonts w:hint="default" w:ascii="仿宋_GB2312" w:hAnsi="仿宋_GB2312" w:eastAsia="仿宋_GB2312" w:cs="仿宋_GB2312"/>
                <w:kern w:val="2"/>
                <w:sz w:val="28"/>
                <w:szCs w:val="28"/>
                <w:lang w:val="en-US" w:eastAsia="zh-CN" w:bidi="ar-SA"/>
              </w:rPr>
              <w:t>Chrome</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Edge</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Firefox</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Safari</w:t>
            </w:r>
            <w:r>
              <w:rPr>
                <w:rFonts w:hint="eastAsia" w:ascii="仿宋_GB2312" w:hAnsi="仿宋_GB2312" w:eastAsia="仿宋_GB2312" w:cs="仿宋_GB2312"/>
                <w:kern w:val="2"/>
                <w:sz w:val="28"/>
                <w:szCs w:val="28"/>
                <w:lang w:val="en-US" w:eastAsia="zh-CN" w:bidi="ar-SA"/>
              </w:rPr>
              <w:t>）；采用前后端分离架构，支持微服务部署，具备高可用、高可扩展性（需提供佐证材料）。</w:t>
            </w:r>
          </w:p>
        </w:tc>
      </w:tr>
      <w:tr w14:paraId="10817DF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21F2D7F">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iCs w:val="0"/>
                <w:color w:val="000000"/>
                <w:kern w:val="0"/>
                <w:sz w:val="22"/>
                <w:szCs w:val="22"/>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54AF9D59">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86</w:t>
            </w:r>
          </w:p>
        </w:tc>
        <w:tc>
          <w:tcPr>
            <w:tcW w:w="7121" w:type="dxa"/>
            <w:tcBorders>
              <w:top w:val="single" w:color="auto" w:sz="4" w:space="0"/>
              <w:left w:val="nil"/>
              <w:bottom w:val="single" w:color="auto" w:sz="4" w:space="0"/>
              <w:right w:val="single" w:color="auto" w:sz="4" w:space="0"/>
            </w:tcBorders>
            <w:noWrap w:val="0"/>
            <w:vAlign w:val="center"/>
          </w:tcPr>
          <w:p w14:paraId="393E224C">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3.1.2</w:t>
            </w:r>
            <w:r>
              <w:rPr>
                <w:rFonts w:hint="default" w:ascii="仿宋_GB2312" w:hAnsi="仿宋_GB2312" w:eastAsia="仿宋_GB2312" w:cs="仿宋_GB2312"/>
                <w:kern w:val="2"/>
                <w:sz w:val="28"/>
                <w:szCs w:val="28"/>
                <w:lang w:val="en-US" w:eastAsia="zh-CN" w:bidi="ar-SA"/>
              </w:rPr>
              <w:t>数据传输方式</w:t>
            </w:r>
            <w:r>
              <w:rPr>
                <w:rFonts w:hint="eastAsia" w:ascii="仿宋_GB2312" w:hAnsi="仿宋_GB2312" w:eastAsia="仿宋_GB2312" w:cs="仿宋_GB2312"/>
                <w:kern w:val="2"/>
                <w:sz w:val="28"/>
                <w:szCs w:val="28"/>
                <w:lang w:val="en-US" w:eastAsia="zh-CN" w:bidi="ar-SA"/>
              </w:rPr>
              <w:t>:平台支持以单端口的形式接收专网服务器给出的组织内各医疗机构上传的室内脱敏质控数据；支持</w:t>
            </w:r>
            <w:r>
              <w:rPr>
                <w:rFonts w:hint="default" w:ascii="仿宋_GB2312" w:hAnsi="仿宋_GB2312" w:eastAsia="仿宋_GB2312" w:cs="仿宋_GB2312"/>
                <w:kern w:val="2"/>
                <w:sz w:val="28"/>
                <w:szCs w:val="28"/>
                <w:lang w:val="en-US" w:eastAsia="zh-CN" w:bidi="ar-SA"/>
              </w:rPr>
              <w:t>HTTPS</w:t>
            </w:r>
            <w:r>
              <w:rPr>
                <w:rFonts w:hint="eastAsia" w:ascii="仿宋_GB2312" w:hAnsi="仿宋_GB2312" w:eastAsia="仿宋_GB2312" w:cs="仿宋_GB2312"/>
                <w:kern w:val="2"/>
                <w:sz w:val="28"/>
                <w:szCs w:val="28"/>
                <w:lang w:val="en-US" w:eastAsia="zh-CN" w:bidi="ar-SA"/>
              </w:rPr>
              <w:t>加密传输，支持</w:t>
            </w:r>
            <w:r>
              <w:rPr>
                <w:rFonts w:hint="default" w:ascii="仿宋_GB2312" w:hAnsi="仿宋_GB2312" w:eastAsia="仿宋_GB2312" w:cs="仿宋_GB2312"/>
                <w:kern w:val="2"/>
                <w:sz w:val="28"/>
                <w:szCs w:val="28"/>
                <w:lang w:val="en-US" w:eastAsia="zh-CN" w:bidi="ar-SA"/>
              </w:rPr>
              <w:t>VPN</w:t>
            </w:r>
            <w:r>
              <w:rPr>
                <w:rFonts w:hint="eastAsia" w:ascii="仿宋_GB2312" w:hAnsi="仿宋_GB2312" w:eastAsia="仿宋_GB2312" w:cs="仿宋_GB2312"/>
                <w:kern w:val="2"/>
                <w:sz w:val="28"/>
                <w:szCs w:val="28"/>
                <w:lang w:val="en-US" w:eastAsia="zh-CN" w:bidi="ar-SA"/>
              </w:rPr>
              <w:t>专线传输，确保数据传输安全，</w:t>
            </w:r>
            <w:r>
              <w:rPr>
                <w:rFonts w:hint="default" w:ascii="仿宋_GB2312" w:hAnsi="仿宋_GB2312" w:eastAsia="仿宋_GB2312" w:cs="仿宋_GB2312"/>
                <w:kern w:val="2"/>
                <w:sz w:val="28"/>
                <w:szCs w:val="28"/>
                <w:lang w:val="en-US" w:eastAsia="zh-CN" w:bidi="ar-SA"/>
              </w:rPr>
              <w:t>VPN</w:t>
            </w:r>
            <w:r>
              <w:rPr>
                <w:rFonts w:hint="eastAsia" w:ascii="仿宋_GB2312" w:hAnsi="仿宋_GB2312" w:eastAsia="仿宋_GB2312" w:cs="仿宋_GB2312"/>
                <w:kern w:val="2"/>
                <w:sz w:val="28"/>
                <w:szCs w:val="28"/>
                <w:lang w:val="en-US" w:eastAsia="zh-CN" w:bidi="ar-SA"/>
              </w:rPr>
              <w:t>专线费用由中标方承担（需提供承诺书）。</w:t>
            </w:r>
          </w:p>
        </w:tc>
      </w:tr>
      <w:tr w14:paraId="10C894F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54ECD54">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EBA03F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87</w:t>
            </w:r>
          </w:p>
        </w:tc>
        <w:tc>
          <w:tcPr>
            <w:tcW w:w="7121" w:type="dxa"/>
            <w:tcBorders>
              <w:top w:val="single" w:color="auto" w:sz="4" w:space="0"/>
              <w:left w:val="nil"/>
              <w:bottom w:val="single" w:color="auto" w:sz="4" w:space="0"/>
              <w:right w:val="single" w:color="auto" w:sz="4" w:space="0"/>
            </w:tcBorders>
            <w:noWrap w:val="0"/>
            <w:vAlign w:val="center"/>
          </w:tcPr>
          <w:p w14:paraId="76DF316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3.1.3</w:t>
            </w:r>
            <w:r>
              <w:rPr>
                <w:rFonts w:hint="default" w:ascii="仿宋_GB2312" w:hAnsi="仿宋_GB2312" w:eastAsia="仿宋_GB2312" w:cs="仿宋_GB2312"/>
                <w:kern w:val="2"/>
                <w:sz w:val="28"/>
                <w:szCs w:val="28"/>
                <w:lang w:val="en-US" w:eastAsia="zh-CN" w:bidi="ar-SA"/>
              </w:rPr>
              <w:t>数据存储架构</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采用分布式存储架构，支持结构化数据与非结构化数据的统一存储；支持数据的冷热分离、自动备份、异地灾备，确保数据存储安全、可靠。</w:t>
            </w:r>
          </w:p>
        </w:tc>
      </w:tr>
      <w:tr w14:paraId="703F93F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92A6817">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iCs w:val="0"/>
                <w:color w:val="000000"/>
                <w:kern w:val="0"/>
                <w:sz w:val="22"/>
                <w:szCs w:val="22"/>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1A81067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88</w:t>
            </w:r>
          </w:p>
        </w:tc>
        <w:tc>
          <w:tcPr>
            <w:tcW w:w="7121" w:type="dxa"/>
            <w:tcBorders>
              <w:top w:val="single" w:color="auto" w:sz="4" w:space="0"/>
              <w:left w:val="nil"/>
              <w:bottom w:val="single" w:color="auto" w:sz="4" w:space="0"/>
              <w:right w:val="single" w:color="auto" w:sz="4" w:space="0"/>
            </w:tcBorders>
            <w:noWrap w:val="0"/>
            <w:vAlign w:val="center"/>
          </w:tcPr>
          <w:p w14:paraId="4CCE0CFA">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3.1.4</w:t>
            </w:r>
            <w:r>
              <w:rPr>
                <w:rFonts w:hint="default" w:ascii="仿宋_GB2312" w:hAnsi="仿宋_GB2312" w:eastAsia="仿宋_GB2312" w:cs="仿宋_GB2312"/>
                <w:kern w:val="2"/>
                <w:sz w:val="28"/>
                <w:szCs w:val="28"/>
                <w:lang w:val="en-US" w:eastAsia="zh-CN" w:bidi="ar-SA"/>
              </w:rPr>
              <w:t>云服务器</w:t>
            </w:r>
            <w:r>
              <w:rPr>
                <w:rFonts w:hint="eastAsia" w:ascii="仿宋_GB2312" w:hAnsi="仿宋_GB2312" w:eastAsia="仿宋_GB2312" w:cs="仿宋_GB2312"/>
                <w:kern w:val="2"/>
                <w:sz w:val="28"/>
                <w:szCs w:val="28"/>
                <w:lang w:val="en-US" w:eastAsia="zh-CN" w:bidi="ar-SA"/>
              </w:rPr>
              <w:t>:提供永久免费使用的云服务器、服务器软件及服务器运维等（需提供承诺书）。</w:t>
            </w:r>
          </w:p>
        </w:tc>
      </w:tr>
      <w:tr w14:paraId="0F2F6DD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A703F14">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B37C8B9">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89</w:t>
            </w:r>
          </w:p>
        </w:tc>
        <w:tc>
          <w:tcPr>
            <w:tcW w:w="7121" w:type="dxa"/>
            <w:tcBorders>
              <w:top w:val="single" w:color="auto" w:sz="4" w:space="0"/>
              <w:left w:val="nil"/>
              <w:bottom w:val="single" w:color="auto" w:sz="4" w:space="0"/>
              <w:right w:val="single" w:color="auto" w:sz="4" w:space="0"/>
            </w:tcBorders>
            <w:noWrap w:val="0"/>
            <w:vAlign w:val="center"/>
          </w:tcPr>
          <w:p w14:paraId="532B1E53">
            <w:pPr>
              <w:widowControl/>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3.2 性能要求</w:t>
            </w:r>
            <w:r>
              <w:rPr>
                <w:rFonts w:hint="eastAsia" w:ascii="仿宋_GB2312" w:hAnsi="仿宋_GB2312" w:eastAsia="仿宋_GB2312" w:cs="仿宋_GB2312"/>
                <w:b/>
                <w:bCs/>
                <w:sz w:val="28"/>
                <w:szCs w:val="28"/>
                <w:lang w:val="en-US" w:eastAsia="zh-CN"/>
              </w:rPr>
              <w:t>（编号90至93）</w:t>
            </w:r>
          </w:p>
        </w:tc>
      </w:tr>
      <w:tr w14:paraId="43E0571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8655EC1">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03612D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w:t>
            </w:r>
          </w:p>
        </w:tc>
        <w:tc>
          <w:tcPr>
            <w:tcW w:w="7121" w:type="dxa"/>
            <w:tcBorders>
              <w:top w:val="single" w:color="auto" w:sz="4" w:space="0"/>
              <w:left w:val="nil"/>
              <w:bottom w:val="single" w:color="auto" w:sz="4" w:space="0"/>
              <w:right w:val="single" w:color="auto" w:sz="4" w:space="0"/>
            </w:tcBorders>
            <w:noWrap w:val="0"/>
            <w:vAlign w:val="center"/>
          </w:tcPr>
          <w:p w14:paraId="2AD7BF3B">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3.2.1</w:t>
            </w:r>
            <w:r>
              <w:rPr>
                <w:rFonts w:hint="default" w:ascii="仿宋_GB2312" w:hAnsi="仿宋_GB2312" w:eastAsia="仿宋_GB2312" w:cs="仿宋_GB2312"/>
                <w:kern w:val="2"/>
                <w:sz w:val="28"/>
                <w:szCs w:val="28"/>
                <w:lang w:val="en-US" w:eastAsia="zh-CN" w:bidi="ar-SA"/>
              </w:rPr>
              <w:t>响应时间</w:t>
            </w:r>
            <w:r>
              <w:rPr>
                <w:rFonts w:hint="eastAsia" w:ascii="仿宋_GB2312" w:hAnsi="仿宋_GB2312" w:eastAsia="仿宋_GB2312" w:cs="仿宋_GB2312"/>
                <w:kern w:val="2"/>
                <w:sz w:val="28"/>
                <w:szCs w:val="28"/>
                <w:lang w:val="en-US" w:eastAsia="zh-CN" w:bidi="ar-SA"/>
              </w:rPr>
              <w:t>:平台常规页面加载响应时间≤</w:t>
            </w:r>
            <w:r>
              <w:rPr>
                <w:rFonts w:hint="default"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eastAsia="zh-CN" w:bidi="ar-SA"/>
              </w:rPr>
              <w:t>秒，复杂查询与报表生成页面响应时间≤</w:t>
            </w:r>
            <w:r>
              <w:rPr>
                <w:rFonts w:hint="default"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kern w:val="2"/>
                <w:sz w:val="28"/>
                <w:szCs w:val="28"/>
                <w:lang w:val="en-US" w:eastAsia="zh-CN" w:bidi="ar-SA"/>
              </w:rPr>
              <w:t>秒；</w:t>
            </w:r>
            <w:r>
              <w:rPr>
                <w:rFonts w:hint="default" w:ascii="仿宋_GB2312" w:hAnsi="仿宋_GB2312" w:eastAsia="仿宋_GB2312" w:cs="仿宋_GB2312"/>
                <w:kern w:val="2"/>
                <w:sz w:val="28"/>
                <w:szCs w:val="28"/>
                <w:lang w:val="en-US" w:eastAsia="zh-CN" w:bidi="ar-SA"/>
              </w:rPr>
              <w:t>API</w:t>
            </w:r>
            <w:r>
              <w:rPr>
                <w:rFonts w:hint="eastAsia" w:ascii="仿宋_GB2312" w:hAnsi="仿宋_GB2312" w:eastAsia="仿宋_GB2312" w:cs="仿宋_GB2312"/>
                <w:kern w:val="2"/>
                <w:sz w:val="28"/>
                <w:szCs w:val="28"/>
                <w:lang w:val="en-US" w:eastAsia="zh-CN" w:bidi="ar-SA"/>
              </w:rPr>
              <w:t>接口响应时间≤</w:t>
            </w:r>
            <w:r>
              <w:rPr>
                <w:rFonts w:hint="default" w:ascii="仿宋_GB2312" w:hAnsi="仿宋_GB2312" w:eastAsia="仿宋_GB2312" w:cs="仿宋_GB2312"/>
                <w:kern w:val="2"/>
                <w:sz w:val="28"/>
                <w:szCs w:val="28"/>
                <w:lang w:val="en-US" w:eastAsia="zh-CN" w:bidi="ar-SA"/>
              </w:rPr>
              <w:t>500</w:t>
            </w:r>
            <w:r>
              <w:rPr>
                <w:rFonts w:hint="eastAsia" w:ascii="仿宋_GB2312" w:hAnsi="仿宋_GB2312" w:eastAsia="仿宋_GB2312" w:cs="仿宋_GB2312"/>
                <w:kern w:val="2"/>
                <w:sz w:val="28"/>
                <w:szCs w:val="28"/>
                <w:lang w:val="en-US" w:eastAsia="zh-CN" w:bidi="ar-SA"/>
              </w:rPr>
              <w:t>毫秒。</w:t>
            </w:r>
          </w:p>
        </w:tc>
      </w:tr>
      <w:tr w14:paraId="6CBDCC3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8B2CD41">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2EB884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91</w:t>
            </w:r>
          </w:p>
        </w:tc>
        <w:tc>
          <w:tcPr>
            <w:tcW w:w="7121" w:type="dxa"/>
            <w:tcBorders>
              <w:top w:val="single" w:color="auto" w:sz="4" w:space="0"/>
              <w:left w:val="nil"/>
              <w:bottom w:val="single" w:color="auto" w:sz="4" w:space="0"/>
              <w:right w:val="single" w:color="auto" w:sz="4" w:space="0"/>
            </w:tcBorders>
            <w:noWrap w:val="0"/>
            <w:vAlign w:val="center"/>
          </w:tcPr>
          <w:p w14:paraId="1973FAC4">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3.2.2</w:t>
            </w:r>
            <w:r>
              <w:rPr>
                <w:rFonts w:hint="default" w:ascii="仿宋_GB2312" w:hAnsi="仿宋_GB2312" w:eastAsia="仿宋_GB2312" w:cs="仿宋_GB2312"/>
                <w:kern w:val="2"/>
                <w:sz w:val="28"/>
                <w:szCs w:val="28"/>
                <w:lang w:val="en-US" w:eastAsia="zh-CN" w:bidi="ar-SA"/>
              </w:rPr>
              <w:t>并发能力</w:t>
            </w:r>
            <w:r>
              <w:rPr>
                <w:rFonts w:hint="eastAsia" w:ascii="仿宋_GB2312" w:hAnsi="仿宋_GB2312" w:eastAsia="仿宋_GB2312" w:cs="仿宋_GB2312"/>
                <w:kern w:val="2"/>
                <w:sz w:val="28"/>
                <w:szCs w:val="28"/>
                <w:lang w:val="en-US" w:eastAsia="zh-CN" w:bidi="ar-SA"/>
              </w:rPr>
              <w:t>:支持同时在线用户数≥</w:t>
            </w:r>
            <w:r>
              <w:rPr>
                <w:rFonts w:hint="default" w:ascii="仿宋_GB2312" w:hAnsi="仿宋_GB2312" w:eastAsia="仿宋_GB2312" w:cs="仿宋_GB2312"/>
                <w:kern w:val="2"/>
                <w:sz w:val="28"/>
                <w:szCs w:val="28"/>
                <w:lang w:val="en-US" w:eastAsia="zh-CN" w:bidi="ar-SA"/>
              </w:rPr>
              <w:t>400</w:t>
            </w:r>
            <w:r>
              <w:rPr>
                <w:rFonts w:hint="eastAsia" w:ascii="仿宋_GB2312" w:hAnsi="仿宋_GB2312" w:eastAsia="仿宋_GB2312" w:cs="仿宋_GB2312"/>
                <w:kern w:val="2"/>
                <w:sz w:val="28"/>
                <w:szCs w:val="28"/>
                <w:lang w:val="en-US" w:eastAsia="zh-CN" w:bidi="ar-SA"/>
              </w:rPr>
              <w:t>个，支持并发操作数≥</w:t>
            </w:r>
            <w:r>
              <w:rPr>
                <w:rFonts w:hint="default" w:ascii="仿宋_GB2312" w:hAnsi="仿宋_GB2312" w:eastAsia="仿宋_GB2312" w:cs="仿宋_GB2312"/>
                <w:kern w:val="2"/>
                <w:sz w:val="28"/>
                <w:szCs w:val="28"/>
                <w:lang w:val="en-US" w:eastAsia="zh-CN" w:bidi="ar-SA"/>
              </w:rPr>
              <w:t>80</w:t>
            </w:r>
            <w:r>
              <w:rPr>
                <w:rFonts w:hint="eastAsia" w:ascii="仿宋_GB2312" w:hAnsi="仿宋_GB2312" w:eastAsia="仿宋_GB2312" w:cs="仿宋_GB2312"/>
                <w:kern w:val="2"/>
                <w:sz w:val="28"/>
                <w:szCs w:val="28"/>
                <w:lang w:val="en-US" w:eastAsia="zh-CN" w:bidi="ar-SA"/>
              </w:rPr>
              <w:t>个，在高并发场景下平台运行稳定，无卡顿、无数据丢失。</w:t>
            </w:r>
          </w:p>
        </w:tc>
      </w:tr>
      <w:tr w14:paraId="3CE81F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C7E3029">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D4D287B">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92</w:t>
            </w:r>
          </w:p>
        </w:tc>
        <w:tc>
          <w:tcPr>
            <w:tcW w:w="7121" w:type="dxa"/>
            <w:tcBorders>
              <w:top w:val="single" w:color="auto" w:sz="4" w:space="0"/>
              <w:left w:val="nil"/>
              <w:bottom w:val="single" w:color="auto" w:sz="4" w:space="0"/>
              <w:right w:val="single" w:color="auto" w:sz="4" w:space="0"/>
            </w:tcBorders>
            <w:noWrap w:val="0"/>
            <w:vAlign w:val="center"/>
          </w:tcPr>
          <w:p w14:paraId="471ABFE4">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3.2.3</w:t>
            </w:r>
            <w:r>
              <w:rPr>
                <w:rFonts w:hint="default" w:ascii="仿宋_GB2312" w:hAnsi="仿宋_GB2312" w:eastAsia="仿宋_GB2312" w:cs="仿宋_GB2312"/>
                <w:kern w:val="2"/>
                <w:sz w:val="28"/>
                <w:szCs w:val="28"/>
                <w:lang w:val="en-US" w:eastAsia="zh-CN" w:bidi="ar-SA"/>
              </w:rPr>
              <w:t>数据处理能力</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支持单批次≥100万条质控数据的处理、分析、统计，处理时间≤30秒；支持≥30家实验室的实时数据同步，数据同步延迟≤1分钟。</w:t>
            </w:r>
          </w:p>
        </w:tc>
      </w:tr>
      <w:tr w14:paraId="7C4F284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5ED72D6">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8831349">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93</w:t>
            </w:r>
          </w:p>
        </w:tc>
        <w:tc>
          <w:tcPr>
            <w:tcW w:w="7121" w:type="dxa"/>
            <w:tcBorders>
              <w:top w:val="single" w:color="auto" w:sz="4" w:space="0"/>
              <w:left w:val="nil"/>
              <w:bottom w:val="single" w:color="auto" w:sz="4" w:space="0"/>
              <w:right w:val="single" w:color="auto" w:sz="4" w:space="0"/>
            </w:tcBorders>
            <w:noWrap w:val="0"/>
            <w:vAlign w:val="center"/>
          </w:tcPr>
          <w:p w14:paraId="6F252C7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3.2.4</w:t>
            </w:r>
            <w:r>
              <w:rPr>
                <w:rFonts w:hint="default" w:ascii="仿宋_GB2312" w:hAnsi="仿宋_GB2312" w:eastAsia="仿宋_GB2312" w:cs="仿宋_GB2312"/>
                <w:kern w:val="2"/>
                <w:sz w:val="28"/>
                <w:szCs w:val="28"/>
                <w:lang w:val="en-US" w:eastAsia="zh-CN" w:bidi="ar-SA"/>
              </w:rPr>
              <w:t>可用性要求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平台全年可用率≥99.9%，计划外停机时间全年≤8小时；故障恢复时间：一般故障≤30分钟，重大故障≤2小时。</w:t>
            </w:r>
          </w:p>
        </w:tc>
      </w:tr>
      <w:tr w14:paraId="0EAC0A1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F1F0DD6">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1AFB60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94</w:t>
            </w:r>
          </w:p>
        </w:tc>
        <w:tc>
          <w:tcPr>
            <w:tcW w:w="7121" w:type="dxa"/>
            <w:tcBorders>
              <w:top w:val="single" w:color="auto" w:sz="4" w:space="0"/>
              <w:left w:val="nil"/>
              <w:bottom w:val="single" w:color="auto" w:sz="4" w:space="0"/>
              <w:right w:val="single" w:color="auto" w:sz="4" w:space="0"/>
            </w:tcBorders>
            <w:noWrap w:val="0"/>
            <w:vAlign w:val="center"/>
          </w:tcPr>
          <w:p w14:paraId="797639EF">
            <w:pPr>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kern w:val="2"/>
                <w:sz w:val="28"/>
                <w:szCs w:val="28"/>
                <w:lang w:val="en-US" w:eastAsia="zh-CN" w:bidi="ar-SA"/>
              </w:rPr>
              <w:t>3.3 数据安全与等保要求</w:t>
            </w:r>
            <w:r>
              <w:rPr>
                <w:rFonts w:hint="eastAsia" w:ascii="仿宋_GB2312" w:hAnsi="仿宋_GB2312" w:eastAsia="仿宋_GB2312" w:cs="仿宋_GB2312"/>
                <w:b/>
                <w:bCs/>
                <w:sz w:val="28"/>
                <w:szCs w:val="28"/>
                <w:lang w:val="en-US" w:eastAsia="zh-CN"/>
              </w:rPr>
              <w:t>（编号95至100）</w:t>
            </w:r>
          </w:p>
        </w:tc>
      </w:tr>
      <w:tr w14:paraId="1E6EBB7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00498F3">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iCs w:val="0"/>
                <w:color w:val="000000"/>
                <w:kern w:val="0"/>
                <w:sz w:val="22"/>
                <w:szCs w:val="22"/>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5991FCC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95</w:t>
            </w:r>
          </w:p>
        </w:tc>
        <w:tc>
          <w:tcPr>
            <w:tcW w:w="7121" w:type="dxa"/>
            <w:tcBorders>
              <w:top w:val="single" w:color="auto" w:sz="4" w:space="0"/>
              <w:left w:val="nil"/>
              <w:bottom w:val="single" w:color="auto" w:sz="4" w:space="0"/>
              <w:right w:val="single" w:color="auto" w:sz="4" w:space="0"/>
            </w:tcBorders>
            <w:noWrap w:val="0"/>
            <w:vAlign w:val="center"/>
          </w:tcPr>
          <w:p w14:paraId="4769FBC2">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3.3.1</w:t>
            </w:r>
            <w:r>
              <w:rPr>
                <w:rFonts w:hint="default" w:ascii="仿宋_GB2312" w:hAnsi="仿宋_GB2312" w:eastAsia="仿宋_GB2312" w:cs="仿宋_GB2312"/>
                <w:kern w:val="2"/>
                <w:sz w:val="28"/>
                <w:szCs w:val="28"/>
                <w:lang w:val="en-US" w:eastAsia="zh-CN" w:bidi="ar-SA"/>
              </w:rPr>
              <w:t>等保合规要求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平台须符合《网络安全等级保护基本要求》（GB/T 22239-2019）三级以上安全要求，项目终验前须通过第三方等保2.0三级测评，并提供测评报告。</w:t>
            </w:r>
          </w:p>
        </w:tc>
      </w:tr>
      <w:tr w14:paraId="585E6B7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E5AB9DB">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438395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96</w:t>
            </w:r>
          </w:p>
        </w:tc>
        <w:tc>
          <w:tcPr>
            <w:tcW w:w="7121" w:type="dxa"/>
            <w:tcBorders>
              <w:top w:val="single" w:color="auto" w:sz="4" w:space="0"/>
              <w:left w:val="nil"/>
              <w:bottom w:val="single" w:color="auto" w:sz="4" w:space="0"/>
              <w:right w:val="single" w:color="auto" w:sz="4" w:space="0"/>
            </w:tcBorders>
            <w:noWrap w:val="0"/>
            <w:vAlign w:val="center"/>
          </w:tcPr>
          <w:p w14:paraId="42BC140F">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3.3.2</w:t>
            </w:r>
            <w:r>
              <w:rPr>
                <w:rFonts w:hint="default" w:ascii="仿宋_GB2312" w:hAnsi="仿宋_GB2312" w:eastAsia="仿宋_GB2312" w:cs="仿宋_GB2312"/>
                <w:kern w:val="2"/>
                <w:sz w:val="28"/>
                <w:szCs w:val="28"/>
                <w:lang w:val="en-US" w:eastAsia="zh-CN" w:bidi="ar-SA"/>
              </w:rPr>
              <w:t>数据脱敏与加密</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支持对患者隐私数据、实验室敏感数据的脱敏处理，包括姓名、身份证号、手机号、检测结果等敏感信息的脱敏；支持数据传输加密、存储加密，采用国密SM2/SM3/SM4算法，确保数据全生命周期安全。</w:t>
            </w:r>
          </w:p>
        </w:tc>
      </w:tr>
      <w:tr w14:paraId="0BDCB21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C3A789E">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A1A653F">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97</w:t>
            </w:r>
          </w:p>
        </w:tc>
        <w:tc>
          <w:tcPr>
            <w:tcW w:w="7121" w:type="dxa"/>
            <w:tcBorders>
              <w:top w:val="single" w:color="auto" w:sz="4" w:space="0"/>
              <w:left w:val="nil"/>
              <w:bottom w:val="single" w:color="auto" w:sz="4" w:space="0"/>
              <w:right w:val="single" w:color="auto" w:sz="4" w:space="0"/>
            </w:tcBorders>
            <w:noWrap w:val="0"/>
            <w:vAlign w:val="center"/>
          </w:tcPr>
          <w:p w14:paraId="7BD77587">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3.3.3</w:t>
            </w:r>
            <w:r>
              <w:rPr>
                <w:rFonts w:hint="default" w:ascii="仿宋_GB2312" w:hAnsi="仿宋_GB2312" w:eastAsia="仿宋_GB2312" w:cs="仿宋_GB2312"/>
                <w:kern w:val="2"/>
                <w:sz w:val="28"/>
                <w:szCs w:val="28"/>
                <w:lang w:val="en-US" w:eastAsia="zh-CN" w:bidi="ar-SA"/>
              </w:rPr>
              <w:t>身份认证与权限控制</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支持多因素身份认证，包括账号密码、短信验证码、Ukey、人脸识别等；支持最小权限原则，精细化的权限控制，确保不同用户仅能访问其权限范围内的功能与数据。</w:t>
            </w:r>
          </w:p>
        </w:tc>
      </w:tr>
      <w:tr w14:paraId="515BA55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255699E">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FC7D2C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98</w:t>
            </w:r>
          </w:p>
        </w:tc>
        <w:tc>
          <w:tcPr>
            <w:tcW w:w="7121" w:type="dxa"/>
            <w:tcBorders>
              <w:top w:val="single" w:color="auto" w:sz="4" w:space="0"/>
              <w:left w:val="nil"/>
              <w:bottom w:val="single" w:color="auto" w:sz="4" w:space="0"/>
              <w:right w:val="single" w:color="auto" w:sz="4" w:space="0"/>
            </w:tcBorders>
            <w:noWrap w:val="0"/>
            <w:vAlign w:val="center"/>
          </w:tcPr>
          <w:p w14:paraId="3F1426F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3.3.4</w:t>
            </w:r>
            <w:r>
              <w:rPr>
                <w:rFonts w:hint="default" w:ascii="仿宋_GB2312" w:hAnsi="仿宋_GB2312" w:eastAsia="仿宋_GB2312" w:cs="仿宋_GB2312"/>
                <w:kern w:val="2"/>
                <w:sz w:val="28"/>
                <w:szCs w:val="28"/>
                <w:lang w:val="en-US" w:eastAsia="zh-CN" w:bidi="ar-SA"/>
              </w:rPr>
              <w:t>安全审计与日志</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支持平台所有操作的全程日志记录，包括用户登录、数据访问、数据修改、配置变更、异常操作等，日志保存时间≥1年；支持日志的查询、筛选、导出、审计，确保所有操作可追溯。</w:t>
            </w:r>
          </w:p>
        </w:tc>
      </w:tr>
      <w:tr w14:paraId="77066D0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17B28C0">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E203696">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99</w:t>
            </w:r>
          </w:p>
        </w:tc>
        <w:tc>
          <w:tcPr>
            <w:tcW w:w="7121" w:type="dxa"/>
            <w:tcBorders>
              <w:top w:val="single" w:color="auto" w:sz="4" w:space="0"/>
              <w:left w:val="nil"/>
              <w:bottom w:val="single" w:color="auto" w:sz="4" w:space="0"/>
              <w:right w:val="single" w:color="auto" w:sz="4" w:space="0"/>
            </w:tcBorders>
            <w:noWrap w:val="0"/>
            <w:vAlign w:val="center"/>
          </w:tcPr>
          <w:p w14:paraId="5E42F24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3.3.5</w:t>
            </w:r>
            <w:r>
              <w:rPr>
                <w:rFonts w:hint="default" w:ascii="仿宋_GB2312" w:hAnsi="仿宋_GB2312" w:eastAsia="仿宋_GB2312" w:cs="仿宋_GB2312"/>
                <w:kern w:val="2"/>
                <w:sz w:val="28"/>
                <w:szCs w:val="28"/>
                <w:lang w:val="en-US" w:eastAsia="zh-CN" w:bidi="ar-SA"/>
              </w:rPr>
              <w:t>数据备份与灾备</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支持数据的自动备份，包括全量备份与增量备份，全量备份每周至少1次，增量备份每天至少1次；支持异地灾备，备份数据存储在异地独立机房，确保数据在极端情况下可恢复；支持数据恢复演练，每年至少1次。</w:t>
            </w:r>
          </w:p>
        </w:tc>
      </w:tr>
      <w:tr w14:paraId="31F5C8F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BC5B52B">
            <w:pPr>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6B9F8CB">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7121" w:type="dxa"/>
            <w:tcBorders>
              <w:top w:val="single" w:color="auto" w:sz="4" w:space="0"/>
              <w:left w:val="nil"/>
              <w:bottom w:val="single" w:color="auto" w:sz="4" w:space="0"/>
              <w:right w:val="single" w:color="auto" w:sz="4" w:space="0"/>
            </w:tcBorders>
            <w:noWrap w:val="0"/>
            <w:vAlign w:val="center"/>
          </w:tcPr>
          <w:p w14:paraId="51F0EC6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3.3.6</w:t>
            </w:r>
            <w:r>
              <w:rPr>
                <w:rFonts w:hint="default" w:ascii="仿宋_GB2312" w:hAnsi="仿宋_GB2312" w:eastAsia="仿宋_GB2312" w:cs="仿宋_GB2312"/>
                <w:kern w:val="2"/>
                <w:sz w:val="28"/>
                <w:szCs w:val="28"/>
                <w:lang w:val="en-US" w:eastAsia="zh-CN" w:bidi="ar-SA"/>
              </w:rPr>
              <w:t>安全防护</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支持防火墙、入侵检测、入侵防御、病毒防护、Web应用防护等安全防护能力；支持SQL注入、XSS跨站脚本、CSRF跨站请求伪造等常见Web攻击的防护；支持异常流量监控、攻击行为告警、自动阻断。</w:t>
            </w:r>
          </w:p>
        </w:tc>
      </w:tr>
      <w:tr w14:paraId="430242B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35DBFEF">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B9A41F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w:t>
            </w:r>
          </w:p>
        </w:tc>
        <w:tc>
          <w:tcPr>
            <w:tcW w:w="7121" w:type="dxa"/>
            <w:tcBorders>
              <w:top w:val="single" w:color="auto" w:sz="4" w:space="0"/>
              <w:left w:val="nil"/>
              <w:bottom w:val="single" w:color="auto" w:sz="4" w:space="0"/>
              <w:right w:val="single" w:color="auto" w:sz="4" w:space="0"/>
            </w:tcBorders>
            <w:noWrap w:val="0"/>
            <w:vAlign w:val="center"/>
          </w:tcPr>
          <w:p w14:paraId="6A4EEC6C">
            <w:pPr>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kern w:val="2"/>
                <w:sz w:val="28"/>
                <w:szCs w:val="28"/>
                <w:lang w:val="en-US" w:eastAsia="zh-CN" w:bidi="ar-SA"/>
              </w:rPr>
              <w:t>3.4 接口与兼容性要求</w:t>
            </w:r>
            <w:r>
              <w:rPr>
                <w:rFonts w:hint="eastAsia" w:ascii="仿宋_GB2312" w:hAnsi="仿宋_GB2312" w:eastAsia="仿宋_GB2312" w:cs="仿宋_GB2312"/>
                <w:b/>
                <w:bCs/>
                <w:sz w:val="28"/>
                <w:szCs w:val="28"/>
                <w:lang w:val="en-US" w:eastAsia="zh-CN"/>
              </w:rPr>
              <w:t>（编号102至106）</w:t>
            </w:r>
          </w:p>
        </w:tc>
      </w:tr>
      <w:tr w14:paraId="0F8A5D4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EA6712F">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988D684">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102</w:t>
            </w:r>
          </w:p>
        </w:tc>
        <w:tc>
          <w:tcPr>
            <w:tcW w:w="7121" w:type="dxa"/>
            <w:tcBorders>
              <w:top w:val="single" w:color="auto" w:sz="4" w:space="0"/>
              <w:left w:val="nil"/>
              <w:bottom w:val="single" w:color="auto" w:sz="4" w:space="0"/>
              <w:right w:val="single" w:color="auto" w:sz="4" w:space="0"/>
            </w:tcBorders>
            <w:noWrap w:val="0"/>
            <w:vAlign w:val="center"/>
          </w:tcPr>
          <w:p w14:paraId="2603F70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3.4.1</w:t>
            </w:r>
            <w:r>
              <w:rPr>
                <w:rFonts w:hint="default" w:ascii="仿宋_GB2312" w:hAnsi="仿宋_GB2312" w:eastAsia="仿宋_GB2312" w:cs="仿宋_GB2312"/>
                <w:kern w:val="2"/>
                <w:sz w:val="28"/>
                <w:szCs w:val="28"/>
                <w:lang w:val="en-US" w:eastAsia="zh-CN" w:bidi="ar-SA"/>
              </w:rPr>
              <w:t>LIS/HIS系统对接</w:t>
            </w:r>
            <w:r>
              <w:rPr>
                <w:rFonts w:hint="eastAsia" w:ascii="仿宋_GB2312" w:hAnsi="仿宋_GB2312" w:eastAsia="仿宋_GB2312" w:cs="仿宋_GB2312"/>
                <w:kern w:val="2"/>
                <w:sz w:val="28"/>
                <w:szCs w:val="28"/>
                <w:lang w:val="en-US" w:eastAsia="zh-CN" w:bidi="ar-SA"/>
              </w:rPr>
              <w:t>:支持与主流厂商的</w:t>
            </w:r>
            <w:r>
              <w:rPr>
                <w:rFonts w:hint="default" w:ascii="仿宋_GB2312" w:hAnsi="仿宋_GB2312" w:eastAsia="仿宋_GB2312" w:cs="仿宋_GB2312"/>
                <w:kern w:val="2"/>
                <w:sz w:val="28"/>
                <w:szCs w:val="28"/>
                <w:lang w:val="en-US" w:eastAsia="zh-CN" w:bidi="ar-SA"/>
              </w:rPr>
              <w:t>LIS</w:t>
            </w:r>
            <w:r>
              <w:rPr>
                <w:rFonts w:hint="eastAsia" w:ascii="仿宋_GB2312" w:hAnsi="仿宋_GB2312" w:eastAsia="仿宋_GB2312" w:cs="仿宋_GB2312"/>
                <w:kern w:val="2"/>
                <w:sz w:val="28"/>
                <w:szCs w:val="28"/>
                <w:lang w:val="en-US" w:eastAsia="zh-CN" w:bidi="ar-SA"/>
              </w:rPr>
              <w:t>系统、</w:t>
            </w:r>
            <w:r>
              <w:rPr>
                <w:rFonts w:hint="default" w:ascii="仿宋_GB2312" w:hAnsi="仿宋_GB2312" w:eastAsia="仿宋_GB2312" w:cs="仿宋_GB2312"/>
                <w:kern w:val="2"/>
                <w:sz w:val="28"/>
                <w:szCs w:val="28"/>
                <w:lang w:val="en-US" w:eastAsia="zh-CN" w:bidi="ar-SA"/>
              </w:rPr>
              <w:t>HIS</w:t>
            </w:r>
            <w:r>
              <w:rPr>
                <w:rFonts w:hint="eastAsia" w:ascii="仿宋_GB2312" w:hAnsi="仿宋_GB2312" w:eastAsia="仿宋_GB2312" w:cs="仿宋_GB2312"/>
                <w:kern w:val="2"/>
                <w:sz w:val="28"/>
                <w:szCs w:val="28"/>
                <w:lang w:val="en-US" w:eastAsia="zh-CN" w:bidi="ar-SA"/>
              </w:rPr>
              <w:t>系统、电子病历系统对接，实现检验数据、患者信息、科室信息、人员信息的自动化同步；提供标准化的</w:t>
            </w:r>
            <w:r>
              <w:rPr>
                <w:rFonts w:hint="default" w:ascii="仿宋_GB2312" w:hAnsi="仿宋_GB2312" w:eastAsia="仿宋_GB2312" w:cs="仿宋_GB2312"/>
                <w:kern w:val="2"/>
                <w:sz w:val="28"/>
                <w:szCs w:val="28"/>
                <w:lang w:val="en-US" w:eastAsia="zh-CN" w:bidi="ar-SA"/>
              </w:rPr>
              <w:t>API</w:t>
            </w:r>
            <w:r>
              <w:rPr>
                <w:rFonts w:hint="eastAsia" w:ascii="仿宋_GB2312" w:hAnsi="仿宋_GB2312" w:eastAsia="仿宋_GB2312" w:cs="仿宋_GB2312"/>
                <w:kern w:val="2"/>
                <w:sz w:val="28"/>
                <w:szCs w:val="28"/>
                <w:lang w:val="en-US" w:eastAsia="zh-CN" w:bidi="ar-SA"/>
              </w:rPr>
              <w:t>接口，支持</w:t>
            </w:r>
            <w:r>
              <w:rPr>
                <w:rFonts w:hint="default" w:ascii="仿宋_GB2312" w:hAnsi="仿宋_GB2312" w:eastAsia="仿宋_GB2312" w:cs="仿宋_GB2312"/>
                <w:kern w:val="2"/>
                <w:sz w:val="28"/>
                <w:szCs w:val="28"/>
                <w:lang w:val="en-US" w:eastAsia="zh-CN" w:bidi="ar-SA"/>
              </w:rPr>
              <w:t>WebService</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RESTful</w:t>
            </w:r>
            <w:r>
              <w:rPr>
                <w:rFonts w:hint="eastAsia" w:ascii="仿宋_GB2312" w:hAnsi="仿宋_GB2312" w:eastAsia="仿宋_GB2312" w:cs="仿宋_GB2312"/>
                <w:kern w:val="2"/>
                <w:sz w:val="28"/>
                <w:szCs w:val="28"/>
                <w:lang w:val="en-US" w:eastAsia="zh-CN" w:bidi="ar-SA"/>
              </w:rPr>
              <w:t>等接口协议，支持</w:t>
            </w:r>
            <w:r>
              <w:rPr>
                <w:rFonts w:hint="default" w:ascii="仿宋_GB2312" w:hAnsi="仿宋_GB2312" w:eastAsia="仿宋_GB2312" w:cs="仿宋_GB2312"/>
                <w:kern w:val="2"/>
                <w:sz w:val="28"/>
                <w:szCs w:val="28"/>
                <w:lang w:val="en-US" w:eastAsia="zh-CN" w:bidi="ar-SA"/>
              </w:rPr>
              <w:t>XML</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JSON</w:t>
            </w:r>
            <w:r>
              <w:rPr>
                <w:rFonts w:hint="eastAsia" w:ascii="仿宋_GB2312" w:hAnsi="仿宋_GB2312" w:eastAsia="仿宋_GB2312" w:cs="仿宋_GB2312"/>
                <w:kern w:val="2"/>
                <w:sz w:val="28"/>
                <w:szCs w:val="28"/>
                <w:lang w:val="en-US" w:eastAsia="zh-CN" w:bidi="ar-SA"/>
              </w:rPr>
              <w:t>数据格式。</w:t>
            </w:r>
          </w:p>
        </w:tc>
      </w:tr>
      <w:tr w14:paraId="30F431B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A9FE75B">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4570112">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103</w:t>
            </w:r>
          </w:p>
        </w:tc>
        <w:tc>
          <w:tcPr>
            <w:tcW w:w="7121" w:type="dxa"/>
            <w:tcBorders>
              <w:top w:val="single" w:color="auto" w:sz="4" w:space="0"/>
              <w:left w:val="nil"/>
              <w:bottom w:val="single" w:color="auto" w:sz="4" w:space="0"/>
              <w:right w:val="single" w:color="auto" w:sz="4" w:space="0"/>
            </w:tcBorders>
            <w:noWrap w:val="0"/>
            <w:vAlign w:val="center"/>
          </w:tcPr>
          <w:p w14:paraId="138E82E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3.4.2</w:t>
            </w:r>
            <w:r>
              <w:rPr>
                <w:rFonts w:hint="default" w:ascii="仿宋_GB2312" w:hAnsi="仿宋_GB2312" w:eastAsia="仿宋_GB2312" w:cs="仿宋_GB2312"/>
                <w:kern w:val="2"/>
                <w:sz w:val="28"/>
                <w:szCs w:val="28"/>
                <w:lang w:val="en-US" w:eastAsia="zh-CN" w:bidi="ar-SA"/>
              </w:rPr>
              <w:t>上级平台对接</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支持与省级、国家级临床检验质控平台对接，实现室间质评数据、质量指标数据、同质化管理数据的上报与同步；符合上级平台的接口规范与数据标准。</w:t>
            </w:r>
          </w:p>
        </w:tc>
      </w:tr>
      <w:tr w14:paraId="40A0542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DAF0C58">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4B028BB">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104</w:t>
            </w:r>
          </w:p>
        </w:tc>
        <w:tc>
          <w:tcPr>
            <w:tcW w:w="7121" w:type="dxa"/>
            <w:tcBorders>
              <w:top w:val="single" w:color="auto" w:sz="4" w:space="0"/>
              <w:left w:val="nil"/>
              <w:bottom w:val="single" w:color="auto" w:sz="4" w:space="0"/>
              <w:right w:val="single" w:color="auto" w:sz="4" w:space="0"/>
            </w:tcBorders>
            <w:noWrap w:val="0"/>
            <w:vAlign w:val="center"/>
          </w:tcPr>
          <w:p w14:paraId="60E0FAE5">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3.4.3</w:t>
            </w:r>
            <w:r>
              <w:rPr>
                <w:rFonts w:hint="default" w:ascii="仿宋_GB2312" w:hAnsi="仿宋_GB2312" w:eastAsia="仿宋_GB2312" w:cs="仿宋_GB2312"/>
                <w:kern w:val="2"/>
                <w:sz w:val="28"/>
                <w:szCs w:val="28"/>
                <w:lang w:val="en-US" w:eastAsia="zh-CN" w:bidi="ar-SA"/>
              </w:rPr>
              <w:t>第三方系统对接</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支持与短信平台、微信平台、邮件系统、视频会议系统、应急指挥系统等第三方系统对接，实现消息通知、移动端服务、远程协作、应急指挥等功能。</w:t>
            </w:r>
          </w:p>
        </w:tc>
      </w:tr>
      <w:tr w14:paraId="7A07806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B3A9BEA">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619AF5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105</w:t>
            </w:r>
          </w:p>
        </w:tc>
        <w:tc>
          <w:tcPr>
            <w:tcW w:w="7121" w:type="dxa"/>
            <w:tcBorders>
              <w:top w:val="single" w:color="auto" w:sz="4" w:space="0"/>
              <w:left w:val="nil"/>
              <w:bottom w:val="single" w:color="auto" w:sz="4" w:space="0"/>
              <w:right w:val="single" w:color="auto" w:sz="4" w:space="0"/>
            </w:tcBorders>
            <w:noWrap w:val="0"/>
            <w:vAlign w:val="center"/>
          </w:tcPr>
          <w:p w14:paraId="4F7E7A56">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3.4.4</w:t>
            </w:r>
            <w:r>
              <w:rPr>
                <w:rFonts w:hint="default" w:ascii="仿宋_GB2312" w:hAnsi="仿宋_GB2312" w:eastAsia="仿宋_GB2312" w:cs="仿宋_GB2312"/>
                <w:kern w:val="2"/>
                <w:sz w:val="28"/>
                <w:szCs w:val="28"/>
                <w:lang w:val="en-US" w:eastAsia="zh-CN" w:bidi="ar-SA"/>
              </w:rPr>
              <w:t>兼容性要求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支持Windows、Linux、Unix等主流服务器操作系统；支持MySQL、Oracle、SQL Server等主流数据库；支持主流浏览器（Chrome、Edge、Firefox、Safari），支持Windows、macOS、Android、iOS等终端操作系统。</w:t>
            </w:r>
          </w:p>
        </w:tc>
      </w:tr>
      <w:tr w14:paraId="50232BB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28DEB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227DEC0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106</w:t>
            </w:r>
          </w:p>
        </w:tc>
        <w:tc>
          <w:tcPr>
            <w:tcW w:w="7121" w:type="dxa"/>
            <w:tcBorders>
              <w:top w:val="single" w:color="auto" w:sz="4" w:space="0"/>
              <w:left w:val="nil"/>
              <w:bottom w:val="single" w:color="auto" w:sz="4" w:space="0"/>
              <w:right w:val="single" w:color="auto" w:sz="4" w:space="0"/>
            </w:tcBorders>
            <w:noWrap w:val="0"/>
            <w:vAlign w:val="center"/>
          </w:tcPr>
          <w:p w14:paraId="622608EE">
            <w:pPr>
              <w:keepNext w:val="0"/>
              <w:keepLines w:val="0"/>
              <w:widowControl/>
              <w:suppressLineNumbers w:val="0"/>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3.4.5接口费用:如建设过程中涉及接口费用，均由中标方承担（需提供承诺书）。</w:t>
            </w:r>
          </w:p>
        </w:tc>
      </w:tr>
      <w:tr w14:paraId="0F9078A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5213ED2">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46EFAE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107</w:t>
            </w:r>
          </w:p>
        </w:tc>
        <w:tc>
          <w:tcPr>
            <w:tcW w:w="7121" w:type="dxa"/>
            <w:tcBorders>
              <w:top w:val="single" w:color="auto" w:sz="4" w:space="0"/>
              <w:left w:val="nil"/>
              <w:bottom w:val="single" w:color="auto" w:sz="4" w:space="0"/>
              <w:right w:val="single" w:color="auto" w:sz="4" w:space="0"/>
            </w:tcBorders>
            <w:noWrap w:val="0"/>
            <w:vAlign w:val="center"/>
          </w:tcPr>
          <w:p w14:paraId="131C6D30">
            <w:pPr>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kern w:val="2"/>
                <w:sz w:val="28"/>
                <w:szCs w:val="28"/>
                <w:lang w:val="en-US" w:eastAsia="zh-CN" w:bidi="ar-SA"/>
              </w:rPr>
              <w:t>3.5 易用性与可扩展性要求</w:t>
            </w:r>
            <w:r>
              <w:rPr>
                <w:rFonts w:hint="eastAsia" w:ascii="仿宋_GB2312" w:hAnsi="仿宋_GB2312" w:eastAsia="仿宋_GB2312" w:cs="仿宋_GB2312"/>
                <w:b/>
                <w:bCs/>
                <w:sz w:val="28"/>
                <w:szCs w:val="28"/>
                <w:lang w:val="en-US" w:eastAsia="zh-CN"/>
              </w:rPr>
              <w:t>（编号108至110）</w:t>
            </w:r>
          </w:p>
        </w:tc>
      </w:tr>
      <w:tr w14:paraId="1C0811F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3B45427">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EA5956E">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108</w:t>
            </w:r>
          </w:p>
        </w:tc>
        <w:tc>
          <w:tcPr>
            <w:tcW w:w="7121" w:type="dxa"/>
            <w:tcBorders>
              <w:top w:val="single" w:color="auto" w:sz="4" w:space="0"/>
              <w:left w:val="nil"/>
              <w:bottom w:val="single" w:color="auto" w:sz="4" w:space="0"/>
              <w:right w:val="single" w:color="auto" w:sz="4" w:space="0"/>
            </w:tcBorders>
            <w:noWrap w:val="0"/>
            <w:vAlign w:val="center"/>
          </w:tcPr>
          <w:p w14:paraId="2034FAB5">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3.5.1</w:t>
            </w:r>
            <w:r>
              <w:rPr>
                <w:rFonts w:hint="default" w:ascii="仿宋_GB2312" w:hAnsi="仿宋_GB2312" w:eastAsia="仿宋_GB2312" w:cs="仿宋_GB2312"/>
                <w:kern w:val="2"/>
                <w:sz w:val="28"/>
                <w:szCs w:val="28"/>
                <w:lang w:val="en-US" w:eastAsia="zh-CN" w:bidi="ar-SA"/>
              </w:rPr>
              <w:t>易用性要求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平台界面设计简洁直观，操作流程符合医疗行业业务习惯，降低用户学习成本；提供完整的操作手册、帮助文档、视频教程，支持在线帮助、智能客服；支持界面自定义，用户可根据使用习惯配置首页展示内容、常用功能快捷方式。</w:t>
            </w:r>
          </w:p>
        </w:tc>
      </w:tr>
      <w:tr w14:paraId="46ECDD5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C2D6F52">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8FAE523">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109</w:t>
            </w:r>
          </w:p>
        </w:tc>
        <w:tc>
          <w:tcPr>
            <w:tcW w:w="7121" w:type="dxa"/>
            <w:tcBorders>
              <w:top w:val="single" w:color="auto" w:sz="4" w:space="0"/>
              <w:left w:val="nil"/>
              <w:bottom w:val="single" w:color="auto" w:sz="4" w:space="0"/>
              <w:right w:val="single" w:color="auto" w:sz="4" w:space="0"/>
            </w:tcBorders>
            <w:noWrap w:val="0"/>
            <w:vAlign w:val="center"/>
          </w:tcPr>
          <w:p w14:paraId="542E2082">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3.5.2</w:t>
            </w:r>
            <w:r>
              <w:rPr>
                <w:rFonts w:hint="default" w:ascii="仿宋_GB2312" w:hAnsi="仿宋_GB2312" w:eastAsia="仿宋_GB2312" w:cs="仿宋_GB2312"/>
                <w:kern w:val="2"/>
                <w:sz w:val="28"/>
                <w:szCs w:val="28"/>
                <w:lang w:val="en-US" w:eastAsia="zh-CN" w:bidi="ar-SA"/>
              </w:rPr>
              <w:t>可扩展性要求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平台采用模块化、组件化设计，各功能模块松耦合，支持功能模块的快速新增、修改、升级，不影响现有功能的正常运行；提供标准化的二次开发接口与SDK，支持用户根据业务需求进行二次开发；支持实验室接入数量、项目数量、用户数量的线性扩展，满足未来业务发展需求。</w:t>
            </w:r>
          </w:p>
        </w:tc>
      </w:tr>
      <w:tr w14:paraId="189914E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A59DC1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314432E">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110</w:t>
            </w:r>
          </w:p>
        </w:tc>
        <w:tc>
          <w:tcPr>
            <w:tcW w:w="7121" w:type="dxa"/>
            <w:tcBorders>
              <w:top w:val="single" w:color="auto" w:sz="4" w:space="0"/>
              <w:left w:val="nil"/>
              <w:bottom w:val="single" w:color="auto" w:sz="4" w:space="0"/>
              <w:right w:val="single" w:color="auto" w:sz="4" w:space="0"/>
            </w:tcBorders>
            <w:noWrap w:val="0"/>
            <w:vAlign w:val="center"/>
          </w:tcPr>
          <w:p w14:paraId="602D3A2A">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3.5.3</w:t>
            </w:r>
            <w:r>
              <w:rPr>
                <w:rFonts w:hint="default" w:ascii="仿宋_GB2312" w:hAnsi="仿宋_GB2312" w:eastAsia="仿宋_GB2312" w:cs="仿宋_GB2312"/>
                <w:kern w:val="2"/>
                <w:sz w:val="28"/>
                <w:szCs w:val="28"/>
                <w:lang w:val="en-US" w:eastAsia="zh-CN" w:bidi="ar-SA"/>
              </w:rPr>
              <w:t>合规性要求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平台须符合《医疗机构临床实验室管理办法》《临床实验室定量测定室内质量控制指南》（GB/T 20468-2006）《临床实验室室间质量评价要求》（GB/T 20470-2006）《医疗机构检验结果互认管理办法》等国家、行业相关法律法规、标准规范的要求。</w:t>
            </w:r>
          </w:p>
        </w:tc>
      </w:tr>
      <w:tr w14:paraId="2286543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EEA355C">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6592502">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111</w:t>
            </w:r>
          </w:p>
        </w:tc>
        <w:tc>
          <w:tcPr>
            <w:tcW w:w="7121" w:type="dxa"/>
            <w:tcBorders>
              <w:top w:val="single" w:color="auto" w:sz="4" w:space="0"/>
              <w:left w:val="nil"/>
              <w:bottom w:val="single" w:color="auto" w:sz="4" w:space="0"/>
              <w:right w:val="single" w:color="auto" w:sz="4" w:space="0"/>
            </w:tcBorders>
            <w:noWrap w:val="0"/>
            <w:vAlign w:val="center"/>
          </w:tcPr>
          <w:p w14:paraId="0EC106E5">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kern w:val="2"/>
                <w:sz w:val="28"/>
                <w:szCs w:val="28"/>
                <w:lang w:val="en-US" w:eastAsia="zh-CN" w:bidi="ar-SA"/>
              </w:rPr>
              <w:t>四、项目实施与服务要求</w:t>
            </w:r>
            <w:r>
              <w:rPr>
                <w:rFonts w:hint="eastAsia" w:ascii="仿宋_GB2312" w:hAnsi="仿宋_GB2312" w:eastAsia="仿宋_GB2312" w:cs="仿宋_GB2312"/>
                <w:b/>
                <w:bCs/>
                <w:sz w:val="28"/>
                <w:szCs w:val="28"/>
                <w:lang w:val="en-US" w:eastAsia="zh-CN"/>
              </w:rPr>
              <w:t>（编号112至125）</w:t>
            </w:r>
          </w:p>
        </w:tc>
      </w:tr>
      <w:tr w14:paraId="7314C39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4D733DC">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4F99E9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w:t>
            </w:r>
          </w:p>
        </w:tc>
        <w:tc>
          <w:tcPr>
            <w:tcW w:w="7121" w:type="dxa"/>
            <w:tcBorders>
              <w:top w:val="single" w:color="auto" w:sz="4" w:space="0"/>
              <w:left w:val="nil"/>
              <w:bottom w:val="single" w:color="auto" w:sz="4" w:space="0"/>
              <w:right w:val="single" w:color="auto" w:sz="4" w:space="0"/>
            </w:tcBorders>
            <w:noWrap w:val="0"/>
            <w:vAlign w:val="center"/>
          </w:tcPr>
          <w:p w14:paraId="0A665706">
            <w:pPr>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kern w:val="2"/>
                <w:sz w:val="28"/>
                <w:szCs w:val="28"/>
                <w:lang w:val="en-US" w:eastAsia="zh-CN" w:bidi="ar-SA"/>
              </w:rPr>
              <w:t xml:space="preserve">4.1 </w:t>
            </w:r>
            <w:r>
              <w:rPr>
                <w:rFonts w:hint="eastAsia" w:ascii="仿宋_GB2312" w:hAnsi="仿宋_GB2312" w:eastAsia="仿宋_GB2312" w:cs="仿宋_GB2312"/>
                <w:b/>
                <w:bCs/>
                <w:kern w:val="2"/>
                <w:sz w:val="28"/>
                <w:szCs w:val="28"/>
                <w:lang w:val="en-US" w:eastAsia="zh-CN" w:bidi="ar-SA"/>
              </w:rPr>
              <w:t>项目实施要求</w:t>
            </w:r>
            <w:r>
              <w:rPr>
                <w:rFonts w:hint="eastAsia" w:ascii="仿宋_GB2312" w:hAnsi="仿宋_GB2312" w:eastAsia="仿宋_GB2312" w:cs="仿宋_GB2312"/>
                <w:b/>
                <w:bCs/>
                <w:sz w:val="28"/>
                <w:szCs w:val="28"/>
                <w:lang w:val="en-US" w:eastAsia="zh-CN"/>
              </w:rPr>
              <w:t>（编号113至115）</w:t>
            </w:r>
          </w:p>
        </w:tc>
      </w:tr>
      <w:tr w14:paraId="013EF41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269CA43">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A06528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113</w:t>
            </w:r>
          </w:p>
        </w:tc>
        <w:tc>
          <w:tcPr>
            <w:tcW w:w="7121" w:type="dxa"/>
            <w:tcBorders>
              <w:top w:val="single" w:color="auto" w:sz="4" w:space="0"/>
              <w:left w:val="nil"/>
              <w:bottom w:val="single" w:color="auto" w:sz="4" w:space="0"/>
              <w:right w:val="single" w:color="auto" w:sz="4" w:space="0"/>
            </w:tcBorders>
            <w:noWrap w:val="0"/>
            <w:vAlign w:val="center"/>
          </w:tcPr>
          <w:p w14:paraId="4FE5938A">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4.1.1</w:t>
            </w:r>
            <w:r>
              <w:rPr>
                <w:rFonts w:hint="default" w:ascii="仿宋_GB2312" w:hAnsi="仿宋_GB2312" w:eastAsia="仿宋_GB2312" w:cs="仿宋_GB2312"/>
                <w:kern w:val="2"/>
                <w:sz w:val="28"/>
                <w:szCs w:val="28"/>
                <w:lang w:val="en-US" w:eastAsia="zh-CN" w:bidi="ar-SA"/>
              </w:rPr>
              <w:t>实施团队要求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投标人须配备专业的项目实施团队，包括项目经理、需求分析师、系统架构师、开发工程师、测试工程师、实施工程师、培训师等核心岗位人员；项目团队核心人员须具有同类项目实施经验，提供相关证明材料。</w:t>
            </w:r>
          </w:p>
        </w:tc>
      </w:tr>
      <w:tr w14:paraId="6EBE629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333B818">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D24B72A">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114</w:t>
            </w:r>
          </w:p>
        </w:tc>
        <w:tc>
          <w:tcPr>
            <w:tcW w:w="7121" w:type="dxa"/>
            <w:tcBorders>
              <w:top w:val="single" w:color="auto" w:sz="4" w:space="0"/>
              <w:left w:val="nil"/>
              <w:bottom w:val="single" w:color="auto" w:sz="4" w:space="0"/>
              <w:right w:val="single" w:color="auto" w:sz="4" w:space="0"/>
            </w:tcBorders>
            <w:noWrap w:val="0"/>
            <w:vAlign w:val="center"/>
          </w:tcPr>
          <w:p w14:paraId="793FF549">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4.1.2</w:t>
            </w:r>
            <w:r>
              <w:rPr>
                <w:rFonts w:hint="default" w:ascii="仿宋_GB2312" w:hAnsi="仿宋_GB2312" w:eastAsia="仿宋_GB2312" w:cs="仿宋_GB2312"/>
                <w:kern w:val="2"/>
                <w:sz w:val="28"/>
                <w:szCs w:val="28"/>
                <w:lang w:val="en-US" w:eastAsia="zh-CN" w:bidi="ar-SA"/>
              </w:rPr>
              <w:t>实施计划要求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投标人须制定详细的项目实施计划，包括需求调研、系统设计、开发部署、测试验收、上线试运行、培训交付等阶段的时间安排、里程碑节点、交付成果、责任人；项目实施计划须经甲方确认后执行。</w:t>
            </w:r>
          </w:p>
        </w:tc>
      </w:tr>
      <w:tr w14:paraId="2C5D4C0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F8F016F">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015DDE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115</w:t>
            </w:r>
          </w:p>
        </w:tc>
        <w:tc>
          <w:tcPr>
            <w:tcW w:w="7121" w:type="dxa"/>
            <w:tcBorders>
              <w:top w:val="single" w:color="auto" w:sz="4" w:space="0"/>
              <w:left w:val="nil"/>
              <w:bottom w:val="single" w:color="auto" w:sz="4" w:space="0"/>
              <w:right w:val="single" w:color="auto" w:sz="4" w:space="0"/>
            </w:tcBorders>
            <w:noWrap w:val="0"/>
            <w:vAlign w:val="center"/>
          </w:tcPr>
          <w:p w14:paraId="3330CABC">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4.1.3</w:t>
            </w:r>
            <w:r>
              <w:rPr>
                <w:rFonts w:hint="default" w:ascii="仿宋_GB2312" w:hAnsi="仿宋_GB2312" w:eastAsia="仿宋_GB2312" w:cs="仿宋_GB2312"/>
                <w:kern w:val="2"/>
                <w:sz w:val="28"/>
                <w:szCs w:val="28"/>
                <w:lang w:val="en-US" w:eastAsia="zh-CN" w:bidi="ar-SA"/>
              </w:rPr>
              <w:t>交付成果要求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项目终验时须交付完整的项目成果，包括但不限于：1. 平台软件安装包、部署包、源代码；2. 需求规格说明书、系统设计文档、数据库设计文档、测试计划、测试报告、操作手册、运维手册、应急处置预案；3. 项目实施计划、项目周报、项目验收报告；4. 培训课件、培训记录、考核结果；5. 第三方等保测评报告、安全测评报告。</w:t>
            </w:r>
          </w:p>
        </w:tc>
      </w:tr>
      <w:tr w14:paraId="05C0E5A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B2B6B53">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C67C93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116</w:t>
            </w:r>
          </w:p>
        </w:tc>
        <w:tc>
          <w:tcPr>
            <w:tcW w:w="7121" w:type="dxa"/>
            <w:tcBorders>
              <w:top w:val="single" w:color="auto" w:sz="4" w:space="0"/>
              <w:left w:val="nil"/>
              <w:bottom w:val="single" w:color="auto" w:sz="4" w:space="0"/>
              <w:right w:val="single" w:color="auto" w:sz="4" w:space="0"/>
            </w:tcBorders>
            <w:noWrap w:val="0"/>
            <w:vAlign w:val="center"/>
          </w:tcPr>
          <w:p w14:paraId="4E579A28">
            <w:pPr>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kern w:val="2"/>
                <w:sz w:val="28"/>
                <w:szCs w:val="28"/>
                <w:lang w:val="en-US" w:eastAsia="zh-CN" w:bidi="ar-SA"/>
              </w:rPr>
              <w:t>4.2 培训服务要求</w:t>
            </w:r>
            <w:r>
              <w:rPr>
                <w:rFonts w:hint="eastAsia" w:ascii="仿宋_GB2312" w:hAnsi="仿宋_GB2312" w:eastAsia="仿宋_GB2312" w:cs="仿宋_GB2312"/>
                <w:b/>
                <w:bCs/>
                <w:sz w:val="28"/>
                <w:szCs w:val="28"/>
                <w:lang w:val="en-US" w:eastAsia="zh-CN"/>
              </w:rPr>
              <w:t>（编号117至120）</w:t>
            </w:r>
          </w:p>
        </w:tc>
      </w:tr>
      <w:tr w14:paraId="20EB96F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3331F17">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87BE871">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117</w:t>
            </w:r>
          </w:p>
        </w:tc>
        <w:tc>
          <w:tcPr>
            <w:tcW w:w="7121" w:type="dxa"/>
            <w:tcBorders>
              <w:top w:val="single" w:color="auto" w:sz="4" w:space="0"/>
              <w:left w:val="nil"/>
              <w:bottom w:val="single" w:color="auto" w:sz="4" w:space="0"/>
              <w:right w:val="single" w:color="auto" w:sz="4" w:space="0"/>
            </w:tcBorders>
            <w:noWrap w:val="0"/>
            <w:vAlign w:val="center"/>
          </w:tcPr>
          <w:p w14:paraId="1339CF3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4.2.1</w:t>
            </w:r>
            <w:r>
              <w:rPr>
                <w:rFonts w:hint="default" w:ascii="仿宋_GB2312" w:hAnsi="仿宋_GB2312" w:eastAsia="仿宋_GB2312" w:cs="仿宋_GB2312"/>
                <w:kern w:val="2"/>
                <w:sz w:val="28"/>
                <w:szCs w:val="28"/>
                <w:lang w:val="en-US" w:eastAsia="zh-CN" w:bidi="ar-SA"/>
              </w:rPr>
              <w:t>培训对象</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培训对象包括甲方管理端操作人员、各实验室端操作人员、系统运维人员，确保所有使用人员都能熟练掌握平台的操作与使用。</w:t>
            </w:r>
          </w:p>
        </w:tc>
      </w:tr>
      <w:tr w14:paraId="25048CB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C03EC4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D7EF49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118</w:t>
            </w:r>
          </w:p>
        </w:tc>
        <w:tc>
          <w:tcPr>
            <w:tcW w:w="7121" w:type="dxa"/>
            <w:tcBorders>
              <w:top w:val="single" w:color="auto" w:sz="4" w:space="0"/>
              <w:left w:val="nil"/>
              <w:bottom w:val="single" w:color="auto" w:sz="4" w:space="0"/>
              <w:right w:val="single" w:color="auto" w:sz="4" w:space="0"/>
            </w:tcBorders>
            <w:noWrap w:val="0"/>
            <w:vAlign w:val="center"/>
          </w:tcPr>
          <w:p w14:paraId="59789E6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4.2.2</w:t>
            </w:r>
            <w:r>
              <w:rPr>
                <w:rFonts w:hint="default" w:ascii="仿宋_GB2312" w:hAnsi="仿宋_GB2312" w:eastAsia="仿宋_GB2312" w:cs="仿宋_GB2312"/>
                <w:kern w:val="2"/>
                <w:sz w:val="28"/>
                <w:szCs w:val="28"/>
                <w:lang w:val="en-US" w:eastAsia="zh-CN" w:bidi="ar-SA"/>
              </w:rPr>
              <w:t>培训内容</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培训内容包括但不限于：平台整体架构、功能模块介绍、操作流程、常见问题处理、系统运维、故障排查、应急处置等；针对不同培训对象制定个性化的培训课程。</w:t>
            </w:r>
          </w:p>
        </w:tc>
      </w:tr>
      <w:tr w14:paraId="4AC13B5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AC6D5D7">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41EEC642">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119</w:t>
            </w:r>
          </w:p>
        </w:tc>
        <w:tc>
          <w:tcPr>
            <w:tcW w:w="7121" w:type="dxa"/>
            <w:tcBorders>
              <w:top w:val="single" w:color="auto" w:sz="4" w:space="0"/>
              <w:left w:val="nil"/>
              <w:bottom w:val="single" w:color="auto" w:sz="4" w:space="0"/>
              <w:right w:val="single" w:color="auto" w:sz="4" w:space="0"/>
            </w:tcBorders>
            <w:noWrap w:val="0"/>
            <w:vAlign w:val="center"/>
          </w:tcPr>
          <w:p w14:paraId="4EC7B996">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4.2.3</w:t>
            </w:r>
            <w:r>
              <w:rPr>
                <w:rFonts w:hint="default" w:ascii="仿宋_GB2312" w:hAnsi="仿宋_GB2312" w:eastAsia="仿宋_GB2312" w:cs="仿宋_GB2312"/>
                <w:kern w:val="2"/>
                <w:sz w:val="28"/>
                <w:szCs w:val="28"/>
                <w:lang w:val="en-US" w:eastAsia="zh-CN" w:bidi="ar-SA"/>
              </w:rPr>
              <w:t>培训方式</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采用线上培训+线下培训相结合的方式，包括集中授课、现场实操、视频教学、在线答疑、一对一指导等；支持培训课件、视频教程的永久回放，方便用户随时学习。</w:t>
            </w:r>
          </w:p>
        </w:tc>
      </w:tr>
      <w:tr w14:paraId="62B522E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334E2B9">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088B2685">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w:t>
            </w:r>
          </w:p>
        </w:tc>
        <w:tc>
          <w:tcPr>
            <w:tcW w:w="7121" w:type="dxa"/>
            <w:tcBorders>
              <w:top w:val="single" w:color="auto" w:sz="4" w:space="0"/>
              <w:left w:val="nil"/>
              <w:bottom w:val="single" w:color="auto" w:sz="4" w:space="0"/>
              <w:right w:val="single" w:color="auto" w:sz="4" w:space="0"/>
            </w:tcBorders>
            <w:noWrap w:val="0"/>
            <w:vAlign w:val="center"/>
          </w:tcPr>
          <w:p w14:paraId="3B926A7B">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4.2.4</w:t>
            </w:r>
            <w:r>
              <w:rPr>
                <w:rFonts w:hint="default" w:ascii="仿宋_GB2312" w:hAnsi="仿宋_GB2312" w:eastAsia="仿宋_GB2312" w:cs="仿宋_GB2312"/>
                <w:kern w:val="2"/>
                <w:sz w:val="28"/>
                <w:szCs w:val="28"/>
                <w:lang w:val="en-US" w:eastAsia="zh-CN" w:bidi="ar-SA"/>
              </w:rPr>
              <w:t>培训考核</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培训完成后须对培训对象进行考核，考核分为理论考试与实操考试，考核通过率须达到100%；考核不通过的人员须进行二次培训，直至考核通过。</w:t>
            </w:r>
          </w:p>
        </w:tc>
      </w:tr>
      <w:tr w14:paraId="7AAD90F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C1217BD">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3D54625D">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121</w:t>
            </w:r>
          </w:p>
        </w:tc>
        <w:tc>
          <w:tcPr>
            <w:tcW w:w="7121" w:type="dxa"/>
            <w:tcBorders>
              <w:top w:val="single" w:color="auto" w:sz="4" w:space="0"/>
              <w:left w:val="nil"/>
              <w:bottom w:val="single" w:color="auto" w:sz="4" w:space="0"/>
              <w:right w:val="single" w:color="auto" w:sz="4" w:space="0"/>
            </w:tcBorders>
            <w:noWrap w:val="0"/>
            <w:vAlign w:val="center"/>
          </w:tcPr>
          <w:p w14:paraId="5AD74898">
            <w:pPr>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kern w:val="2"/>
                <w:sz w:val="28"/>
                <w:szCs w:val="28"/>
                <w:lang w:val="en-US" w:eastAsia="zh-CN" w:bidi="ar-SA"/>
              </w:rPr>
              <w:t>4.3 售后服务与运维要求</w:t>
            </w:r>
            <w:r>
              <w:rPr>
                <w:rFonts w:hint="eastAsia" w:ascii="仿宋_GB2312" w:hAnsi="仿宋_GB2312" w:eastAsia="仿宋_GB2312" w:cs="仿宋_GB2312"/>
                <w:b/>
                <w:bCs/>
                <w:sz w:val="28"/>
                <w:szCs w:val="28"/>
                <w:lang w:val="en-US" w:eastAsia="zh-CN"/>
              </w:rPr>
              <w:t>（编号122至125）</w:t>
            </w:r>
          </w:p>
        </w:tc>
      </w:tr>
      <w:tr w14:paraId="67C2E50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DB130CE">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B0E0077">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122</w:t>
            </w:r>
          </w:p>
        </w:tc>
        <w:tc>
          <w:tcPr>
            <w:tcW w:w="7121" w:type="dxa"/>
            <w:tcBorders>
              <w:top w:val="single" w:color="auto" w:sz="4" w:space="0"/>
              <w:left w:val="nil"/>
              <w:bottom w:val="single" w:color="auto" w:sz="4" w:space="0"/>
              <w:right w:val="single" w:color="auto" w:sz="4" w:space="0"/>
            </w:tcBorders>
            <w:noWrap w:val="0"/>
            <w:vAlign w:val="center"/>
          </w:tcPr>
          <w:p w14:paraId="2485A26A">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4.3.1</w:t>
            </w:r>
            <w:r>
              <w:rPr>
                <w:rFonts w:hint="default" w:ascii="仿宋_GB2312" w:hAnsi="仿宋_GB2312" w:eastAsia="仿宋_GB2312" w:cs="仿宋_GB2312"/>
                <w:kern w:val="2"/>
                <w:sz w:val="28"/>
                <w:szCs w:val="28"/>
                <w:lang w:val="en-US" w:eastAsia="zh-CN" w:bidi="ar-SA"/>
              </w:rPr>
              <w:t>质保期要求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项目终验合格后，提供不少于1年的免费质保期，质保期内提供7×24小时免费技术支持服务，包括系统维护、故障排查、bug修复、功能优化、数据备份等服务。</w:t>
            </w:r>
          </w:p>
        </w:tc>
      </w:tr>
      <w:tr w14:paraId="4017808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8C3E681">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B1033D2">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123</w:t>
            </w:r>
          </w:p>
        </w:tc>
        <w:tc>
          <w:tcPr>
            <w:tcW w:w="7121" w:type="dxa"/>
            <w:tcBorders>
              <w:top w:val="single" w:color="auto" w:sz="4" w:space="0"/>
              <w:left w:val="nil"/>
              <w:bottom w:val="single" w:color="auto" w:sz="4" w:space="0"/>
              <w:right w:val="single" w:color="auto" w:sz="4" w:space="0"/>
            </w:tcBorders>
            <w:noWrap w:val="0"/>
            <w:vAlign w:val="center"/>
          </w:tcPr>
          <w:p w14:paraId="13AAD4C6">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4.3.2</w:t>
            </w:r>
            <w:r>
              <w:rPr>
                <w:rFonts w:hint="default" w:ascii="仿宋_GB2312" w:hAnsi="仿宋_GB2312" w:eastAsia="仿宋_GB2312" w:cs="仿宋_GB2312"/>
                <w:kern w:val="2"/>
                <w:sz w:val="28"/>
                <w:szCs w:val="28"/>
                <w:lang w:val="en-US" w:eastAsia="zh-CN" w:bidi="ar-SA"/>
              </w:rPr>
              <w:t>故障响应要求</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提供7×24小时技术支持热线、远程技术支持服务；故障响应时间：一般故障≤30分钟响应，2小时内解决；重大故障≤15分钟响应，4小时内解决；现场服务要求：远程无法解决的故障，24小时内到达现场处理。</w:t>
            </w:r>
          </w:p>
        </w:tc>
      </w:tr>
      <w:tr w14:paraId="53AE66F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B5920C4">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08C87B3">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124</w:t>
            </w:r>
          </w:p>
        </w:tc>
        <w:tc>
          <w:tcPr>
            <w:tcW w:w="7121" w:type="dxa"/>
            <w:tcBorders>
              <w:top w:val="single" w:color="auto" w:sz="4" w:space="0"/>
              <w:left w:val="nil"/>
              <w:bottom w:val="single" w:color="auto" w:sz="4" w:space="0"/>
              <w:right w:val="single" w:color="auto" w:sz="4" w:space="0"/>
            </w:tcBorders>
            <w:noWrap w:val="0"/>
            <w:vAlign w:val="center"/>
          </w:tcPr>
          <w:p w14:paraId="0CAD622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4.3.3</w:t>
            </w:r>
            <w:r>
              <w:rPr>
                <w:rFonts w:hint="default" w:ascii="仿宋_GB2312" w:hAnsi="仿宋_GB2312" w:eastAsia="仿宋_GB2312" w:cs="仿宋_GB2312"/>
                <w:kern w:val="2"/>
                <w:sz w:val="28"/>
                <w:szCs w:val="28"/>
                <w:lang w:val="en-US" w:eastAsia="zh-CN" w:bidi="ar-SA"/>
              </w:rPr>
              <w:t>运维服务内容</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质保期内提供以下运维服务：1. 定期巡检：每月至少1次系统巡检，包括服务器、数据库、应用系统、网络设备的运行状态检查，出具巡检报告；2. 数据备份：按照备份策略定期执行数据备份，确保备份数据可用；3. 系统优化：根据系统运行情况与用户需求，进行系统性能优化、功能优化；4. 版本升级：提供平台的版本升级服务，包括功能升级、安全补丁升级；5. 技术咨询：提供7×24小时技术咨询服务，解答用户使用过程中的问题。</w:t>
            </w:r>
          </w:p>
        </w:tc>
      </w:tr>
      <w:tr w14:paraId="4640545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27B99B1">
            <w:pPr>
              <w:widowControl/>
              <w:jc w:val="center"/>
              <w:rPr>
                <w:rFonts w:hint="eastAsia" w:ascii="仿宋_GB2312" w:hAnsi="仿宋_GB2312" w:eastAsia="仿宋_GB2312" w:cs="仿宋_GB2312"/>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60C4430">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125</w:t>
            </w:r>
          </w:p>
        </w:tc>
        <w:tc>
          <w:tcPr>
            <w:tcW w:w="7121" w:type="dxa"/>
            <w:tcBorders>
              <w:top w:val="single" w:color="auto" w:sz="4" w:space="0"/>
              <w:left w:val="nil"/>
              <w:bottom w:val="single" w:color="auto" w:sz="4" w:space="0"/>
              <w:right w:val="single" w:color="auto" w:sz="4" w:space="0"/>
            </w:tcBorders>
            <w:noWrap w:val="0"/>
            <w:vAlign w:val="center"/>
          </w:tcPr>
          <w:p w14:paraId="5A9C3637">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4.3.4</w:t>
            </w:r>
            <w:r>
              <w:rPr>
                <w:rFonts w:hint="default" w:ascii="仿宋_GB2312" w:hAnsi="仿宋_GB2312" w:eastAsia="仿宋_GB2312" w:cs="仿宋_GB2312"/>
                <w:kern w:val="2"/>
                <w:sz w:val="28"/>
                <w:szCs w:val="28"/>
                <w:lang w:val="en-US" w:eastAsia="zh-CN" w:bidi="ar-SA"/>
              </w:rPr>
              <w:t>质保期后服务</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质保期届满后，投标人须提供长期的技术支持服务，提供明确的服务方案与收费标准，确保平台的长期稳定运行；优先响应甲方的服务需求，提供与质保期内同等质量的技术支持服务。</w:t>
            </w:r>
          </w:p>
        </w:tc>
      </w:tr>
      <w:tr w14:paraId="6D50291B">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noWrap w:val="0"/>
            <w:vAlign w:val="center"/>
          </w:tcPr>
          <w:p w14:paraId="1BBD722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注：1.“参数性质”标“★”表示此参数为主要技术参数，任意一条不满足或负偏离则导致响应无效；</w:t>
            </w:r>
          </w:p>
        </w:tc>
      </w:tr>
    </w:tbl>
    <w:p w14:paraId="4B78E5C9">
      <w:pPr>
        <w:numPr>
          <w:numId w:val="0"/>
        </w:numPr>
        <w:spacing w:line="360" w:lineRule="auto"/>
        <w:ind w:left="420" w:leftChars="0"/>
        <w:jc w:val="left"/>
        <w:rPr>
          <w:rFonts w:hint="eastAsia" w:ascii="仿宋_GB2312" w:hAnsi="仿宋_GB2312" w:eastAsia="仿宋_GB2312" w:cs="仿宋_GB2312"/>
          <w:sz w:val="32"/>
          <w:szCs w:val="32"/>
          <w:lang w:val="en-US" w:eastAsia="zh-CN"/>
        </w:rPr>
      </w:pPr>
    </w:p>
    <w:p w14:paraId="59B4A102">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（三）综合评审表</w:t>
      </w:r>
    </w:p>
    <w:tbl>
      <w:tblPr>
        <w:tblStyle w:val="11"/>
        <w:tblpPr w:leftFromText="180" w:rightFromText="180" w:vertAnchor="text" w:horzAnchor="margin" w:tblpX="-456" w:tblpY="10"/>
        <w:tblW w:w="9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00"/>
        <w:gridCol w:w="5976"/>
        <w:gridCol w:w="1056"/>
      </w:tblGrid>
      <w:tr w14:paraId="6A37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01" w:type="dxa"/>
            <w:gridSpan w:val="2"/>
            <w:vAlign w:val="center"/>
          </w:tcPr>
          <w:p w14:paraId="3B2AF1D8">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评审因素</w:t>
            </w:r>
          </w:p>
        </w:tc>
        <w:tc>
          <w:tcPr>
            <w:tcW w:w="5976" w:type="dxa"/>
            <w:vAlign w:val="center"/>
          </w:tcPr>
          <w:p w14:paraId="798CC18F">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评分标准</w:t>
            </w:r>
          </w:p>
        </w:tc>
        <w:tc>
          <w:tcPr>
            <w:tcW w:w="1056" w:type="dxa"/>
            <w:vAlign w:val="center"/>
          </w:tcPr>
          <w:p w14:paraId="27EA7FD7">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满分</w:t>
            </w:r>
          </w:p>
        </w:tc>
      </w:tr>
      <w:tr w14:paraId="086F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01" w:type="dxa"/>
            <w:vAlign w:val="center"/>
          </w:tcPr>
          <w:p w14:paraId="6D9A1CBE">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价格部分（30分）</w:t>
            </w:r>
          </w:p>
        </w:tc>
        <w:tc>
          <w:tcPr>
            <w:tcW w:w="1300" w:type="dxa"/>
            <w:vAlign w:val="center"/>
          </w:tcPr>
          <w:p w14:paraId="4C4D91D2">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价格得分</w:t>
            </w:r>
          </w:p>
        </w:tc>
        <w:tc>
          <w:tcPr>
            <w:tcW w:w="5976" w:type="dxa"/>
            <w:vAlign w:val="center"/>
          </w:tcPr>
          <w:p w14:paraId="56DFF53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投标人报价得分＝（评标基准价/投标报价）×30</w:t>
            </w:r>
          </w:p>
          <w:p w14:paraId="4E8AD2EE">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p>
        </w:tc>
        <w:tc>
          <w:tcPr>
            <w:tcW w:w="1056" w:type="dxa"/>
            <w:vAlign w:val="center"/>
          </w:tcPr>
          <w:p w14:paraId="3ECAE2E8">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30分</w:t>
            </w:r>
          </w:p>
        </w:tc>
      </w:tr>
      <w:tr w14:paraId="3393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01" w:type="dxa"/>
            <w:vMerge w:val="restart"/>
            <w:vAlign w:val="center"/>
          </w:tcPr>
          <w:p w14:paraId="3F762043">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技术部分</w:t>
            </w:r>
          </w:p>
          <w:p w14:paraId="31C092DE">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（54分）</w:t>
            </w:r>
          </w:p>
        </w:tc>
        <w:tc>
          <w:tcPr>
            <w:tcW w:w="1300" w:type="dxa"/>
            <w:vAlign w:val="center"/>
          </w:tcPr>
          <w:p w14:paraId="425F509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技术参数响应</w:t>
            </w:r>
          </w:p>
          <w:p w14:paraId="7541CF0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p>
        </w:tc>
        <w:tc>
          <w:tcPr>
            <w:tcW w:w="5976" w:type="dxa"/>
            <w:vAlign w:val="center"/>
          </w:tcPr>
          <w:p w14:paraId="79CD5D8F">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所有标“▲”项一般技术参数指标完全响应招标文件要求的得24分，每有一项不满足或负偏离扣2分，分值扣完为止。（共计12项）。</w:t>
            </w:r>
          </w:p>
        </w:tc>
        <w:tc>
          <w:tcPr>
            <w:tcW w:w="1056" w:type="dxa"/>
            <w:vAlign w:val="center"/>
          </w:tcPr>
          <w:p w14:paraId="568B283D">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24分</w:t>
            </w:r>
          </w:p>
        </w:tc>
      </w:tr>
      <w:tr w14:paraId="28C3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01" w:type="dxa"/>
            <w:vMerge w:val="continue"/>
            <w:vAlign w:val="center"/>
          </w:tcPr>
          <w:p w14:paraId="4137554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p>
        </w:tc>
        <w:tc>
          <w:tcPr>
            <w:tcW w:w="1300" w:type="dxa"/>
            <w:vAlign w:val="center"/>
          </w:tcPr>
          <w:p w14:paraId="02CE6F04">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项目整体方案</w:t>
            </w:r>
          </w:p>
        </w:tc>
        <w:tc>
          <w:tcPr>
            <w:tcW w:w="5976" w:type="dxa"/>
            <w:vAlign w:val="center"/>
          </w:tcPr>
          <w:p w14:paraId="163D2993">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投标人需提供项目整体方案，包括但不限于项目现状、项目建设目标、项目建设原则、建设内容、总体框架及整体规划等内容。</w:t>
            </w:r>
          </w:p>
          <w:p w14:paraId="7C182AB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提供方案者得基础分7分。</w:t>
            </w:r>
          </w:p>
          <w:p w14:paraId="308C342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额外加分标准：</w:t>
            </w:r>
          </w:p>
          <w:p w14:paraId="1F91793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（1）方案内容合理、全面且详细、专业可行，得3分；</w:t>
            </w:r>
          </w:p>
          <w:p w14:paraId="7FF21F5B">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（2）方案内容相对完整，基本满足项目要求，得2分；</w:t>
            </w:r>
          </w:p>
          <w:p w14:paraId="61033FE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（3）方案内容存在缺项，不能全部满足项目要求，得1分; </w:t>
            </w:r>
          </w:p>
          <w:p w14:paraId="3230E12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（4）不提供，不得分。</w:t>
            </w:r>
          </w:p>
        </w:tc>
        <w:tc>
          <w:tcPr>
            <w:tcW w:w="1056" w:type="dxa"/>
            <w:vAlign w:val="center"/>
          </w:tcPr>
          <w:p w14:paraId="1B3704E5">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10分</w:t>
            </w:r>
          </w:p>
        </w:tc>
      </w:tr>
      <w:tr w14:paraId="6C45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01" w:type="dxa"/>
            <w:vMerge w:val="continue"/>
            <w:vAlign w:val="center"/>
          </w:tcPr>
          <w:p w14:paraId="12FDABA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p>
        </w:tc>
        <w:tc>
          <w:tcPr>
            <w:tcW w:w="1300" w:type="dxa"/>
            <w:vAlign w:val="center"/>
          </w:tcPr>
          <w:p w14:paraId="50BF67F4">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项目实施及管理方案</w:t>
            </w:r>
          </w:p>
        </w:tc>
        <w:tc>
          <w:tcPr>
            <w:tcW w:w="5976" w:type="dxa"/>
            <w:vAlign w:val="center"/>
          </w:tcPr>
          <w:p w14:paraId="620FDF8F">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投标人需提供项目实施方案，包含但不限于实施思路、人员分工、实施计划、实施步骤、风险控制、上线方案、验收方案、质量保障方案等内容。提供方案者得基础分7分。</w:t>
            </w:r>
          </w:p>
          <w:p w14:paraId="3B62F008">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额外加分标准： </w:t>
            </w:r>
          </w:p>
          <w:p w14:paraId="12F8B096">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（1）方案内容合理全面，能完全满足或优于项目要求，得3分；</w:t>
            </w:r>
          </w:p>
          <w:p w14:paraId="22547E3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（2）方案相对完整，基本满足项目要求，得2分；</w:t>
            </w:r>
          </w:p>
          <w:p w14:paraId="474008E6">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（3）方案存在缺项，不能全部满足项目要求，得1分; </w:t>
            </w:r>
          </w:p>
          <w:p w14:paraId="4597D857">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（4）不提供，不得分。</w:t>
            </w:r>
          </w:p>
        </w:tc>
        <w:tc>
          <w:tcPr>
            <w:tcW w:w="1056" w:type="dxa"/>
            <w:vAlign w:val="center"/>
          </w:tcPr>
          <w:p w14:paraId="3D966D4F">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10分</w:t>
            </w:r>
          </w:p>
        </w:tc>
      </w:tr>
      <w:tr w14:paraId="5E56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01" w:type="dxa"/>
            <w:vMerge w:val="continue"/>
            <w:vAlign w:val="center"/>
          </w:tcPr>
          <w:p w14:paraId="74CFDCE2">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p>
        </w:tc>
        <w:tc>
          <w:tcPr>
            <w:tcW w:w="1300" w:type="dxa"/>
            <w:vAlign w:val="center"/>
          </w:tcPr>
          <w:p w14:paraId="20077E8C">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售后服务能力</w:t>
            </w:r>
          </w:p>
        </w:tc>
        <w:tc>
          <w:tcPr>
            <w:tcW w:w="5976" w:type="dxa"/>
            <w:vAlign w:val="center"/>
          </w:tcPr>
          <w:p w14:paraId="4536FD08">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投标人需提供售后服务保障方案，包含但不限于：1.服务范围；2.服务保证；3.人员配备；4.保障措施；5.服务体系；6.维修响应时效等内容。提供方案者得基础分7分。</w:t>
            </w:r>
          </w:p>
          <w:p w14:paraId="6F513E89">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额外加分标准：</w:t>
            </w:r>
          </w:p>
          <w:p w14:paraId="1864190A">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（1）方案内容合理符合采购需求，全面且详细、专业可行，得3分；</w:t>
            </w:r>
          </w:p>
          <w:p w14:paraId="7FCBB2B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（2）方案相对完整，基本满足项目要求，得2分；</w:t>
            </w:r>
          </w:p>
          <w:p w14:paraId="39C18A7F">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（3）方案存在缺项，不能全部满足项目要求，得1分; </w:t>
            </w:r>
          </w:p>
          <w:p w14:paraId="72F66763">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（4）不提供，不得分。</w:t>
            </w:r>
          </w:p>
        </w:tc>
        <w:tc>
          <w:tcPr>
            <w:tcW w:w="1056" w:type="dxa"/>
            <w:vAlign w:val="center"/>
          </w:tcPr>
          <w:p w14:paraId="2FA6CDDE">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10分</w:t>
            </w:r>
          </w:p>
        </w:tc>
      </w:tr>
      <w:tr w14:paraId="16C4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rPr>
        <w:tc>
          <w:tcPr>
            <w:tcW w:w="1101" w:type="dxa"/>
            <w:vMerge w:val="restart"/>
            <w:vAlign w:val="center"/>
          </w:tcPr>
          <w:p w14:paraId="245F236A">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商务部分（16分）</w:t>
            </w:r>
          </w:p>
        </w:tc>
        <w:tc>
          <w:tcPr>
            <w:tcW w:w="1300" w:type="dxa"/>
            <w:vAlign w:val="center"/>
          </w:tcPr>
          <w:p w14:paraId="6FDC1A19">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投标人同类项目业绩案例</w:t>
            </w:r>
          </w:p>
        </w:tc>
        <w:tc>
          <w:tcPr>
            <w:tcW w:w="5976" w:type="dxa"/>
            <w:vAlign w:val="center"/>
          </w:tcPr>
          <w:p w14:paraId="371B444E">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投标人需提供2023年6月1日至今</w:t>
            </w:r>
            <w:r>
              <w:rPr>
                <w:rFonts w:hint="default" w:ascii="仿宋_GB2312" w:hAnsi="仿宋_GB2312" w:eastAsia="仿宋_GB2312" w:cs="仿宋_GB2312"/>
                <w:kern w:val="2"/>
                <w:sz w:val="28"/>
                <w:szCs w:val="28"/>
                <w:lang w:val="en-US" w:eastAsia="zh-CN" w:bidi="ar-SA"/>
              </w:rPr>
              <w:t>同类医疗检验质控平台项目</w:t>
            </w:r>
            <w:r>
              <w:rPr>
                <w:rFonts w:hint="eastAsia" w:ascii="仿宋_GB2312" w:hAnsi="仿宋_GB2312" w:eastAsia="仿宋_GB2312" w:cs="仿宋_GB2312"/>
                <w:kern w:val="2"/>
                <w:sz w:val="28"/>
                <w:szCs w:val="28"/>
                <w:lang w:val="en-US" w:eastAsia="zh-CN" w:bidi="ar-SA"/>
              </w:rPr>
              <w:t>业绩证明材料，每提供一份真实有效业绩证明材料得3分，本项最高得9分。</w:t>
            </w:r>
          </w:p>
          <w:p w14:paraId="16FDE926">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注：(上述业绩均需提供业绩合同扫描件和中标通知书扫描件，并加盖投标人单位公章， 日期以合同签订时间为准，同一业主的续签合同视为1份业绩不重复计算。)</w:t>
            </w:r>
          </w:p>
        </w:tc>
        <w:tc>
          <w:tcPr>
            <w:tcW w:w="1056" w:type="dxa"/>
            <w:vAlign w:val="center"/>
          </w:tcPr>
          <w:p w14:paraId="5A2F3AE2">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9分</w:t>
            </w:r>
          </w:p>
        </w:tc>
      </w:tr>
      <w:tr w14:paraId="0654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01" w:type="dxa"/>
            <w:vMerge w:val="continue"/>
            <w:vAlign w:val="center"/>
          </w:tcPr>
          <w:p w14:paraId="75B73F42">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p>
        </w:tc>
        <w:tc>
          <w:tcPr>
            <w:tcW w:w="1300" w:type="dxa"/>
            <w:vAlign w:val="center"/>
          </w:tcPr>
          <w:p w14:paraId="58383BC1">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实施团队</w:t>
            </w:r>
          </w:p>
        </w:tc>
        <w:tc>
          <w:tcPr>
            <w:tcW w:w="5976" w:type="dxa"/>
            <w:vAlign w:val="center"/>
          </w:tcPr>
          <w:p w14:paraId="6086F319">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项目经理：具有5年(含)以上同类或类似项目建设经验且主导过3个以上医疗机构医学检验同质化平台项目建设经验(需提供项目验收报告或客户证明材料)；项目实施期间项目经理不得随意更换且须全程驻采购人要求地点实施（需提供承诺函并加盖投标人单位公章）。上述2项同时提供得3分，提供不全或不提供的不得分。</w:t>
            </w:r>
          </w:p>
          <w:p w14:paraId="08EA6FFD">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2.项目成员(除项目经理外至少2人）：应具有3年(含)以上 同类或类似项目建设经验，参与2个以上医疗机构医学检验同质化平台项目的实施经验，项目实施期间项目组成员须驻场实施。（需提供项目组成员工作证明材料和 驻场实施承诺函并加盖投标人单位公章），提供得2分，提供不全或不提供的不得分。</w:t>
            </w:r>
          </w:p>
        </w:tc>
        <w:tc>
          <w:tcPr>
            <w:tcW w:w="1056" w:type="dxa"/>
            <w:vAlign w:val="center"/>
          </w:tcPr>
          <w:p w14:paraId="1103CCE0">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p>
        </w:tc>
      </w:tr>
      <w:tr w14:paraId="7C2E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01" w:type="dxa"/>
            <w:vMerge w:val="continue"/>
            <w:vAlign w:val="center"/>
          </w:tcPr>
          <w:p w14:paraId="397AC78F">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p>
        </w:tc>
        <w:tc>
          <w:tcPr>
            <w:tcW w:w="1300" w:type="dxa"/>
            <w:vAlign w:val="center"/>
          </w:tcPr>
          <w:p w14:paraId="7D378CD9">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培训服务</w:t>
            </w:r>
          </w:p>
        </w:tc>
        <w:tc>
          <w:tcPr>
            <w:tcW w:w="5976" w:type="dxa"/>
            <w:vAlign w:val="center"/>
          </w:tcPr>
          <w:p w14:paraId="3604D6A5">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针对医院操作人员提供免费实操培训、常态化答疑指导，配套培训手册、操作教程。提供系统培训方案者得2分，提供不全或不提供的不得分。</w:t>
            </w:r>
          </w:p>
        </w:tc>
        <w:tc>
          <w:tcPr>
            <w:tcW w:w="1056" w:type="dxa"/>
            <w:vAlign w:val="center"/>
          </w:tcPr>
          <w:p w14:paraId="3C0FDFA7">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w:t>
            </w:r>
          </w:p>
        </w:tc>
      </w:tr>
      <w:tr w14:paraId="4D7B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377" w:type="dxa"/>
            <w:gridSpan w:val="3"/>
            <w:vAlign w:val="center"/>
          </w:tcPr>
          <w:p w14:paraId="613AB320">
            <w:pPr>
              <w:keepNext w:val="0"/>
              <w:keepLines w:val="0"/>
              <w:widowControl/>
              <w:suppressLineNumbers w:val="0"/>
              <w:jc w:val="lef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合  计</w:t>
            </w:r>
          </w:p>
        </w:tc>
        <w:tc>
          <w:tcPr>
            <w:tcW w:w="1056" w:type="dxa"/>
            <w:vAlign w:val="center"/>
          </w:tcPr>
          <w:p w14:paraId="23F6C8A4">
            <w:pPr>
              <w:keepNext w:val="0"/>
              <w:keepLines w:val="0"/>
              <w:widowControl/>
              <w:suppressLineNumbers w:val="0"/>
              <w:jc w:val="left"/>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100分</w:t>
            </w:r>
          </w:p>
        </w:tc>
      </w:tr>
    </w:tbl>
    <w:p w14:paraId="7C10575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ACC37A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7779E0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85BF5E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11D243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C91407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BAEA39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E3F949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57D40C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966CD5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CEB517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54D486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FD275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A2B8FE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综合评审各项要求</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E83B75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F0670D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74F9BC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综合评审各项要求</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69522"/>
    <w:multiLevelType w:val="singleLevel"/>
    <w:tmpl w:val="AA869522"/>
    <w:lvl w:ilvl="0" w:tentative="0">
      <w:start w:val="1"/>
      <w:numFmt w:val="chineseCounting"/>
      <w:suff w:val="nothing"/>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43B5E7C1"/>
    <w:multiLevelType w:val="singleLevel"/>
    <w:tmpl w:val="43B5E7C1"/>
    <w:lvl w:ilvl="0" w:tentative="0">
      <w:start w:val="14"/>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abstractNum w:abstractNumId="5">
    <w:nsid w:val="6AA9C9E5"/>
    <w:multiLevelType w:val="singleLevel"/>
    <w:tmpl w:val="6AA9C9E5"/>
    <w:lvl w:ilvl="0" w:tentative="0">
      <w:start w:val="2"/>
      <w:numFmt w:val="chineseCounting"/>
      <w:suff w:val="nothing"/>
      <w:lvlText w:val="%1、"/>
      <w:lvlJc w:val="left"/>
      <w:rPr>
        <w:rFonts w:hint="eastAsia"/>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5D233AD"/>
    <w:rsid w:val="4603606C"/>
    <w:rsid w:val="469A594D"/>
    <w:rsid w:val="47C04769"/>
    <w:rsid w:val="486160DA"/>
    <w:rsid w:val="489F057B"/>
    <w:rsid w:val="4A686022"/>
    <w:rsid w:val="4ABC14C5"/>
    <w:rsid w:val="4AED3729"/>
    <w:rsid w:val="4C422DF2"/>
    <w:rsid w:val="4E4525D3"/>
    <w:rsid w:val="4E473895"/>
    <w:rsid w:val="4FAE4949"/>
    <w:rsid w:val="4FAE723C"/>
    <w:rsid w:val="4FB4704D"/>
    <w:rsid w:val="4FB664D2"/>
    <w:rsid w:val="50110E80"/>
    <w:rsid w:val="511070DA"/>
    <w:rsid w:val="525F3507"/>
    <w:rsid w:val="5277467D"/>
    <w:rsid w:val="53560822"/>
    <w:rsid w:val="557D67C8"/>
    <w:rsid w:val="56153F97"/>
    <w:rsid w:val="56866800"/>
    <w:rsid w:val="56F95FA8"/>
    <w:rsid w:val="571E5CB6"/>
    <w:rsid w:val="576C6B11"/>
    <w:rsid w:val="57863DB7"/>
    <w:rsid w:val="58156ACB"/>
    <w:rsid w:val="584F16D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paragraph" w:customStyle="1" w:styleId="26">
    <w:name w:val="表格文字"/>
    <w:basedOn w:val="27"/>
    <w:qFormat/>
    <w:uiPriority w:val="0"/>
    <w:pPr>
      <w:widowControl w:val="0"/>
      <w:spacing w:before="50" w:beforeLines="50" w:after="50" w:afterLines="50" w:line="580" w:lineRule="exact"/>
      <w:ind w:firstLine="200" w:firstLineChars="200"/>
      <w:jc w:val="center"/>
    </w:pPr>
    <w:rPr>
      <w:rFonts w:ascii="Arial" w:hAnsi="Arial" w:eastAsia="宋体" w:cs="宋体"/>
      <w:kern w:val="2"/>
      <w:sz w:val="28"/>
      <w:szCs w:val="21"/>
      <w:lang w:val="en-US" w:eastAsia="zh-CN" w:bidi="ar-SA"/>
    </w:rPr>
  </w:style>
  <w:style w:type="paragraph" w:customStyle="1" w:styleId="27">
    <w:name w:val="方案正文"/>
    <w:qFormat/>
    <w:uiPriority w:val="0"/>
    <w:pPr>
      <w:widowControl w:val="0"/>
      <w:spacing w:before="50" w:beforeLines="50" w:after="50" w:afterLines="50" w:line="580" w:lineRule="exact"/>
      <w:ind w:firstLine="200" w:firstLineChars="200"/>
      <w:jc w:val="both"/>
    </w:pPr>
    <w:rPr>
      <w:rFonts w:eastAsia="仿宋" w:cs="宋体" w:asciiTheme="minorHAnsi" w:hAnsiTheme="minorHAnsi"/>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6548</Words>
  <Characters>7274</Characters>
  <Lines>0</Lines>
  <Paragraphs>0</Paragraphs>
  <TotalTime>2</TotalTime>
  <ScaleCrop>false</ScaleCrop>
  <LinksUpToDate>false</LinksUpToDate>
  <CharactersWithSpaces>7628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2026-06-18T09:01:02Z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21606349331B4BEAB2ECAAB6121CE9C2_13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