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DC0214">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富士内镜维修服务项目（二次）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2026年6月24日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1" w:name="_GoBack"/>
      <w:bookmarkEnd w:id="1"/>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3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4758"/>
        <w:gridCol w:w="1245"/>
        <w:gridCol w:w="930"/>
        <w:gridCol w:w="1617"/>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60" w:type="dxa"/>
            <w:vAlign w:val="center"/>
          </w:tcPr>
          <w:p w14:paraId="0238D87F">
            <w:pPr>
              <w:rPr>
                <w:rFonts w:hint="eastAsia" w:ascii="宋体" w:hAnsi="宋体" w:eastAsia="宋体" w:cs="宋体"/>
                <w:sz w:val="28"/>
                <w:szCs w:val="28"/>
              </w:rPr>
            </w:pPr>
            <w:r>
              <w:rPr>
                <w:rFonts w:hint="eastAsia" w:ascii="宋体" w:hAnsi="宋体" w:eastAsia="宋体" w:cs="宋体"/>
                <w:sz w:val="28"/>
                <w:szCs w:val="28"/>
              </w:rPr>
              <w:t>序号</w:t>
            </w:r>
          </w:p>
        </w:tc>
        <w:tc>
          <w:tcPr>
            <w:tcW w:w="4758" w:type="dxa"/>
            <w:vAlign w:val="center"/>
          </w:tcPr>
          <w:p w14:paraId="3E37CC33">
            <w:pPr>
              <w:rPr>
                <w:rFonts w:hint="eastAsia" w:ascii="宋体" w:hAnsi="宋体" w:eastAsia="宋体" w:cs="宋体"/>
                <w:sz w:val="28"/>
                <w:szCs w:val="28"/>
              </w:rPr>
            </w:pPr>
            <w:r>
              <w:rPr>
                <w:rFonts w:hint="eastAsia" w:ascii="宋体" w:hAnsi="宋体" w:eastAsia="宋体" w:cs="宋体"/>
                <w:sz w:val="28"/>
                <w:szCs w:val="28"/>
              </w:rPr>
              <w:t>名称</w:t>
            </w:r>
          </w:p>
        </w:tc>
        <w:tc>
          <w:tcPr>
            <w:tcW w:w="1245" w:type="dxa"/>
            <w:vAlign w:val="center"/>
          </w:tcPr>
          <w:p w14:paraId="07310B12">
            <w:pPr>
              <w:ind w:firstLine="280" w:firstLineChars="100"/>
              <w:rPr>
                <w:rFonts w:hint="eastAsia" w:ascii="宋体" w:hAnsi="宋体" w:eastAsia="宋体" w:cs="宋体"/>
                <w:sz w:val="28"/>
                <w:szCs w:val="28"/>
              </w:rPr>
            </w:pPr>
            <w:r>
              <w:rPr>
                <w:rFonts w:hint="eastAsia" w:ascii="宋体" w:hAnsi="宋体" w:eastAsia="宋体" w:cs="宋体"/>
                <w:sz w:val="28"/>
                <w:szCs w:val="28"/>
              </w:rPr>
              <w:t>单位</w:t>
            </w:r>
          </w:p>
        </w:tc>
        <w:tc>
          <w:tcPr>
            <w:tcW w:w="930" w:type="dxa"/>
            <w:vAlign w:val="center"/>
          </w:tcPr>
          <w:p w14:paraId="20208E75">
            <w:pPr>
              <w:rPr>
                <w:rFonts w:hint="eastAsia" w:ascii="宋体" w:hAnsi="宋体" w:eastAsia="宋体" w:cs="宋体"/>
                <w:sz w:val="28"/>
                <w:szCs w:val="28"/>
              </w:rPr>
            </w:pPr>
            <w:r>
              <w:rPr>
                <w:rFonts w:hint="eastAsia" w:ascii="宋体" w:hAnsi="宋体" w:eastAsia="宋体" w:cs="宋体"/>
                <w:sz w:val="28"/>
                <w:szCs w:val="28"/>
              </w:rPr>
              <w:t>数量</w:t>
            </w:r>
          </w:p>
        </w:tc>
        <w:tc>
          <w:tcPr>
            <w:tcW w:w="1617" w:type="dxa"/>
            <w:vAlign w:val="center"/>
          </w:tcPr>
          <w:p w14:paraId="14356791">
            <w:pPr>
              <w:ind w:firstLine="280" w:firstLineChars="100"/>
              <w:rPr>
                <w:rFonts w:hint="eastAsia" w:ascii="宋体" w:hAnsi="宋体" w:eastAsia="宋体" w:cs="宋体"/>
                <w:sz w:val="28"/>
                <w:szCs w:val="28"/>
              </w:rPr>
            </w:pPr>
            <w:r>
              <w:rPr>
                <w:rFonts w:hint="eastAsia" w:ascii="宋体" w:hAnsi="宋体" w:eastAsia="宋体" w:cs="宋体"/>
                <w:sz w:val="28"/>
                <w:szCs w:val="28"/>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5CA23FD8">
            <w:pPr>
              <w:rPr>
                <w:rFonts w:hint="eastAsia" w:ascii="宋体" w:hAnsi="宋体" w:eastAsia="宋体" w:cs="宋体"/>
                <w:sz w:val="28"/>
                <w:szCs w:val="28"/>
              </w:rPr>
            </w:pPr>
            <w:r>
              <w:rPr>
                <w:rFonts w:hint="eastAsia" w:ascii="宋体" w:hAnsi="宋体" w:eastAsia="宋体" w:cs="宋体"/>
                <w:sz w:val="28"/>
                <w:szCs w:val="28"/>
              </w:rPr>
              <w:t>1</w:t>
            </w:r>
          </w:p>
        </w:tc>
        <w:tc>
          <w:tcPr>
            <w:tcW w:w="4758" w:type="dxa"/>
            <w:vAlign w:val="center"/>
          </w:tcPr>
          <w:p w14:paraId="76F16622">
            <w:pPr>
              <w:pStyle w:val="14"/>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富士肠镜维修，型号：EC-601WM,序列号：</w:t>
            </w:r>
            <w:r>
              <w:rPr>
                <w:rFonts w:hint="eastAsia" w:ascii="宋体" w:hAnsi="宋体" w:eastAsia="宋体" w:cs="宋体"/>
                <w:sz w:val="28"/>
                <w:szCs w:val="28"/>
              </w:rPr>
              <w:t>3C719G558</w:t>
            </w:r>
          </w:p>
        </w:tc>
        <w:tc>
          <w:tcPr>
            <w:tcW w:w="1245" w:type="dxa"/>
            <w:vAlign w:val="center"/>
          </w:tcPr>
          <w:p w14:paraId="569A970B">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条</w:t>
            </w:r>
          </w:p>
        </w:tc>
        <w:tc>
          <w:tcPr>
            <w:tcW w:w="930" w:type="dxa"/>
            <w:vAlign w:val="center"/>
          </w:tcPr>
          <w:p w14:paraId="535899AF">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1</w:t>
            </w:r>
          </w:p>
        </w:tc>
        <w:tc>
          <w:tcPr>
            <w:tcW w:w="1617" w:type="dxa"/>
            <w:vAlign w:val="center"/>
          </w:tcPr>
          <w:p w14:paraId="1D45D755">
            <w:pPr>
              <w:widowControl/>
              <w:jc w:val="center"/>
              <w:textAlignment w:val="center"/>
              <w:rPr>
                <w:rFonts w:hint="eastAsia" w:ascii="宋体" w:hAnsi="宋体" w:eastAsia="宋体" w:cs="宋体"/>
                <w:sz w:val="28"/>
                <w:szCs w:val="28"/>
                <w:lang w:val="en-US"/>
              </w:rPr>
            </w:pPr>
            <w:r>
              <w:rPr>
                <w:rFonts w:hint="eastAsia" w:ascii="宋体" w:hAnsi="宋体" w:eastAsia="宋体" w:cs="宋体"/>
                <w:kern w:val="0"/>
                <w:sz w:val="28"/>
                <w:szCs w:val="28"/>
                <w:lang w:val="en-US" w:eastAsia="zh-CN"/>
              </w:rPr>
              <w:t>64298元</w:t>
            </w:r>
          </w:p>
        </w:tc>
      </w:tr>
      <w:tr w14:paraId="33A5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2F2BBBED">
            <w:pPr>
              <w:rPr>
                <w:rFonts w:hint="eastAsia" w:ascii="宋体" w:hAnsi="宋体" w:eastAsia="宋体" w:cs="宋体"/>
                <w:sz w:val="28"/>
                <w:szCs w:val="28"/>
              </w:rPr>
            </w:pPr>
          </w:p>
        </w:tc>
        <w:tc>
          <w:tcPr>
            <w:tcW w:w="4758" w:type="dxa"/>
            <w:vAlign w:val="center"/>
          </w:tcPr>
          <w:p w14:paraId="26A0BCB6">
            <w:pPr>
              <w:pStyle w:val="14"/>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富士胃镜维修，型号：EG-601WR,序列号：3G400G714</w:t>
            </w:r>
          </w:p>
        </w:tc>
        <w:tc>
          <w:tcPr>
            <w:tcW w:w="1245" w:type="dxa"/>
            <w:vAlign w:val="center"/>
          </w:tcPr>
          <w:p w14:paraId="330E41EF">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条</w:t>
            </w:r>
          </w:p>
        </w:tc>
        <w:tc>
          <w:tcPr>
            <w:tcW w:w="930" w:type="dxa"/>
            <w:vAlign w:val="center"/>
          </w:tcPr>
          <w:p w14:paraId="657A91C6">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1</w:t>
            </w:r>
          </w:p>
        </w:tc>
        <w:tc>
          <w:tcPr>
            <w:tcW w:w="1617" w:type="dxa"/>
            <w:vAlign w:val="center"/>
          </w:tcPr>
          <w:p w14:paraId="69032285">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49671元</w:t>
            </w:r>
          </w:p>
        </w:tc>
      </w:tr>
      <w:tr w14:paraId="4C8F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7F90B10D">
            <w:pPr>
              <w:rPr>
                <w:rFonts w:hint="eastAsia" w:ascii="宋体" w:hAnsi="宋体" w:eastAsia="宋体" w:cs="宋体"/>
                <w:sz w:val="28"/>
                <w:szCs w:val="28"/>
              </w:rPr>
            </w:pPr>
          </w:p>
        </w:tc>
        <w:tc>
          <w:tcPr>
            <w:tcW w:w="4758" w:type="dxa"/>
            <w:vAlign w:val="center"/>
          </w:tcPr>
          <w:p w14:paraId="7F1EC7BE">
            <w:pPr>
              <w:pStyle w:val="14"/>
              <w:numPr>
                <w:ilvl w:val="0"/>
                <w:numId w:val="0"/>
              </w:num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富士胃镜维修，型号：EG-601WR,序列号：3G400G713</w:t>
            </w:r>
          </w:p>
        </w:tc>
        <w:tc>
          <w:tcPr>
            <w:tcW w:w="1245" w:type="dxa"/>
            <w:vAlign w:val="center"/>
          </w:tcPr>
          <w:p w14:paraId="6484708F">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条</w:t>
            </w:r>
          </w:p>
        </w:tc>
        <w:tc>
          <w:tcPr>
            <w:tcW w:w="930" w:type="dxa"/>
            <w:vAlign w:val="center"/>
          </w:tcPr>
          <w:p w14:paraId="2A970FF1">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1</w:t>
            </w:r>
          </w:p>
        </w:tc>
        <w:tc>
          <w:tcPr>
            <w:tcW w:w="1617" w:type="dxa"/>
            <w:vAlign w:val="center"/>
          </w:tcPr>
          <w:p w14:paraId="694F50DC">
            <w:pPr>
              <w:widowControl/>
              <w:jc w:val="center"/>
              <w:textAlignment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46031元</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60" w:type="dxa"/>
            <w:vAlign w:val="center"/>
          </w:tcPr>
          <w:p w14:paraId="0A84D814">
            <w:pPr>
              <w:rPr>
                <w:rFonts w:hint="eastAsia" w:ascii="宋体" w:hAnsi="宋体" w:eastAsia="宋体" w:cs="宋体"/>
                <w:sz w:val="28"/>
                <w:szCs w:val="28"/>
              </w:rPr>
            </w:pPr>
          </w:p>
        </w:tc>
        <w:tc>
          <w:tcPr>
            <w:tcW w:w="6933" w:type="dxa"/>
            <w:gridSpan w:val="3"/>
            <w:vAlign w:val="center"/>
          </w:tcPr>
          <w:p w14:paraId="1341120E">
            <w:pPr>
              <w:ind w:firstLine="2800" w:firstLineChars="10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预算总价合计</w:t>
            </w:r>
          </w:p>
        </w:tc>
        <w:tc>
          <w:tcPr>
            <w:tcW w:w="1617" w:type="dxa"/>
            <w:vAlign w:val="center"/>
          </w:tcPr>
          <w:p w14:paraId="1CE8AE64">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60" w:type="dxa"/>
            <w:vAlign w:val="center"/>
          </w:tcPr>
          <w:p w14:paraId="4B1E9148">
            <w:pPr>
              <w:rPr>
                <w:rFonts w:hint="eastAsia" w:ascii="宋体" w:hAnsi="宋体" w:eastAsia="宋体" w:cs="宋体"/>
                <w:sz w:val="28"/>
                <w:szCs w:val="28"/>
              </w:rPr>
            </w:pPr>
            <w:r>
              <w:rPr>
                <w:rFonts w:hint="eastAsia" w:ascii="宋体" w:hAnsi="宋体" w:eastAsia="宋体" w:cs="宋体"/>
                <w:sz w:val="28"/>
                <w:szCs w:val="28"/>
              </w:rPr>
              <w:t>2</w:t>
            </w:r>
          </w:p>
        </w:tc>
        <w:tc>
          <w:tcPr>
            <w:tcW w:w="4758" w:type="dxa"/>
            <w:vAlign w:val="center"/>
          </w:tcPr>
          <w:p w14:paraId="2228440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付款条件</w:t>
            </w:r>
          </w:p>
        </w:tc>
        <w:tc>
          <w:tcPr>
            <w:tcW w:w="3792" w:type="dxa"/>
            <w:gridSpan w:val="3"/>
            <w:vAlign w:val="center"/>
          </w:tcPr>
          <w:p w14:paraId="7217420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验收合格后付全款</w:t>
            </w:r>
          </w:p>
        </w:tc>
      </w:tr>
      <w:tr w14:paraId="09E76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7BFB6E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4758" w:type="dxa"/>
            <w:vAlign w:val="center"/>
          </w:tcPr>
          <w:p w14:paraId="70C9E5C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入场服务时间</w:t>
            </w:r>
          </w:p>
        </w:tc>
        <w:tc>
          <w:tcPr>
            <w:tcW w:w="3792" w:type="dxa"/>
            <w:gridSpan w:val="3"/>
            <w:vAlign w:val="center"/>
          </w:tcPr>
          <w:p w14:paraId="51D9774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合同签订后5日内</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7D59EAD9">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4758" w:type="dxa"/>
            <w:vAlign w:val="center"/>
          </w:tcPr>
          <w:p w14:paraId="01AB15D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w:t>
            </w:r>
          </w:p>
        </w:tc>
        <w:tc>
          <w:tcPr>
            <w:tcW w:w="3792" w:type="dxa"/>
            <w:gridSpan w:val="3"/>
            <w:vAlign w:val="center"/>
          </w:tcPr>
          <w:p w14:paraId="0658054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签订合同，维修完成后，提供6个月质保。</w:t>
            </w:r>
          </w:p>
        </w:tc>
      </w:tr>
      <w:tr w14:paraId="4772C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27FC49A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4758" w:type="dxa"/>
            <w:vAlign w:val="center"/>
          </w:tcPr>
          <w:p w14:paraId="732AF52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服务地点</w:t>
            </w:r>
          </w:p>
        </w:tc>
        <w:tc>
          <w:tcPr>
            <w:tcW w:w="3792" w:type="dxa"/>
            <w:gridSpan w:val="3"/>
            <w:vAlign w:val="center"/>
          </w:tcPr>
          <w:p w14:paraId="71222BA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鄂尔多斯市中心医院东胜部内镜中心</w:t>
            </w:r>
          </w:p>
        </w:tc>
      </w:tr>
      <w:tr w14:paraId="1AAA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760" w:type="dxa"/>
            <w:vAlign w:val="center"/>
          </w:tcPr>
          <w:p w14:paraId="593E96C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4758" w:type="dxa"/>
            <w:vAlign w:val="center"/>
          </w:tcPr>
          <w:p w14:paraId="33A0539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资质要求</w:t>
            </w:r>
          </w:p>
        </w:tc>
        <w:tc>
          <w:tcPr>
            <w:tcW w:w="3792" w:type="dxa"/>
            <w:gridSpan w:val="3"/>
            <w:vAlign w:val="center"/>
          </w:tcPr>
          <w:p w14:paraId="72E40E1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具备有效的医疗器械经营许可证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7BF405F2">
      <w:pPr>
        <w:rPr>
          <w:rFonts w:hint="eastAsia" w:hAnsi="宋体"/>
          <w:sz w:val="24"/>
          <w:szCs w:val="24"/>
          <w:lang w:val="en-US" w:eastAsia="zh-CN"/>
        </w:rPr>
      </w:pPr>
    </w:p>
    <w:p w14:paraId="494D3A3E">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F2888B0">
      <w:pPr>
        <w:spacing w:line="600" w:lineRule="exact"/>
        <w:ind w:firstLine="640" w:firstLineChars="200"/>
        <w:rPr>
          <w:rFonts w:hint="default" w:ascii="宋体" w:hAnsi="宋体" w:eastAsia="宋体"/>
          <w:sz w:val="32"/>
          <w:szCs w:val="32"/>
          <w:lang w:val="en-US" w:eastAsia="zh-CN"/>
        </w:rPr>
      </w:pPr>
      <w:r>
        <w:rPr>
          <w:rFonts w:hint="eastAsia" w:ascii="宋体" w:hAnsi="宋体" w:eastAsia="宋体"/>
          <w:sz w:val="32"/>
          <w:szCs w:val="32"/>
        </w:rPr>
        <w:t>（1）项目基本情况介绍：</w:t>
      </w:r>
      <w:r>
        <w:rPr>
          <w:rFonts w:hint="eastAsia" w:ascii="宋体" w:hAnsi="宋体" w:eastAsia="宋体"/>
          <w:sz w:val="32"/>
          <w:szCs w:val="32"/>
          <w:lang w:val="en-US" w:eastAsia="zh-CN"/>
        </w:rPr>
        <w:t>东胜部三条内镜出现故障，现购买维修服务。</w:t>
      </w:r>
    </w:p>
    <w:p w14:paraId="0982607E">
      <w:pPr>
        <w:spacing w:line="360" w:lineRule="auto"/>
        <w:ind w:firstLine="640" w:firstLineChars="200"/>
        <w:jc w:val="left"/>
        <w:rPr>
          <w:rFonts w:ascii="宋体" w:hAnsi="宋体" w:eastAsia="宋体"/>
          <w:sz w:val="32"/>
          <w:szCs w:val="32"/>
          <w:u w:val="single"/>
        </w:rPr>
      </w:pPr>
      <w:r>
        <w:rPr>
          <w:rFonts w:hint="eastAsia" w:ascii="宋体" w:hAnsi="宋体" w:eastAsia="宋体" w:cs="宋体"/>
          <w:sz w:val="32"/>
          <w:szCs w:val="32"/>
        </w:rPr>
        <w:t>（2）技术参数和要求（功能和质量）</w:t>
      </w:r>
      <w:r>
        <w:rPr>
          <w:rFonts w:hint="eastAsia" w:ascii="宋体" w:hAnsi="宋体" w:eastAsia="宋体" w:cs="宋体"/>
          <w:i w:val="0"/>
          <w:iCs w:val="0"/>
          <w:color w:val="000000"/>
          <w:kern w:val="0"/>
          <w:sz w:val="20"/>
          <w:szCs w:val="20"/>
          <w:u w:val="none"/>
          <w:lang w:val="en-US" w:eastAsia="zh-CN" w:bidi="ar"/>
        </w:rPr>
        <w:t>★</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49BF0D9B">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40A34DA">
            <w:pPr>
              <w:widowControl/>
              <w:jc w:val="center"/>
              <w:rPr>
                <w:rFonts w:hint="eastAsia" w:ascii="宋体" w:hAnsi="宋体" w:eastAsia="宋体" w:cs="宋体"/>
                <w:sz w:val="28"/>
                <w:szCs w:val="28"/>
              </w:rPr>
            </w:pPr>
            <w:r>
              <w:rPr>
                <w:rFonts w:hint="eastAsia" w:ascii="宋体" w:hAnsi="宋体" w:eastAsia="宋体" w:cs="宋体"/>
                <w:sz w:val="28"/>
                <w:szCs w:val="28"/>
              </w:rPr>
              <w:t>参数性质</w:t>
            </w:r>
          </w:p>
        </w:tc>
        <w:tc>
          <w:tcPr>
            <w:tcW w:w="1134" w:type="dxa"/>
            <w:tcBorders>
              <w:top w:val="single" w:color="auto" w:sz="4" w:space="0"/>
              <w:left w:val="nil"/>
              <w:bottom w:val="single" w:color="auto" w:sz="4" w:space="0"/>
              <w:right w:val="single" w:color="auto" w:sz="4" w:space="0"/>
            </w:tcBorders>
            <w:vAlign w:val="center"/>
          </w:tcPr>
          <w:p w14:paraId="335AACEF">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3184DCC0">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7A94765F">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E37006D">
            <w:pPr>
              <w:widowControl/>
              <w:jc w:val="center"/>
              <w:rPr>
                <w:rFonts w:hint="eastAsia"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4F8EB317">
            <w:pPr>
              <w:keepNext w:val="0"/>
              <w:keepLines w:val="0"/>
              <w:widowControl/>
              <w:suppressLineNumbers w:val="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66596D4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三条需要维修的镜子型号和故障情况</w:t>
            </w:r>
          </w:p>
        </w:tc>
      </w:tr>
      <w:tr w14:paraId="1FFC4DC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EB7B9C9">
            <w:pPr>
              <w:widowControl/>
              <w:jc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1FA97388">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75C44EF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富士肠镜，型号：EG-601WM,序列号：3C719G558。</w:t>
            </w:r>
          </w:p>
          <w:p w14:paraId="5354B33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障描述：按钮膨胀，蛇骨角度不足,插入部锥形套破损，导光软管开裂、漏气，内镜全进水，LG侧导光支架开裂、腐蚀，导光软管锥形套膨胀，电气接头软性部起皱，盖帽敲痕，光束浸水，插入管脱皮,CHA浸水，CHA棱镜脱落,电气接头浸水，电路板浸水 。</w:t>
            </w:r>
          </w:p>
        </w:tc>
      </w:tr>
      <w:tr w14:paraId="0F65696A">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C93AE5B">
            <w:pPr>
              <w:widowControl/>
              <w:jc w:val="center"/>
              <w:rPr>
                <w:rFonts w:hint="eastAsia"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0F9CEA11">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2873F2A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富士胃镜，型号：EG-601WR  序列号：3G400G714</w:t>
            </w:r>
          </w:p>
          <w:p w14:paraId="104F77F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故障描述：导光软管开裂、漏气，操作部进水，按钮进水、按钮线进水，接线盒进水，电气接头进水，电路板进水，光束浸水，电气接头软性部开裂，蛇骨长劣化、铆钉磨损 ，盖帽敲痕。</w:t>
            </w:r>
          </w:p>
        </w:tc>
      </w:tr>
      <w:tr w14:paraId="2EE1D1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B8E64E">
            <w:pPr>
              <w:keepNext w:val="0"/>
              <w:keepLines w:val="0"/>
              <w:widowControl/>
              <w:suppressLineNumbers w:val="0"/>
              <w:jc w:val="both"/>
              <w:textAlignment w:val="center"/>
              <w:rPr>
                <w:rFonts w:hint="eastAsia" w:ascii="宋体" w:hAnsi="宋体" w:eastAsia="宋体" w:cs="宋体"/>
                <w:sz w:val="28"/>
                <w:szCs w:val="28"/>
                <w:lang w:val="en-US" w:eastAsia="zh-CN"/>
              </w:rPr>
            </w:pPr>
          </w:p>
        </w:tc>
        <w:tc>
          <w:tcPr>
            <w:tcW w:w="1134" w:type="dxa"/>
            <w:tcBorders>
              <w:top w:val="single" w:color="auto" w:sz="4" w:space="0"/>
              <w:left w:val="nil"/>
              <w:bottom w:val="single" w:color="auto" w:sz="4" w:space="0"/>
              <w:right w:val="single" w:color="auto" w:sz="4" w:space="0"/>
            </w:tcBorders>
            <w:vAlign w:val="center"/>
          </w:tcPr>
          <w:p w14:paraId="710DCC87">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7AF4181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富士胃镜，型号：EG-601WR  序列号：3G400G713</w:t>
            </w:r>
          </w:p>
          <w:p w14:paraId="64AE3E3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故障描述：导光软管开裂、漏气，电气接头软性部开裂、漏气，内镜全进水，操作部按钮浸水，蛇骨织网毛刺，盖帽划伤，光束浸水，先端物镜敲痕图像阴影，先端导光镜头脱胶，电路板浸水。</w:t>
            </w:r>
          </w:p>
        </w:tc>
      </w:tr>
      <w:tr w14:paraId="643528F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70C61E">
            <w:pPr>
              <w:widowControl/>
              <w:jc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07344128">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373AB27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所有更换的零部件必须为原厂零配件（所供备件为原厂全新备件并提供证明文件）</w:t>
            </w:r>
          </w:p>
        </w:tc>
      </w:tr>
      <w:tr w14:paraId="0A444978">
        <w:tblPrEx>
          <w:tblCellMar>
            <w:top w:w="0" w:type="dxa"/>
            <w:left w:w="108" w:type="dxa"/>
            <w:bottom w:w="0" w:type="dxa"/>
            <w:right w:w="108" w:type="dxa"/>
          </w:tblCellMar>
        </w:tblPrEx>
        <w:trPr>
          <w:trHeight w:val="147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95B89D">
            <w:pPr>
              <w:widowControl/>
              <w:jc w:val="center"/>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26AF2008">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4E02975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维修完成后6个月内，对所更换零件再次发生故障享有保修服务</w:t>
            </w:r>
          </w:p>
        </w:tc>
      </w:tr>
      <w:tr w14:paraId="7367E69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55475CF">
            <w:pPr>
              <w:widowControl/>
              <w:jc w:val="center"/>
              <w:rPr>
                <w:rFonts w:hint="eastAsia" w:ascii="宋体" w:hAnsi="宋体" w:eastAsia="宋体" w:cs="宋体"/>
                <w:sz w:val="28"/>
                <w:szCs w:val="28"/>
              </w:rPr>
            </w:pPr>
          </w:p>
        </w:tc>
        <w:tc>
          <w:tcPr>
            <w:tcW w:w="1134" w:type="dxa"/>
            <w:tcBorders>
              <w:top w:val="single" w:color="auto" w:sz="4" w:space="0"/>
              <w:left w:val="nil"/>
              <w:bottom w:val="single" w:color="auto" w:sz="4" w:space="0"/>
              <w:right w:val="single" w:color="auto" w:sz="4" w:space="0"/>
            </w:tcBorders>
            <w:vAlign w:val="center"/>
          </w:tcPr>
          <w:p w14:paraId="6C46D3A5">
            <w:pPr>
              <w:keepNext w:val="0"/>
              <w:keepLines w:val="0"/>
              <w:widowControl/>
              <w:suppressLineNumbers w:val="0"/>
              <w:jc w:val="both"/>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750EB852">
            <w:pPr>
              <w:rPr>
                <w:rFonts w:hint="eastAsia" w:ascii="宋体" w:hAnsi="宋体" w:eastAsia="宋体" w:cs="宋体"/>
                <w:sz w:val="28"/>
                <w:szCs w:val="28"/>
                <w:lang w:val="en-US" w:eastAsia="zh-CN"/>
              </w:rPr>
            </w:pPr>
            <w:r>
              <w:rPr>
                <w:rFonts w:hint="eastAsia" w:ascii="宋体" w:hAnsi="宋体" w:eastAsia="宋体" w:cs="宋体"/>
                <w:sz w:val="28"/>
                <w:szCs w:val="28"/>
              </w:rPr>
              <w:t>维修期间提供可替代备品，保证临床正常工作</w:t>
            </w:r>
          </w:p>
        </w:tc>
      </w:tr>
      <w:tr w14:paraId="4A9D41CE">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756B22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rPr>
            </w:pPr>
            <w:r>
              <w:rPr>
                <w:rFonts w:hint="default" w:ascii="微软雅黑" w:hAnsi="微软雅黑" w:eastAsia="微软雅黑"/>
                <w:b/>
                <w:bCs/>
                <w:sz w:val="24"/>
                <w:szCs w:val="36"/>
                <w:lang w:val="en-US" w:eastAsia="zh-CN"/>
              </w:rPr>
              <w:t>注：参数性质”标“★”表示此参数为主要技术参数，任意一条不满足或负偏离则导致响应无效；</w:t>
            </w:r>
          </w:p>
        </w:tc>
      </w:tr>
    </w:tbl>
    <w:p w14:paraId="274B3C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B31273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2B0D7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9969F2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C55CBB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16583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9D7311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7B99EC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96EE17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AFD54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120649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163846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27B1E2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bidi="ar-SA"/>
        </w:rPr>
        <w:t>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06108A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E5BCB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44408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142" w:leftChars="0" w:right="0" w:firstLine="562" w:firstLine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售后服务方案</w:t>
      </w:r>
    </w:p>
    <w:p w14:paraId="4206182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562" w:firstLineChars="200"/>
        <w:jc w:val="left"/>
        <w:textAlignment w:val="auto"/>
        <w:rPr>
          <w:rFonts w:hint="eastAsia"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281" w:firstLineChars="1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pPr>
        <w:ind w:left="-142"/>
      </w:pPr>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19E6979"/>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1896D9F"/>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A452F6A"/>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CFC6CFB"/>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100</Words>
  <Characters>144</Characters>
  <Lines>0</Lines>
  <Paragraphs>0</Paragraphs>
  <TotalTime>2</TotalTime>
  <ScaleCrop>false</ScaleCrop>
  <LinksUpToDate>false</LinksUpToDate>
  <CharactersWithSpaces>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2026-06-24T02:38:48Z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DE6800F8E5C7442B9DBE71349AE6E8F9_13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