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51C8A0A1">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定量血流分数检测仪项目（二次）</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2026年7月3日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W w:w="96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91"/>
        <w:gridCol w:w="2964"/>
        <w:gridCol w:w="1200"/>
        <w:gridCol w:w="1079"/>
        <w:gridCol w:w="1683"/>
        <w:gridCol w:w="1650"/>
      </w:tblGrid>
      <w:tr w14:paraId="29F9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091" w:type="dxa"/>
            <w:vAlign w:val="center"/>
          </w:tcPr>
          <w:p w14:paraId="123285E8">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序号</w:t>
            </w:r>
          </w:p>
        </w:tc>
        <w:tc>
          <w:tcPr>
            <w:tcW w:w="2964" w:type="dxa"/>
            <w:vAlign w:val="center"/>
          </w:tcPr>
          <w:p w14:paraId="3E37CC33">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名称</w:t>
            </w:r>
          </w:p>
        </w:tc>
        <w:tc>
          <w:tcPr>
            <w:tcW w:w="1200" w:type="dxa"/>
            <w:vAlign w:val="center"/>
          </w:tcPr>
          <w:p w14:paraId="07310B12">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单位</w:t>
            </w:r>
          </w:p>
        </w:tc>
        <w:tc>
          <w:tcPr>
            <w:tcW w:w="1079" w:type="dxa"/>
            <w:vAlign w:val="center"/>
          </w:tcPr>
          <w:p w14:paraId="20208E75">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数量</w:t>
            </w:r>
          </w:p>
        </w:tc>
        <w:tc>
          <w:tcPr>
            <w:tcW w:w="1683" w:type="dxa"/>
            <w:vAlign w:val="center"/>
          </w:tcPr>
          <w:p w14:paraId="4C60CD53">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预算单价</w:t>
            </w:r>
          </w:p>
        </w:tc>
        <w:tc>
          <w:tcPr>
            <w:tcW w:w="1650" w:type="dxa"/>
            <w:vAlign w:val="center"/>
          </w:tcPr>
          <w:p w14:paraId="1435679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预算总价</w:t>
            </w:r>
          </w:p>
        </w:tc>
      </w:tr>
      <w:tr w14:paraId="43D32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91" w:type="dxa"/>
            <w:vAlign w:val="center"/>
          </w:tcPr>
          <w:p w14:paraId="17C02F42">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2964" w:type="dxa"/>
            <w:vAlign w:val="center"/>
          </w:tcPr>
          <w:p w14:paraId="76F16622">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定量血流分数检测仪</w:t>
            </w:r>
          </w:p>
        </w:tc>
        <w:tc>
          <w:tcPr>
            <w:tcW w:w="1200" w:type="dxa"/>
            <w:vAlign w:val="center"/>
          </w:tcPr>
          <w:p w14:paraId="569A970B">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1079" w:type="dxa"/>
            <w:vAlign w:val="center"/>
          </w:tcPr>
          <w:p w14:paraId="535899A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1683" w:type="dxa"/>
            <w:vAlign w:val="center"/>
          </w:tcPr>
          <w:p w14:paraId="70A9229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390000</w:t>
            </w:r>
          </w:p>
        </w:tc>
        <w:tc>
          <w:tcPr>
            <w:tcW w:w="1650" w:type="dxa"/>
            <w:vAlign w:val="center"/>
          </w:tcPr>
          <w:p w14:paraId="1D45D755">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780000</w:t>
            </w:r>
          </w:p>
        </w:tc>
      </w:tr>
      <w:tr w14:paraId="4E9F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91" w:type="dxa"/>
            <w:vAlign w:val="center"/>
          </w:tcPr>
          <w:p w14:paraId="0B1B03D5">
            <w:pPr>
              <w:widowControl/>
              <w:jc w:val="center"/>
              <w:textAlignment w:val="center"/>
              <w:rPr>
                <w:rFonts w:hint="eastAsia" w:ascii="宋体" w:hAnsi="宋体" w:eastAsia="宋体" w:cs="宋体"/>
                <w:kern w:val="0"/>
                <w:sz w:val="28"/>
                <w:szCs w:val="28"/>
                <w:lang w:val="en-US" w:eastAsia="zh-CN"/>
              </w:rPr>
            </w:pPr>
          </w:p>
        </w:tc>
        <w:tc>
          <w:tcPr>
            <w:tcW w:w="6926" w:type="dxa"/>
            <w:gridSpan w:val="4"/>
            <w:vAlign w:val="center"/>
          </w:tcPr>
          <w:p w14:paraId="1341120E">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总价合计</w:t>
            </w:r>
          </w:p>
        </w:tc>
        <w:tc>
          <w:tcPr>
            <w:tcW w:w="1650" w:type="dxa"/>
            <w:vAlign w:val="center"/>
          </w:tcPr>
          <w:p w14:paraId="1CE8AE64">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780000</w:t>
            </w:r>
          </w:p>
        </w:tc>
      </w:tr>
      <w:tr w14:paraId="78672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91" w:type="dxa"/>
            <w:vAlign w:val="center"/>
          </w:tcPr>
          <w:p w14:paraId="6E09C79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2964" w:type="dxa"/>
            <w:vAlign w:val="center"/>
          </w:tcPr>
          <w:p w14:paraId="22284404">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交付使用时间</w:t>
            </w:r>
          </w:p>
        </w:tc>
        <w:tc>
          <w:tcPr>
            <w:tcW w:w="5612" w:type="dxa"/>
            <w:gridSpan w:val="4"/>
            <w:vAlign w:val="center"/>
          </w:tcPr>
          <w:p w14:paraId="72174209">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合同签订后30日内到货</w:t>
            </w:r>
          </w:p>
        </w:tc>
      </w:tr>
      <w:tr w14:paraId="74369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91" w:type="dxa"/>
            <w:vAlign w:val="center"/>
          </w:tcPr>
          <w:p w14:paraId="6CCE744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2964" w:type="dxa"/>
            <w:vAlign w:val="center"/>
          </w:tcPr>
          <w:p w14:paraId="794A2943">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质保期</w:t>
            </w:r>
          </w:p>
        </w:tc>
        <w:tc>
          <w:tcPr>
            <w:tcW w:w="5612" w:type="dxa"/>
            <w:gridSpan w:val="4"/>
            <w:vAlign w:val="center"/>
          </w:tcPr>
          <w:p w14:paraId="56B9AF7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3年</w:t>
            </w:r>
          </w:p>
        </w:tc>
      </w:tr>
      <w:tr w14:paraId="19A0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8" w:hRule="atLeast"/>
          <w:jc w:val="center"/>
        </w:trPr>
        <w:tc>
          <w:tcPr>
            <w:tcW w:w="1091" w:type="dxa"/>
            <w:vAlign w:val="center"/>
          </w:tcPr>
          <w:p w14:paraId="536EF94D">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w:t>
            </w:r>
          </w:p>
        </w:tc>
        <w:tc>
          <w:tcPr>
            <w:tcW w:w="2964" w:type="dxa"/>
            <w:vAlign w:val="center"/>
          </w:tcPr>
          <w:p w14:paraId="01AB15D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付款方式</w:t>
            </w:r>
          </w:p>
        </w:tc>
        <w:tc>
          <w:tcPr>
            <w:tcW w:w="5612" w:type="dxa"/>
            <w:gridSpan w:val="4"/>
            <w:vAlign w:val="center"/>
          </w:tcPr>
          <w:p w14:paraId="06580548">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设备验收通过后支付总货款的90%，验收通过使用1个月后支付总货款的10%。</w:t>
            </w:r>
          </w:p>
        </w:tc>
      </w:tr>
      <w:tr w14:paraId="10EDB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091" w:type="dxa"/>
            <w:vAlign w:val="center"/>
          </w:tcPr>
          <w:p w14:paraId="5F04D5C0">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w:t>
            </w:r>
          </w:p>
        </w:tc>
        <w:tc>
          <w:tcPr>
            <w:tcW w:w="2964" w:type="dxa"/>
            <w:vAlign w:val="center"/>
          </w:tcPr>
          <w:p w14:paraId="2FD57B8A">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交付地点</w:t>
            </w:r>
          </w:p>
        </w:tc>
        <w:tc>
          <w:tcPr>
            <w:tcW w:w="5612" w:type="dxa"/>
            <w:gridSpan w:val="4"/>
            <w:vAlign w:val="center"/>
          </w:tcPr>
          <w:p w14:paraId="4B29C0FC">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2C4E4949">
      <w:pPr>
        <w:spacing w:line="360" w:lineRule="auto"/>
        <w:jc w:val="left"/>
        <w:rPr>
          <w:rFonts w:hint="eastAsia" w:ascii="宋体" w:hAnsi="宋体" w:eastAsia="宋体"/>
          <w:sz w:val="28"/>
          <w:szCs w:val="28"/>
          <w:u w:val="single"/>
        </w:rPr>
      </w:pPr>
      <w:r>
        <w:rPr>
          <w:rFonts w:hint="eastAsia" w:ascii="宋体" w:hAnsi="宋体" w:eastAsia="宋体"/>
          <w:sz w:val="28"/>
          <w:szCs w:val="28"/>
        </w:rPr>
        <w:t>（</w:t>
      </w:r>
      <w:r>
        <w:rPr>
          <w:rFonts w:hint="eastAsia" w:ascii="宋体" w:hAnsi="宋体" w:eastAsia="宋体"/>
          <w:sz w:val="28"/>
          <w:szCs w:val="28"/>
          <w:lang w:val="en-US" w:eastAsia="zh-CN"/>
        </w:rPr>
        <w:t>一</w:t>
      </w:r>
      <w:r>
        <w:rPr>
          <w:rFonts w:hint="eastAsia" w:ascii="宋体" w:hAnsi="宋体" w:eastAsia="宋体"/>
          <w:sz w:val="28"/>
          <w:szCs w:val="28"/>
        </w:rPr>
        <w:t>）项目基本情况介绍：</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本项目包含2台定量血流分数检测仪，用于冠脉介入治疗术前规划、术中引导以及术后评估等。</w:t>
      </w:r>
    </w:p>
    <w:p w14:paraId="4A6106D6">
      <w:pPr>
        <w:spacing w:line="360" w:lineRule="auto"/>
        <w:jc w:val="lef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二</w:t>
      </w:r>
      <w:r>
        <w:rPr>
          <w:rFonts w:hint="eastAsia" w:ascii="宋体" w:hAnsi="宋体" w:eastAsia="宋体" w:cs="宋体"/>
          <w:sz w:val="28"/>
          <w:szCs w:val="28"/>
        </w:rPr>
        <w:t>）技术参数和要求（功能和质量）</w:t>
      </w:r>
    </w:p>
    <w:tbl>
      <w:tblPr>
        <w:tblStyle w:val="12"/>
        <w:tblW w:w="8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825"/>
        <w:gridCol w:w="7161"/>
      </w:tblGrid>
      <w:tr w14:paraId="05DC0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Align w:val="center"/>
          </w:tcPr>
          <w:p w14:paraId="6C5B5CEA">
            <w:pPr>
              <w:spacing w:line="240" w:lineRule="auto"/>
              <w:jc w:val="center"/>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参数</w:t>
            </w:r>
          </w:p>
          <w:p w14:paraId="3F81390D">
            <w:pPr>
              <w:spacing w:line="240" w:lineRule="auto"/>
              <w:jc w:val="center"/>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性质</w:t>
            </w:r>
          </w:p>
        </w:tc>
        <w:tc>
          <w:tcPr>
            <w:tcW w:w="825" w:type="dxa"/>
            <w:vAlign w:val="center"/>
          </w:tcPr>
          <w:p w14:paraId="7AF5B78A">
            <w:pPr>
              <w:spacing w:line="240" w:lineRule="auto"/>
              <w:jc w:val="center"/>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编号</w:t>
            </w:r>
          </w:p>
        </w:tc>
        <w:tc>
          <w:tcPr>
            <w:tcW w:w="7161" w:type="dxa"/>
            <w:vAlign w:val="center"/>
          </w:tcPr>
          <w:p w14:paraId="5B9A3CE4">
            <w:pPr>
              <w:spacing w:line="240" w:lineRule="auto"/>
              <w:jc w:val="center"/>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技术参数和要求</w:t>
            </w:r>
          </w:p>
        </w:tc>
      </w:tr>
      <w:tr w14:paraId="472FA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Align w:val="center"/>
          </w:tcPr>
          <w:p w14:paraId="40DD4BC1">
            <w:pPr>
              <w:spacing w:line="240" w:lineRule="auto"/>
              <w:jc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w:t>
            </w:r>
          </w:p>
        </w:tc>
        <w:tc>
          <w:tcPr>
            <w:tcW w:w="825" w:type="dxa"/>
            <w:vAlign w:val="center"/>
          </w:tcPr>
          <w:p w14:paraId="3597CA1B">
            <w:pPr>
              <w:keepNext w:val="0"/>
              <w:keepLines w:val="0"/>
              <w:widowControl/>
              <w:suppressLineNumbers w:val="0"/>
              <w:spacing w:line="240" w:lineRule="auto"/>
              <w:jc w:val="center"/>
              <w:textAlignment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1</w:t>
            </w:r>
          </w:p>
        </w:tc>
        <w:tc>
          <w:tcPr>
            <w:tcW w:w="7161" w:type="dxa"/>
            <w:vAlign w:val="center"/>
          </w:tcPr>
          <w:p w14:paraId="495C2942">
            <w:pPr>
              <w:keepNext w:val="0"/>
              <w:keepLines w:val="0"/>
              <w:widowControl/>
              <w:suppressLineNumbers w:val="0"/>
              <w:spacing w:line="240" w:lineRule="auto"/>
              <w:jc w:val="left"/>
              <w:textAlignment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系统具备基于冠脉造影的压降计算功能，并将其数值显示在参数显示区。操作者可以看到血管沿中心线的直径变化及狭窄率分布情况。在渲染窗口，操作者可以通过鼠标点击血管模型查看任意位置处的压降参数数值；</w:t>
            </w:r>
          </w:p>
        </w:tc>
      </w:tr>
      <w:tr w14:paraId="6C8F2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Align w:val="center"/>
          </w:tcPr>
          <w:p w14:paraId="3B231A75">
            <w:pPr>
              <w:spacing w:line="240" w:lineRule="auto"/>
              <w:jc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w:t>
            </w:r>
          </w:p>
        </w:tc>
        <w:tc>
          <w:tcPr>
            <w:tcW w:w="825" w:type="dxa"/>
            <w:vAlign w:val="center"/>
          </w:tcPr>
          <w:p w14:paraId="79BAA6B5">
            <w:pPr>
              <w:keepNext w:val="0"/>
              <w:keepLines w:val="0"/>
              <w:widowControl/>
              <w:suppressLineNumbers w:val="0"/>
              <w:spacing w:line="240" w:lineRule="auto"/>
              <w:jc w:val="center"/>
              <w:textAlignment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2</w:t>
            </w:r>
          </w:p>
        </w:tc>
        <w:tc>
          <w:tcPr>
            <w:tcW w:w="7161" w:type="dxa"/>
            <w:vAlign w:val="center"/>
          </w:tcPr>
          <w:p w14:paraId="6766EE25">
            <w:pPr>
              <w:keepNext w:val="0"/>
              <w:keepLines w:val="0"/>
              <w:widowControl/>
              <w:suppressLineNumbers w:val="0"/>
              <w:spacing w:line="240" w:lineRule="auto"/>
              <w:jc w:val="left"/>
              <w:textAlignment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使用过程中无需使用任何耗材即可得到靶血管的血流储备分数；</w:t>
            </w:r>
          </w:p>
        </w:tc>
      </w:tr>
      <w:tr w14:paraId="2862F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Align w:val="center"/>
          </w:tcPr>
          <w:p w14:paraId="43518643">
            <w:pPr>
              <w:spacing w:line="240" w:lineRule="auto"/>
              <w:jc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w:t>
            </w:r>
          </w:p>
        </w:tc>
        <w:tc>
          <w:tcPr>
            <w:tcW w:w="825" w:type="dxa"/>
            <w:vAlign w:val="center"/>
          </w:tcPr>
          <w:p w14:paraId="323F47B8">
            <w:pPr>
              <w:keepNext w:val="0"/>
              <w:keepLines w:val="0"/>
              <w:widowControl/>
              <w:suppressLineNumbers w:val="0"/>
              <w:spacing w:line="240" w:lineRule="auto"/>
              <w:jc w:val="center"/>
              <w:textAlignment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3</w:t>
            </w:r>
          </w:p>
        </w:tc>
        <w:tc>
          <w:tcPr>
            <w:tcW w:w="7161" w:type="dxa"/>
            <w:vAlign w:val="center"/>
          </w:tcPr>
          <w:p w14:paraId="2900CD62">
            <w:pPr>
              <w:keepNext w:val="0"/>
              <w:keepLines w:val="0"/>
              <w:widowControl/>
              <w:suppressLineNumbers w:val="0"/>
              <w:spacing w:line="240" w:lineRule="auto"/>
              <w:jc w:val="left"/>
              <w:textAlignment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使用过程中无需使用任何耗材即可计算微循环阻力指数；</w:t>
            </w:r>
          </w:p>
        </w:tc>
      </w:tr>
      <w:tr w14:paraId="34A50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Align w:val="center"/>
          </w:tcPr>
          <w:p w14:paraId="5D3A12D6">
            <w:pPr>
              <w:spacing w:line="240" w:lineRule="auto"/>
              <w:jc w:val="center"/>
              <w:rPr>
                <w:rFonts w:hint="eastAsia" w:ascii="宋体" w:hAnsi="宋体" w:eastAsia="宋体" w:cs="宋体"/>
                <w:b/>
                <w:sz w:val="21"/>
                <w:szCs w:val="21"/>
                <w:vertAlign w:val="baseline"/>
                <w:lang w:eastAsia="zh-Hans"/>
              </w:rPr>
            </w:pPr>
          </w:p>
        </w:tc>
        <w:tc>
          <w:tcPr>
            <w:tcW w:w="825" w:type="dxa"/>
            <w:vAlign w:val="center"/>
          </w:tcPr>
          <w:p w14:paraId="4DB887FC">
            <w:pPr>
              <w:keepNext w:val="0"/>
              <w:keepLines w:val="0"/>
              <w:widowControl/>
              <w:suppressLineNumbers w:val="0"/>
              <w:spacing w:line="240" w:lineRule="auto"/>
              <w:jc w:val="center"/>
              <w:textAlignment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4</w:t>
            </w:r>
          </w:p>
        </w:tc>
        <w:tc>
          <w:tcPr>
            <w:tcW w:w="7161" w:type="dxa"/>
            <w:vAlign w:val="center"/>
          </w:tcPr>
          <w:p w14:paraId="7998FD1C">
            <w:pPr>
              <w:keepNext w:val="0"/>
              <w:keepLines w:val="0"/>
              <w:widowControl/>
              <w:suppressLineNumbers w:val="0"/>
              <w:spacing w:line="240" w:lineRule="auto"/>
              <w:jc w:val="left"/>
              <w:textAlignment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微循环阻力指数应可用于30-90%的无心肌病或阻塞性心外膜冠状动脉疾病的原发性冠状动脉微血管功能障碍患者，需提供相关文件资料证明；</w:t>
            </w:r>
          </w:p>
        </w:tc>
      </w:tr>
      <w:tr w14:paraId="5E017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Align w:val="center"/>
          </w:tcPr>
          <w:p w14:paraId="7CA61B31">
            <w:pPr>
              <w:spacing w:line="240" w:lineRule="auto"/>
              <w:jc w:val="center"/>
              <w:rPr>
                <w:rFonts w:hint="eastAsia" w:ascii="宋体" w:hAnsi="宋体" w:eastAsia="宋体" w:cs="宋体"/>
                <w:b/>
                <w:sz w:val="21"/>
                <w:szCs w:val="21"/>
                <w:vertAlign w:val="baseline"/>
                <w:lang w:eastAsia="zh-Hans"/>
              </w:rPr>
            </w:pPr>
          </w:p>
        </w:tc>
        <w:tc>
          <w:tcPr>
            <w:tcW w:w="825" w:type="dxa"/>
            <w:vAlign w:val="center"/>
          </w:tcPr>
          <w:p w14:paraId="1B060C4F">
            <w:pPr>
              <w:keepNext w:val="0"/>
              <w:keepLines w:val="0"/>
              <w:widowControl/>
              <w:suppressLineNumbers w:val="0"/>
              <w:spacing w:line="240" w:lineRule="auto"/>
              <w:jc w:val="center"/>
              <w:textAlignment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5</w:t>
            </w:r>
          </w:p>
        </w:tc>
        <w:tc>
          <w:tcPr>
            <w:tcW w:w="7161" w:type="dxa"/>
            <w:vAlign w:val="center"/>
          </w:tcPr>
          <w:p w14:paraId="1FC4C867">
            <w:pPr>
              <w:keepNext w:val="0"/>
              <w:keepLines w:val="0"/>
              <w:widowControl/>
              <w:suppressLineNumbers w:val="0"/>
              <w:spacing w:line="240" w:lineRule="auto"/>
              <w:jc w:val="left"/>
              <w:textAlignment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支持冠脉造影影像进行目标血管的三维重建，且进行目标血管三维重建的两幅造影的体位差不小于25°；</w:t>
            </w:r>
          </w:p>
        </w:tc>
      </w:tr>
      <w:tr w14:paraId="0BB2C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Align w:val="center"/>
          </w:tcPr>
          <w:p w14:paraId="28ACCB77">
            <w:pPr>
              <w:spacing w:line="240" w:lineRule="auto"/>
              <w:jc w:val="center"/>
              <w:rPr>
                <w:rFonts w:hint="eastAsia" w:ascii="宋体" w:hAnsi="宋体" w:eastAsia="宋体" w:cs="宋体"/>
                <w:b/>
                <w:sz w:val="21"/>
                <w:szCs w:val="21"/>
                <w:vertAlign w:val="baseline"/>
                <w:lang w:eastAsia="zh-Hans"/>
              </w:rPr>
            </w:pPr>
          </w:p>
        </w:tc>
        <w:tc>
          <w:tcPr>
            <w:tcW w:w="825" w:type="dxa"/>
            <w:vAlign w:val="center"/>
          </w:tcPr>
          <w:p w14:paraId="31392D13">
            <w:pPr>
              <w:keepNext w:val="0"/>
              <w:keepLines w:val="0"/>
              <w:widowControl/>
              <w:suppressLineNumbers w:val="0"/>
              <w:spacing w:line="240" w:lineRule="auto"/>
              <w:jc w:val="center"/>
              <w:textAlignment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6</w:t>
            </w:r>
          </w:p>
        </w:tc>
        <w:tc>
          <w:tcPr>
            <w:tcW w:w="7161" w:type="dxa"/>
            <w:vAlign w:val="center"/>
          </w:tcPr>
          <w:p w14:paraId="1A028346">
            <w:pPr>
              <w:keepNext w:val="0"/>
              <w:keepLines w:val="0"/>
              <w:widowControl/>
              <w:suppressLineNumbers w:val="0"/>
              <w:spacing w:line="240" w:lineRule="auto"/>
              <w:jc w:val="left"/>
              <w:textAlignment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 xml:space="preserve">具备至少3个匹配点进行血管重构偏差校正功能； </w:t>
            </w:r>
          </w:p>
        </w:tc>
      </w:tr>
      <w:tr w14:paraId="38125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Align w:val="center"/>
          </w:tcPr>
          <w:p w14:paraId="7CE7AF36">
            <w:pPr>
              <w:spacing w:line="240" w:lineRule="auto"/>
              <w:jc w:val="center"/>
              <w:rPr>
                <w:rFonts w:hint="eastAsia" w:ascii="宋体" w:hAnsi="宋体" w:eastAsia="宋体" w:cs="宋体"/>
                <w:b/>
                <w:sz w:val="21"/>
                <w:szCs w:val="21"/>
                <w:vertAlign w:val="baseline"/>
                <w:lang w:eastAsia="zh-Hans"/>
              </w:rPr>
            </w:pPr>
          </w:p>
        </w:tc>
        <w:tc>
          <w:tcPr>
            <w:tcW w:w="825" w:type="dxa"/>
            <w:vAlign w:val="center"/>
          </w:tcPr>
          <w:p w14:paraId="324C3FA6">
            <w:pPr>
              <w:keepNext w:val="0"/>
              <w:keepLines w:val="0"/>
              <w:widowControl/>
              <w:suppressLineNumbers w:val="0"/>
              <w:spacing w:line="240" w:lineRule="auto"/>
              <w:jc w:val="center"/>
              <w:textAlignment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7</w:t>
            </w:r>
          </w:p>
        </w:tc>
        <w:tc>
          <w:tcPr>
            <w:tcW w:w="7161" w:type="dxa"/>
            <w:vAlign w:val="center"/>
          </w:tcPr>
          <w:p w14:paraId="7086AB3B">
            <w:pPr>
              <w:keepNext w:val="0"/>
              <w:keepLines w:val="0"/>
              <w:widowControl/>
              <w:suppressLineNumbers w:val="0"/>
              <w:spacing w:line="240" w:lineRule="auto"/>
              <w:jc w:val="left"/>
              <w:textAlignment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具备真实血管和参考血管的匹配功能，在重构的真实血管模型上，参考血管模型以半透明的方式进行匹配显示，便于进行对比参照；</w:t>
            </w:r>
          </w:p>
        </w:tc>
      </w:tr>
      <w:tr w14:paraId="7BFA1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Align w:val="center"/>
          </w:tcPr>
          <w:p w14:paraId="1B4DD6F3">
            <w:pPr>
              <w:spacing w:line="240" w:lineRule="auto"/>
              <w:jc w:val="center"/>
              <w:rPr>
                <w:rFonts w:hint="eastAsia" w:ascii="宋体" w:hAnsi="宋体" w:eastAsia="宋体" w:cs="宋体"/>
                <w:b/>
                <w:sz w:val="21"/>
                <w:szCs w:val="21"/>
                <w:vertAlign w:val="baseline"/>
                <w:lang w:eastAsia="zh-Hans"/>
              </w:rPr>
            </w:pPr>
          </w:p>
        </w:tc>
        <w:tc>
          <w:tcPr>
            <w:tcW w:w="825" w:type="dxa"/>
            <w:vAlign w:val="center"/>
          </w:tcPr>
          <w:p w14:paraId="60429DED">
            <w:pPr>
              <w:keepNext w:val="0"/>
              <w:keepLines w:val="0"/>
              <w:widowControl/>
              <w:suppressLineNumbers w:val="0"/>
              <w:spacing w:line="240" w:lineRule="auto"/>
              <w:jc w:val="center"/>
              <w:textAlignment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8</w:t>
            </w:r>
          </w:p>
        </w:tc>
        <w:tc>
          <w:tcPr>
            <w:tcW w:w="7161" w:type="dxa"/>
            <w:vAlign w:val="center"/>
          </w:tcPr>
          <w:p w14:paraId="3D876908">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具备三维血管狭窄云图的功能，直径狭窄百分比通过云图以颜色的方式呈现在血管上，便于直观显示血管狭窄程度； </w:t>
            </w:r>
          </w:p>
        </w:tc>
      </w:tr>
      <w:tr w14:paraId="514C6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Align w:val="center"/>
          </w:tcPr>
          <w:p w14:paraId="7ADEE2F0">
            <w:pPr>
              <w:spacing w:line="240" w:lineRule="auto"/>
              <w:jc w:val="center"/>
              <w:rPr>
                <w:rFonts w:hint="eastAsia" w:ascii="宋体" w:hAnsi="宋体" w:eastAsia="宋体" w:cs="宋体"/>
                <w:b/>
                <w:sz w:val="21"/>
                <w:szCs w:val="21"/>
                <w:vertAlign w:val="baseline"/>
                <w:lang w:eastAsia="zh-Hans"/>
              </w:rPr>
            </w:pPr>
          </w:p>
        </w:tc>
        <w:tc>
          <w:tcPr>
            <w:tcW w:w="825" w:type="dxa"/>
            <w:vAlign w:val="center"/>
          </w:tcPr>
          <w:p w14:paraId="114AC1D3">
            <w:pPr>
              <w:keepNext w:val="0"/>
              <w:keepLines w:val="0"/>
              <w:widowControl/>
              <w:suppressLineNumbers w:val="0"/>
              <w:spacing w:line="240" w:lineRule="auto"/>
              <w:jc w:val="center"/>
              <w:textAlignment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9</w:t>
            </w:r>
          </w:p>
        </w:tc>
        <w:tc>
          <w:tcPr>
            <w:tcW w:w="7161" w:type="dxa"/>
            <w:vAlign w:val="center"/>
          </w:tcPr>
          <w:p w14:paraId="50404E07">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具备定量QCA参数计算功能，自动测量血管长度、血管狭窄长度、直径狭窄百分比、面积狭窄百分比、最小管腔直径、近端和远端的管腔直径和参考直径等参数；</w:t>
            </w:r>
          </w:p>
        </w:tc>
      </w:tr>
      <w:tr w14:paraId="0987F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Align w:val="center"/>
          </w:tcPr>
          <w:p w14:paraId="6578AC0D">
            <w:pPr>
              <w:spacing w:line="240" w:lineRule="auto"/>
              <w:jc w:val="center"/>
              <w:rPr>
                <w:rFonts w:hint="eastAsia" w:ascii="宋体" w:hAnsi="宋体" w:eastAsia="宋体" w:cs="宋体"/>
                <w:b/>
                <w:sz w:val="21"/>
                <w:szCs w:val="21"/>
                <w:vertAlign w:val="baseline"/>
                <w:lang w:eastAsia="zh-Hans"/>
              </w:rPr>
            </w:pPr>
          </w:p>
        </w:tc>
        <w:tc>
          <w:tcPr>
            <w:tcW w:w="825" w:type="dxa"/>
            <w:vAlign w:val="center"/>
          </w:tcPr>
          <w:p w14:paraId="2C5DE0A2">
            <w:pPr>
              <w:keepNext w:val="0"/>
              <w:keepLines w:val="0"/>
              <w:widowControl/>
              <w:suppressLineNumbers w:val="0"/>
              <w:spacing w:line="240" w:lineRule="auto"/>
              <w:jc w:val="center"/>
              <w:textAlignment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10</w:t>
            </w:r>
          </w:p>
        </w:tc>
        <w:tc>
          <w:tcPr>
            <w:tcW w:w="7161" w:type="dxa"/>
            <w:vAlign w:val="center"/>
          </w:tcPr>
          <w:p w14:paraId="09EC1536">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具备对QCA参数进行可视化分析功能，在图表窗口，可以查看实际直径-参照血管直径图表及狭窄百分比曲线图表；</w:t>
            </w:r>
          </w:p>
        </w:tc>
      </w:tr>
      <w:tr w14:paraId="55DE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Align w:val="center"/>
          </w:tcPr>
          <w:p w14:paraId="057C9A4D">
            <w:pPr>
              <w:spacing w:line="240" w:lineRule="auto"/>
              <w:jc w:val="center"/>
              <w:rPr>
                <w:rFonts w:hint="eastAsia" w:ascii="宋体" w:hAnsi="宋体" w:eastAsia="宋体" w:cs="宋体"/>
                <w:b/>
                <w:sz w:val="21"/>
                <w:szCs w:val="21"/>
                <w:vertAlign w:val="baseline"/>
                <w:lang w:eastAsia="zh-Hans"/>
              </w:rPr>
            </w:pPr>
          </w:p>
        </w:tc>
        <w:tc>
          <w:tcPr>
            <w:tcW w:w="825" w:type="dxa"/>
            <w:vAlign w:val="center"/>
          </w:tcPr>
          <w:p w14:paraId="74C295DA">
            <w:pPr>
              <w:keepNext w:val="0"/>
              <w:keepLines w:val="0"/>
              <w:widowControl/>
              <w:suppressLineNumbers w:val="0"/>
              <w:spacing w:line="240" w:lineRule="auto"/>
              <w:jc w:val="center"/>
              <w:textAlignment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11</w:t>
            </w:r>
          </w:p>
        </w:tc>
        <w:tc>
          <w:tcPr>
            <w:tcW w:w="7161" w:type="dxa"/>
            <w:vAlign w:val="center"/>
          </w:tcPr>
          <w:p w14:paraId="40E15E99">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具备患者特异性冠脉口压强输入功能，用户可以输入监测到的病人冠脉口压强值，便于更加准确地进行功能学评估； </w:t>
            </w:r>
          </w:p>
        </w:tc>
      </w:tr>
      <w:tr w14:paraId="4B0B1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Align w:val="center"/>
          </w:tcPr>
          <w:p w14:paraId="2789318B">
            <w:pPr>
              <w:spacing w:line="240" w:lineRule="auto"/>
              <w:jc w:val="center"/>
              <w:rPr>
                <w:rFonts w:hint="eastAsia" w:ascii="宋体" w:hAnsi="宋体" w:eastAsia="宋体" w:cs="宋体"/>
                <w:b/>
                <w:sz w:val="21"/>
                <w:szCs w:val="21"/>
                <w:vertAlign w:val="baseline"/>
                <w:lang w:eastAsia="zh-Hans"/>
              </w:rPr>
            </w:pPr>
          </w:p>
        </w:tc>
        <w:tc>
          <w:tcPr>
            <w:tcW w:w="825" w:type="dxa"/>
            <w:vAlign w:val="center"/>
          </w:tcPr>
          <w:p w14:paraId="07EDA178">
            <w:pPr>
              <w:keepNext w:val="0"/>
              <w:keepLines w:val="0"/>
              <w:widowControl/>
              <w:suppressLineNumbers w:val="0"/>
              <w:spacing w:line="240" w:lineRule="auto"/>
              <w:jc w:val="center"/>
              <w:textAlignment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12</w:t>
            </w:r>
          </w:p>
        </w:tc>
        <w:tc>
          <w:tcPr>
            <w:tcW w:w="7161" w:type="dxa"/>
            <w:vAlign w:val="center"/>
          </w:tcPr>
          <w:p w14:paraId="523C58A2">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对血管影像数据三维重建后血管长度的精度能达到≤±0.5mm，狭窄长度的精度能达到≤±0.5mm；直径狭窄率精度能达到≤±4%；面积狭窄率精度能达到≤±4%；最小管腔直径精度能达到≤±0.2mm；参考管腔直径精度能达到≤±0.2mm；</w:t>
            </w:r>
          </w:p>
        </w:tc>
      </w:tr>
      <w:tr w14:paraId="3C7D7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Align w:val="center"/>
          </w:tcPr>
          <w:p w14:paraId="6F892FD5">
            <w:pPr>
              <w:spacing w:line="240" w:lineRule="auto"/>
              <w:jc w:val="center"/>
              <w:rPr>
                <w:rFonts w:hint="eastAsia" w:ascii="宋体" w:hAnsi="宋体" w:eastAsia="宋体" w:cs="宋体"/>
                <w:b/>
                <w:sz w:val="21"/>
                <w:szCs w:val="21"/>
                <w:vertAlign w:val="baseline"/>
                <w:lang w:eastAsia="zh-Hans"/>
              </w:rPr>
            </w:pPr>
          </w:p>
        </w:tc>
        <w:tc>
          <w:tcPr>
            <w:tcW w:w="825" w:type="dxa"/>
            <w:vAlign w:val="center"/>
          </w:tcPr>
          <w:p w14:paraId="1D55BAAC">
            <w:pPr>
              <w:keepNext w:val="0"/>
              <w:keepLines w:val="0"/>
              <w:widowControl/>
              <w:suppressLineNumbers w:val="0"/>
              <w:spacing w:line="240" w:lineRule="auto"/>
              <w:jc w:val="center"/>
              <w:textAlignment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13</w:t>
            </w:r>
          </w:p>
        </w:tc>
        <w:tc>
          <w:tcPr>
            <w:tcW w:w="7161" w:type="dxa"/>
            <w:vAlign w:val="center"/>
          </w:tcPr>
          <w:p w14:paraId="3DC6BC44">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以基于压力导丝的FFR为参考，冠脉狭窄的准确度大于95%，灵敏度大于95%；特异度大于94%，需提供相关文件资料证明； </w:t>
            </w:r>
          </w:p>
        </w:tc>
      </w:tr>
      <w:tr w14:paraId="273CD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Align w:val="center"/>
          </w:tcPr>
          <w:p w14:paraId="1DF82902">
            <w:pPr>
              <w:spacing w:line="240" w:lineRule="auto"/>
              <w:jc w:val="center"/>
              <w:rPr>
                <w:rFonts w:hint="eastAsia" w:ascii="宋体" w:hAnsi="宋体" w:eastAsia="宋体" w:cs="宋体"/>
                <w:b/>
                <w:sz w:val="21"/>
                <w:szCs w:val="21"/>
                <w:vertAlign w:val="baseline"/>
                <w:lang w:eastAsia="zh-Hans"/>
              </w:rPr>
            </w:pPr>
          </w:p>
        </w:tc>
        <w:tc>
          <w:tcPr>
            <w:tcW w:w="825" w:type="dxa"/>
            <w:vAlign w:val="center"/>
          </w:tcPr>
          <w:p w14:paraId="3CDE3BA1">
            <w:pPr>
              <w:keepNext w:val="0"/>
              <w:keepLines w:val="0"/>
              <w:widowControl/>
              <w:suppressLineNumbers w:val="0"/>
              <w:spacing w:line="240" w:lineRule="auto"/>
              <w:jc w:val="center"/>
              <w:textAlignment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14</w:t>
            </w:r>
          </w:p>
        </w:tc>
        <w:tc>
          <w:tcPr>
            <w:tcW w:w="7161" w:type="dxa"/>
            <w:vAlign w:val="center"/>
          </w:tcPr>
          <w:p w14:paraId="4A89524E">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以基于导丝测量的IMR为参考，微循环阻力指数的准确度大于94%，灵敏度大于92%；特异度大于95%，需提供相关文件资料证明；</w:t>
            </w:r>
          </w:p>
        </w:tc>
      </w:tr>
      <w:tr w14:paraId="255F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Align w:val="center"/>
          </w:tcPr>
          <w:p w14:paraId="62864B9A">
            <w:pPr>
              <w:spacing w:line="240" w:lineRule="auto"/>
              <w:jc w:val="center"/>
              <w:rPr>
                <w:rFonts w:hint="eastAsia" w:ascii="宋体" w:hAnsi="宋体" w:eastAsia="宋体" w:cs="宋体"/>
                <w:b/>
                <w:sz w:val="21"/>
                <w:szCs w:val="21"/>
                <w:vertAlign w:val="baseline"/>
                <w:lang w:eastAsia="zh-Hans"/>
              </w:rPr>
            </w:pPr>
          </w:p>
        </w:tc>
        <w:tc>
          <w:tcPr>
            <w:tcW w:w="825" w:type="dxa"/>
            <w:vAlign w:val="center"/>
          </w:tcPr>
          <w:p w14:paraId="172D1B29">
            <w:pPr>
              <w:keepNext w:val="0"/>
              <w:keepLines w:val="0"/>
              <w:widowControl/>
              <w:suppressLineNumbers w:val="0"/>
              <w:spacing w:line="240" w:lineRule="auto"/>
              <w:jc w:val="center"/>
              <w:textAlignment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15</w:t>
            </w:r>
          </w:p>
        </w:tc>
        <w:tc>
          <w:tcPr>
            <w:tcW w:w="7161" w:type="dxa"/>
            <w:vAlign w:val="center"/>
          </w:tcPr>
          <w:p w14:paraId="44BDC9F0">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系统支持在每个分支血管上植入2个虚拟支架，能灵活放置、删除虚拟支架；</w:t>
            </w:r>
          </w:p>
        </w:tc>
      </w:tr>
      <w:tr w14:paraId="7278B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Align w:val="center"/>
          </w:tcPr>
          <w:p w14:paraId="2A21EE35">
            <w:pPr>
              <w:spacing w:line="240" w:lineRule="auto"/>
              <w:jc w:val="center"/>
              <w:rPr>
                <w:rFonts w:hint="eastAsia" w:ascii="宋体" w:hAnsi="宋体" w:eastAsia="宋体" w:cs="宋体"/>
                <w:b/>
                <w:sz w:val="21"/>
                <w:szCs w:val="21"/>
                <w:vertAlign w:val="baseline"/>
                <w:lang w:eastAsia="zh-Hans"/>
              </w:rPr>
            </w:pPr>
          </w:p>
        </w:tc>
        <w:tc>
          <w:tcPr>
            <w:tcW w:w="825" w:type="dxa"/>
            <w:vAlign w:val="center"/>
          </w:tcPr>
          <w:p w14:paraId="1FC76479">
            <w:pPr>
              <w:keepNext w:val="0"/>
              <w:keepLines w:val="0"/>
              <w:widowControl/>
              <w:suppressLineNumbers w:val="0"/>
              <w:spacing w:line="240" w:lineRule="auto"/>
              <w:jc w:val="center"/>
              <w:textAlignment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16</w:t>
            </w:r>
          </w:p>
        </w:tc>
        <w:tc>
          <w:tcPr>
            <w:tcW w:w="7161" w:type="dxa"/>
            <w:vAlign w:val="center"/>
          </w:tcPr>
          <w:p w14:paraId="360A80FD">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系统支持同时在二维造影影像、三维血管模型以及狭窄血管图表中显示支架；</w:t>
            </w:r>
          </w:p>
        </w:tc>
      </w:tr>
      <w:tr w14:paraId="71F08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Align w:val="center"/>
          </w:tcPr>
          <w:p w14:paraId="589E141F">
            <w:pPr>
              <w:spacing w:line="240" w:lineRule="auto"/>
              <w:jc w:val="center"/>
              <w:rPr>
                <w:rFonts w:hint="eastAsia" w:ascii="宋体" w:hAnsi="宋体" w:eastAsia="宋体" w:cs="宋体"/>
                <w:b/>
                <w:sz w:val="21"/>
                <w:szCs w:val="21"/>
                <w:vertAlign w:val="baseline"/>
                <w:lang w:eastAsia="zh-Hans"/>
              </w:rPr>
            </w:pPr>
          </w:p>
        </w:tc>
        <w:tc>
          <w:tcPr>
            <w:tcW w:w="825" w:type="dxa"/>
            <w:vAlign w:val="center"/>
          </w:tcPr>
          <w:p w14:paraId="07F40270">
            <w:pPr>
              <w:keepNext w:val="0"/>
              <w:keepLines w:val="0"/>
              <w:widowControl/>
              <w:suppressLineNumbers w:val="0"/>
              <w:spacing w:line="240" w:lineRule="auto"/>
              <w:jc w:val="center"/>
              <w:textAlignment w:val="center"/>
              <w:rPr>
                <w:rFonts w:hint="default" w:ascii="宋体" w:hAnsi="宋体" w:eastAsia="宋体" w:cs="宋体"/>
                <w:b/>
                <w:sz w:val="21"/>
                <w:szCs w:val="21"/>
                <w:vertAlign w:val="baseline"/>
                <w:lang w:val="en-US" w:eastAsia="zh-Hans"/>
              </w:rPr>
            </w:pPr>
            <w:r>
              <w:rPr>
                <w:rFonts w:hint="eastAsia" w:ascii="宋体" w:hAnsi="宋体" w:eastAsia="宋体" w:cs="宋体"/>
                <w:i w:val="0"/>
                <w:iCs w:val="0"/>
                <w:color w:val="000000"/>
                <w:kern w:val="0"/>
                <w:sz w:val="21"/>
                <w:szCs w:val="21"/>
                <w:u w:val="none"/>
                <w:lang w:val="en-US" w:eastAsia="zh-CN" w:bidi="ar"/>
              </w:rPr>
              <w:t>17</w:t>
            </w:r>
          </w:p>
        </w:tc>
        <w:tc>
          <w:tcPr>
            <w:tcW w:w="7161" w:type="dxa"/>
            <w:vAlign w:val="center"/>
          </w:tcPr>
          <w:p w14:paraId="3A87EA04">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系统支持灵活调节虚拟支架长度以及落脚点，实时显示残余血流储备分数随支架调节的更新结果；</w:t>
            </w:r>
          </w:p>
        </w:tc>
      </w:tr>
      <w:tr w14:paraId="44A54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Align w:val="center"/>
          </w:tcPr>
          <w:p w14:paraId="1A69085C">
            <w:pPr>
              <w:spacing w:line="240" w:lineRule="auto"/>
              <w:jc w:val="center"/>
              <w:rPr>
                <w:rFonts w:hint="eastAsia" w:ascii="宋体" w:hAnsi="宋体" w:eastAsia="宋体" w:cs="宋体"/>
                <w:b/>
                <w:sz w:val="21"/>
                <w:szCs w:val="21"/>
                <w:vertAlign w:val="baseline"/>
                <w:lang w:eastAsia="zh-Hans"/>
              </w:rPr>
            </w:pPr>
          </w:p>
        </w:tc>
        <w:tc>
          <w:tcPr>
            <w:tcW w:w="825" w:type="dxa"/>
            <w:vAlign w:val="center"/>
          </w:tcPr>
          <w:p w14:paraId="790041D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7161" w:type="dxa"/>
            <w:vAlign w:val="center"/>
          </w:tcPr>
          <w:p w14:paraId="1C2E4279">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具备心脏左心室分析的功能，自动计算输出功能参数，包括舒张末期容积EDV、收缩末期容积ESV、射血分数EF、每搏输出量SV；</w:t>
            </w:r>
          </w:p>
        </w:tc>
      </w:tr>
      <w:tr w14:paraId="135D2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shd w:val="clear" w:color="auto" w:fill="auto"/>
            <w:vAlign w:val="center"/>
          </w:tcPr>
          <w:p w14:paraId="335A1F8E">
            <w:pPr>
              <w:widowControl/>
              <w:spacing w:line="240" w:lineRule="auto"/>
              <w:jc w:val="center"/>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rPr>
              <w:t>★</w:t>
            </w:r>
          </w:p>
        </w:tc>
        <w:tc>
          <w:tcPr>
            <w:tcW w:w="825" w:type="dxa"/>
            <w:shd w:val="clear" w:color="auto" w:fill="auto"/>
            <w:vAlign w:val="center"/>
          </w:tcPr>
          <w:p w14:paraId="7AAF1775">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7161" w:type="dxa"/>
            <w:shd w:val="clear" w:color="auto" w:fill="auto"/>
            <w:vAlign w:val="center"/>
          </w:tcPr>
          <w:p w14:paraId="0B342411">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54C20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shd w:val="clear" w:color="auto" w:fill="auto"/>
            <w:vAlign w:val="center"/>
          </w:tcPr>
          <w:p w14:paraId="63DBF01A">
            <w:pPr>
              <w:widowControl/>
              <w:spacing w:line="240" w:lineRule="auto"/>
              <w:jc w:val="center"/>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rPr>
              <w:t>★</w:t>
            </w:r>
          </w:p>
        </w:tc>
        <w:tc>
          <w:tcPr>
            <w:tcW w:w="825" w:type="dxa"/>
            <w:shd w:val="clear" w:color="auto" w:fill="auto"/>
            <w:vAlign w:val="center"/>
          </w:tcPr>
          <w:p w14:paraId="7EB8057A">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w:t>
            </w:r>
          </w:p>
        </w:tc>
        <w:tc>
          <w:tcPr>
            <w:tcW w:w="7161" w:type="dxa"/>
            <w:shd w:val="clear" w:color="auto" w:fill="auto"/>
            <w:vAlign w:val="center"/>
          </w:tcPr>
          <w:p w14:paraId="475A941B">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72235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shd w:val="clear" w:color="auto" w:fill="auto"/>
            <w:vAlign w:val="center"/>
          </w:tcPr>
          <w:p w14:paraId="6804D617">
            <w:pPr>
              <w:widowControl/>
              <w:spacing w:line="240" w:lineRule="auto"/>
              <w:jc w:val="center"/>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rPr>
              <w:t>★</w:t>
            </w:r>
          </w:p>
        </w:tc>
        <w:tc>
          <w:tcPr>
            <w:tcW w:w="825" w:type="dxa"/>
            <w:shd w:val="clear" w:color="auto" w:fill="auto"/>
            <w:vAlign w:val="center"/>
          </w:tcPr>
          <w:p w14:paraId="36A8399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w:t>
            </w:r>
          </w:p>
        </w:tc>
        <w:tc>
          <w:tcPr>
            <w:tcW w:w="7161" w:type="dxa"/>
            <w:shd w:val="clear" w:color="auto" w:fill="auto"/>
            <w:vAlign w:val="center"/>
          </w:tcPr>
          <w:p w14:paraId="2E08F35A">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0CA90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shd w:val="clear" w:color="auto" w:fill="auto"/>
            <w:vAlign w:val="center"/>
          </w:tcPr>
          <w:p w14:paraId="0D7A2636">
            <w:pPr>
              <w:widowControl/>
              <w:spacing w:line="240" w:lineRule="auto"/>
              <w:jc w:val="center"/>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rPr>
              <w:t>★</w:t>
            </w:r>
          </w:p>
        </w:tc>
        <w:tc>
          <w:tcPr>
            <w:tcW w:w="825" w:type="dxa"/>
            <w:shd w:val="clear" w:color="auto" w:fill="auto"/>
            <w:vAlign w:val="center"/>
          </w:tcPr>
          <w:p w14:paraId="725BE04D">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22</w:t>
            </w:r>
          </w:p>
        </w:tc>
        <w:tc>
          <w:tcPr>
            <w:tcW w:w="7161" w:type="dxa"/>
            <w:shd w:val="clear" w:color="auto" w:fill="auto"/>
            <w:vAlign w:val="center"/>
          </w:tcPr>
          <w:p w14:paraId="373B1BE7">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11762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shd w:val="clear" w:color="auto" w:fill="auto"/>
            <w:vAlign w:val="center"/>
          </w:tcPr>
          <w:p w14:paraId="62E56BC1">
            <w:pPr>
              <w:widowControl/>
              <w:spacing w:line="240" w:lineRule="auto"/>
              <w:jc w:val="center"/>
              <w:rPr>
                <w:rFonts w:hint="eastAsia" w:ascii="宋体" w:hAnsi="宋体" w:eastAsia="宋体" w:cs="宋体"/>
                <w:kern w:val="0"/>
                <w:sz w:val="21"/>
                <w:szCs w:val="21"/>
                <w:lang w:val="en-US" w:eastAsia="zh-Hans" w:bidi="lo-LA"/>
              </w:rPr>
            </w:pPr>
          </w:p>
        </w:tc>
        <w:tc>
          <w:tcPr>
            <w:tcW w:w="825" w:type="dxa"/>
            <w:shd w:val="clear" w:color="auto" w:fill="auto"/>
            <w:vAlign w:val="center"/>
          </w:tcPr>
          <w:p w14:paraId="60CB7AD4">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23</w:t>
            </w:r>
          </w:p>
        </w:tc>
        <w:tc>
          <w:tcPr>
            <w:tcW w:w="7161" w:type="dxa"/>
            <w:shd w:val="clear" w:color="auto" w:fill="auto"/>
            <w:vAlign w:val="center"/>
          </w:tcPr>
          <w:p w14:paraId="0CA0717B">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bl>
    <w:p w14:paraId="0DDCC557">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2F8471A">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67F6F5B">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12889C8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表2 综合评分表</w:t>
      </w:r>
    </w:p>
    <w:tbl>
      <w:tblPr>
        <w:tblStyle w:val="11"/>
        <w:tblpPr w:vertAnchor="text" w:tblpXSpec="center" w:tblpY="1"/>
        <w:tblW w:w="8570" w:type="dxa"/>
        <w:tblInd w:w="108" w:type="dxa"/>
        <w:tblLayout w:type="fixed"/>
        <w:tblCellMar>
          <w:top w:w="0" w:type="dxa"/>
          <w:left w:w="0" w:type="dxa"/>
          <w:bottom w:w="0" w:type="dxa"/>
          <w:right w:w="0" w:type="dxa"/>
        </w:tblCellMar>
      </w:tblPr>
      <w:tblGrid>
        <w:gridCol w:w="528"/>
        <w:gridCol w:w="1701"/>
        <w:gridCol w:w="6341"/>
      </w:tblGrid>
      <w:tr w14:paraId="7205CB6F">
        <w:tblPrEx>
          <w:tblCellMar>
            <w:top w:w="0" w:type="dxa"/>
            <w:left w:w="0" w:type="dxa"/>
            <w:bottom w:w="0" w:type="dxa"/>
            <w:right w:w="0" w:type="dxa"/>
          </w:tblCellMar>
        </w:tblPrEx>
        <w:trPr>
          <w:trHeight w:val="976" w:hRule="atLeast"/>
        </w:trPr>
        <w:tc>
          <w:tcPr>
            <w:tcW w:w="2229"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0EC6DA">
            <w:pPr>
              <w:widowControl/>
              <w:autoSpaceDE/>
              <w:autoSpaceDN/>
              <w:snapToGrid/>
              <w:spacing w:before="0" w:after="0" w:line="240" w:lineRule="auto"/>
              <w:ind w:left="0" w:firstLine="0"/>
              <w:jc w:val="left"/>
              <w:rPr>
                <w:rFonts w:ascii="宋体" w:hAnsi="Calibri" w:eastAsia="宋体"/>
                <w:b w:val="0"/>
                <w:w w:val="100"/>
                <w:sz w:val="21"/>
              </w:rPr>
            </w:pPr>
            <w:r>
              <w:rPr>
                <w:rFonts w:ascii="宋体" w:hAnsi="宋体" w:eastAsia="宋体"/>
                <w:b w:val="0"/>
                <w:w w:val="100"/>
                <w:sz w:val="21"/>
              </w:rPr>
              <w:t>评审因素</w:t>
            </w:r>
          </w:p>
        </w:tc>
        <w:tc>
          <w:tcPr>
            <w:tcW w:w="6341"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D0BC1A">
            <w:pPr>
              <w:widowControl/>
              <w:autoSpaceDE/>
              <w:autoSpaceDN/>
              <w:snapToGrid/>
              <w:spacing w:before="0" w:after="0" w:line="240" w:lineRule="auto"/>
              <w:ind w:left="0" w:firstLine="0"/>
              <w:jc w:val="left"/>
              <w:rPr>
                <w:rFonts w:ascii="宋体" w:hAnsi="Calibri" w:eastAsia="宋体"/>
                <w:b w:val="0"/>
                <w:w w:val="100"/>
                <w:sz w:val="21"/>
              </w:rPr>
            </w:pPr>
            <w:r>
              <w:rPr>
                <w:rFonts w:ascii="宋体" w:hAnsi="宋体" w:eastAsia="宋体"/>
                <w:b w:val="0"/>
                <w:w w:val="100"/>
                <w:sz w:val="21"/>
              </w:rPr>
              <w:t>评分标准</w:t>
            </w:r>
          </w:p>
        </w:tc>
      </w:tr>
      <w:tr w14:paraId="38D705A7">
        <w:tblPrEx>
          <w:tblCellMar>
            <w:top w:w="0" w:type="dxa"/>
            <w:left w:w="0" w:type="dxa"/>
            <w:bottom w:w="0" w:type="dxa"/>
            <w:right w:w="0" w:type="dxa"/>
          </w:tblCellMar>
        </w:tblPrEx>
        <w:trPr>
          <w:trHeight w:val="1415" w:hRule="atLeast"/>
        </w:trPr>
        <w:tc>
          <w:tcPr>
            <w:tcW w:w="2229"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5883B2">
            <w:pPr>
              <w:widowControl/>
              <w:autoSpaceDE/>
              <w:autoSpaceDN/>
              <w:snapToGrid/>
              <w:spacing w:before="0" w:after="0" w:line="240" w:lineRule="auto"/>
              <w:ind w:left="0" w:firstLine="0"/>
              <w:jc w:val="left"/>
              <w:rPr>
                <w:rFonts w:ascii="宋体" w:hAnsi="Calibri" w:eastAsia="宋体"/>
                <w:b w:val="0"/>
                <w:w w:val="100"/>
                <w:sz w:val="21"/>
              </w:rPr>
            </w:pPr>
            <w:r>
              <w:rPr>
                <w:rFonts w:ascii="宋体" w:hAnsi="宋体" w:eastAsia="宋体"/>
                <w:b w:val="0"/>
                <w:w w:val="100"/>
                <w:sz w:val="21"/>
              </w:rPr>
              <w:t>分值构成</w:t>
            </w:r>
          </w:p>
        </w:tc>
        <w:tc>
          <w:tcPr>
            <w:tcW w:w="6341"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6CD8AC">
            <w:pPr>
              <w:widowControl/>
              <w:autoSpaceDE/>
              <w:autoSpaceDN/>
              <w:snapToGrid/>
              <w:spacing w:before="0" w:after="0" w:line="240" w:lineRule="auto"/>
              <w:ind w:left="0" w:firstLine="0"/>
              <w:jc w:val="left"/>
              <w:rPr>
                <w:rFonts w:ascii="宋体" w:hAnsi="Calibri" w:eastAsia="宋体"/>
                <w:b w:val="0"/>
                <w:w w:val="100"/>
                <w:sz w:val="21"/>
              </w:rPr>
            </w:pPr>
            <w:r>
              <w:rPr>
                <w:rFonts w:ascii="宋体" w:hAnsi="宋体" w:eastAsia="宋体"/>
                <w:b w:val="0"/>
                <w:w w:val="100"/>
                <w:sz w:val="21"/>
              </w:rPr>
              <w:t xml:space="preserve">1、报价得分  </w:t>
            </w:r>
            <w:r>
              <w:rPr>
                <w:rFonts w:hint="eastAsia" w:ascii="宋体" w:hAnsi="宋体" w:eastAsia="宋体"/>
                <w:b w:val="0"/>
                <w:w w:val="100"/>
                <w:sz w:val="21"/>
                <w:lang w:val="en-US" w:eastAsia="zh-CN"/>
              </w:rPr>
              <w:t>6</w:t>
            </w:r>
            <w:r>
              <w:rPr>
                <w:rFonts w:hint="eastAsia" w:ascii="宋体" w:hAnsi="宋体" w:eastAsia="宋体"/>
                <w:b w:val="0"/>
                <w:w w:val="100"/>
                <w:sz w:val="21"/>
                <w:lang w:eastAsia="zh-CN"/>
              </w:rPr>
              <w:t>0</w:t>
            </w:r>
            <w:r>
              <w:rPr>
                <w:rFonts w:ascii="宋体" w:hAnsi="宋体" w:eastAsia="宋体"/>
                <w:b w:val="0"/>
                <w:w w:val="100"/>
                <w:sz w:val="21"/>
              </w:rPr>
              <w:t>分；</w:t>
            </w:r>
          </w:p>
          <w:p w14:paraId="3CD5DD68">
            <w:pPr>
              <w:widowControl/>
              <w:autoSpaceDE/>
              <w:autoSpaceDN/>
              <w:snapToGrid/>
              <w:spacing w:before="0" w:after="0" w:line="240" w:lineRule="auto"/>
              <w:ind w:left="0" w:firstLine="0"/>
              <w:jc w:val="left"/>
              <w:rPr>
                <w:rFonts w:ascii="宋体" w:hAnsi="Calibri" w:eastAsia="宋体"/>
                <w:b w:val="0"/>
                <w:w w:val="100"/>
                <w:sz w:val="21"/>
              </w:rPr>
            </w:pPr>
            <w:r>
              <w:rPr>
                <w:rFonts w:hint="eastAsia" w:ascii="宋体" w:hAnsi="宋体" w:eastAsia="宋体"/>
                <w:b w:val="0"/>
                <w:w w:val="100"/>
                <w:sz w:val="21"/>
                <w:lang w:val="en-US" w:eastAsia="zh-CN"/>
              </w:rPr>
              <w:t>2</w:t>
            </w:r>
            <w:r>
              <w:rPr>
                <w:rFonts w:ascii="宋体" w:hAnsi="宋体" w:eastAsia="宋体"/>
                <w:b w:val="0"/>
                <w:w w:val="100"/>
                <w:sz w:val="21"/>
              </w:rPr>
              <w:t>、技术部分 </w:t>
            </w:r>
            <w:r>
              <w:rPr>
                <w:rFonts w:hint="eastAsia" w:ascii="宋体" w:hAnsi="宋体" w:eastAsia="宋体"/>
                <w:b w:val="0"/>
                <w:w w:val="100"/>
                <w:sz w:val="21"/>
                <w:lang w:val="en-US" w:eastAsia="zh-CN"/>
              </w:rPr>
              <w:t>40</w:t>
            </w:r>
            <w:r>
              <w:rPr>
                <w:rFonts w:ascii="宋体" w:hAnsi="宋体" w:eastAsia="宋体"/>
                <w:b w:val="0"/>
                <w:w w:val="100"/>
                <w:sz w:val="21"/>
              </w:rPr>
              <w:t>分。</w:t>
            </w:r>
          </w:p>
        </w:tc>
      </w:tr>
      <w:tr w14:paraId="013DB7C3">
        <w:tblPrEx>
          <w:tblCellMar>
            <w:top w:w="0" w:type="dxa"/>
            <w:left w:w="0" w:type="dxa"/>
            <w:bottom w:w="0" w:type="dxa"/>
            <w:right w:w="0" w:type="dxa"/>
          </w:tblCellMar>
        </w:tblPrEx>
        <w:trPr>
          <w:trHeight w:val="1404" w:hRule="atLeast"/>
        </w:trPr>
        <w:tc>
          <w:tcPr>
            <w:tcW w:w="528" w:type="dxa"/>
            <w:vMerge w:val="restart"/>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2A03CB">
            <w:pPr>
              <w:widowControl/>
              <w:autoSpaceDE/>
              <w:autoSpaceDN/>
              <w:snapToGrid/>
              <w:spacing w:before="0" w:after="0" w:line="240" w:lineRule="auto"/>
              <w:ind w:left="0" w:firstLine="0"/>
              <w:jc w:val="left"/>
              <w:rPr>
                <w:rFonts w:ascii="宋体" w:hAnsi="Calibri" w:eastAsia="宋体"/>
                <w:b w:val="0"/>
                <w:w w:val="100"/>
                <w:sz w:val="21"/>
              </w:rPr>
            </w:pPr>
            <w:r>
              <w:rPr>
                <w:rFonts w:ascii="宋体" w:hAnsi="宋体" w:eastAsia="宋体"/>
                <w:b w:val="0"/>
                <w:w w:val="100"/>
                <w:sz w:val="21"/>
              </w:rPr>
              <w:t>投标报价</w:t>
            </w:r>
          </w:p>
        </w:tc>
        <w:tc>
          <w:tcPr>
            <w:tcW w:w="1701"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686EC5">
            <w:pPr>
              <w:widowControl/>
              <w:autoSpaceDE/>
              <w:autoSpaceDN/>
              <w:snapToGrid/>
              <w:spacing w:before="0" w:after="0" w:line="240" w:lineRule="auto"/>
              <w:ind w:left="0" w:firstLine="0"/>
              <w:jc w:val="left"/>
              <w:rPr>
                <w:rFonts w:ascii="宋体" w:hAnsi="Calibri" w:eastAsia="宋体"/>
                <w:b w:val="0"/>
                <w:w w:val="100"/>
                <w:sz w:val="21"/>
              </w:rPr>
            </w:pPr>
            <w:r>
              <w:rPr>
                <w:rFonts w:ascii="宋体" w:hAnsi="宋体" w:eastAsia="宋体"/>
                <w:b w:val="0"/>
                <w:w w:val="100"/>
                <w:sz w:val="21"/>
              </w:rPr>
              <w:t>评标基准价确定方法</w:t>
            </w:r>
          </w:p>
        </w:tc>
        <w:tc>
          <w:tcPr>
            <w:tcW w:w="6341"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2C3869">
            <w:pPr>
              <w:widowControl/>
              <w:autoSpaceDE/>
              <w:autoSpaceDN/>
              <w:snapToGrid/>
              <w:spacing w:before="0" w:after="0" w:line="240" w:lineRule="auto"/>
              <w:ind w:left="0" w:firstLine="0"/>
              <w:jc w:val="left"/>
              <w:rPr>
                <w:rFonts w:ascii="宋体" w:hAnsi="Calibri" w:eastAsia="宋体"/>
                <w:b w:val="0"/>
                <w:w w:val="100"/>
                <w:sz w:val="21"/>
              </w:rPr>
            </w:pPr>
            <w:r>
              <w:rPr>
                <w:rFonts w:ascii="宋体" w:hAnsi="宋体" w:eastAsia="宋体"/>
                <w:b w:val="0"/>
                <w:w w:val="100"/>
                <w:sz w:val="21"/>
              </w:rPr>
              <w:t>满足招标文件要求通过初步评审的且投标报价最低的为评标基准价。</w:t>
            </w:r>
          </w:p>
        </w:tc>
      </w:tr>
      <w:tr w14:paraId="239BE73C">
        <w:tblPrEx>
          <w:tblCellMar>
            <w:top w:w="0" w:type="dxa"/>
            <w:left w:w="0" w:type="dxa"/>
            <w:bottom w:w="0" w:type="dxa"/>
            <w:right w:w="0" w:type="dxa"/>
          </w:tblCellMar>
        </w:tblPrEx>
        <w:trPr>
          <w:trHeight w:val="1407" w:hRule="atLeast"/>
        </w:trPr>
        <w:tc>
          <w:tcPr>
            <w:tcW w:w="528" w:type="dxa"/>
            <w:vMerge w:val="continue"/>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513935">
            <w:pPr>
              <w:widowControl/>
              <w:autoSpaceDE/>
              <w:autoSpaceDN/>
              <w:snapToGrid/>
              <w:spacing w:before="0" w:after="0" w:line="240" w:lineRule="auto"/>
              <w:ind w:left="0" w:firstLine="0"/>
              <w:jc w:val="left"/>
              <w:rPr>
                <w:rFonts w:ascii="宋体" w:hAnsi="Calibri" w:eastAsia="宋体"/>
                <w:b w:val="0"/>
                <w:w w:val="100"/>
                <w:sz w:val="21"/>
              </w:rPr>
            </w:pPr>
          </w:p>
        </w:tc>
        <w:tc>
          <w:tcPr>
            <w:tcW w:w="17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D5A3E9">
            <w:pPr>
              <w:widowControl/>
              <w:autoSpaceDE/>
              <w:autoSpaceDN/>
              <w:snapToGrid w:val="0"/>
              <w:spacing w:before="0" w:after="0" w:line="240" w:lineRule="auto"/>
              <w:ind w:left="0" w:firstLine="0"/>
              <w:jc w:val="center"/>
              <w:rPr>
                <w:rFonts w:ascii="宋体" w:hAnsi="Calibri" w:eastAsia="宋体"/>
                <w:b w:val="0"/>
                <w:w w:val="100"/>
                <w:sz w:val="21"/>
              </w:rPr>
            </w:pPr>
            <w:r>
              <w:rPr>
                <w:rFonts w:ascii="宋体" w:hAnsi="宋体" w:eastAsia="宋体"/>
                <w:b w:val="0"/>
                <w:w w:val="100"/>
                <w:sz w:val="21"/>
              </w:rPr>
              <w:t>投标报价得分（</w:t>
            </w:r>
            <w:r>
              <w:rPr>
                <w:rFonts w:hint="eastAsia" w:ascii="宋体" w:hAnsi="宋体" w:eastAsia="宋体"/>
                <w:b w:val="0"/>
                <w:w w:val="100"/>
                <w:sz w:val="21"/>
                <w:lang w:val="en-US" w:eastAsia="zh-CN"/>
              </w:rPr>
              <w:t>6</w:t>
            </w:r>
            <w:r>
              <w:rPr>
                <w:rFonts w:hint="eastAsia" w:ascii="宋体" w:hAnsi="宋体" w:eastAsia="宋体"/>
                <w:b w:val="0"/>
                <w:w w:val="100"/>
                <w:sz w:val="21"/>
                <w:lang w:eastAsia="zh-CN"/>
              </w:rPr>
              <w:t>0</w:t>
            </w:r>
            <w:r>
              <w:rPr>
                <w:rFonts w:ascii="宋体" w:hAnsi="宋体" w:eastAsia="宋体"/>
                <w:b w:val="0"/>
                <w:w w:val="100"/>
                <w:sz w:val="21"/>
              </w:rPr>
              <w:t>分）</w:t>
            </w:r>
          </w:p>
        </w:tc>
        <w:tc>
          <w:tcPr>
            <w:tcW w:w="6341"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8180E0">
            <w:pPr>
              <w:widowControl/>
              <w:autoSpaceDE/>
              <w:autoSpaceDN/>
              <w:snapToGrid w:val="0"/>
              <w:spacing w:before="0" w:after="0" w:line="240" w:lineRule="auto"/>
              <w:ind w:left="0" w:firstLine="0"/>
              <w:jc w:val="left"/>
              <w:rPr>
                <w:rFonts w:ascii="宋体" w:hAnsi="Calibri" w:eastAsia="宋体"/>
                <w:b w:val="0"/>
                <w:w w:val="100"/>
                <w:sz w:val="21"/>
              </w:rPr>
            </w:pPr>
            <w:r>
              <w:rPr>
                <w:rFonts w:ascii="宋体" w:hAnsi="宋体" w:eastAsia="宋体"/>
                <w:b w:val="0"/>
                <w:w w:val="100"/>
                <w:sz w:val="21"/>
              </w:rPr>
              <w:t>投标报价得分＝（评标基准价/投标报价）×</w:t>
            </w:r>
            <w:r>
              <w:rPr>
                <w:rFonts w:hint="eastAsia" w:ascii="宋体" w:hAnsi="宋体" w:eastAsia="宋体"/>
                <w:b w:val="0"/>
                <w:w w:val="100"/>
                <w:sz w:val="21"/>
                <w:lang w:val="en-US" w:eastAsia="zh-CN"/>
              </w:rPr>
              <w:t>6</w:t>
            </w:r>
            <w:r>
              <w:rPr>
                <w:rFonts w:hint="eastAsia" w:ascii="宋体" w:hAnsi="宋体" w:eastAsia="宋体"/>
                <w:b w:val="0"/>
                <w:w w:val="100"/>
                <w:sz w:val="21"/>
                <w:lang w:eastAsia="zh-CN"/>
              </w:rPr>
              <w:t>0</w:t>
            </w:r>
            <w:r>
              <w:rPr>
                <w:rFonts w:ascii="宋体" w:hAnsi="宋体" w:eastAsia="宋体"/>
                <w:b w:val="0"/>
                <w:w w:val="100"/>
                <w:sz w:val="21"/>
              </w:rPr>
              <w:t>。</w:t>
            </w:r>
          </w:p>
        </w:tc>
      </w:tr>
      <w:tr w14:paraId="34B0B13E">
        <w:tblPrEx>
          <w:tblCellMar>
            <w:top w:w="0" w:type="dxa"/>
            <w:left w:w="0" w:type="dxa"/>
            <w:bottom w:w="0" w:type="dxa"/>
            <w:right w:w="0" w:type="dxa"/>
          </w:tblCellMar>
        </w:tblPrEx>
        <w:trPr>
          <w:trHeight w:val="2063" w:hRule="atLeast"/>
        </w:trPr>
        <w:tc>
          <w:tcPr>
            <w:tcW w:w="52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43743B">
            <w:pPr>
              <w:widowControl/>
              <w:autoSpaceDE/>
              <w:autoSpaceDN/>
              <w:snapToGrid/>
              <w:spacing w:before="0" w:after="0" w:line="240" w:lineRule="auto"/>
              <w:ind w:left="0" w:firstLine="0"/>
              <w:jc w:val="left"/>
              <w:rPr>
                <w:rFonts w:ascii="宋体" w:hAnsi="宋体" w:eastAsia="宋体"/>
                <w:b w:val="0"/>
                <w:w w:val="100"/>
                <w:sz w:val="21"/>
              </w:rPr>
            </w:pPr>
            <w:r>
              <w:rPr>
                <w:rFonts w:ascii="宋体" w:hAnsi="宋体" w:eastAsia="宋体"/>
                <w:b w:val="0"/>
                <w:w w:val="100"/>
                <w:sz w:val="21"/>
              </w:rPr>
              <w:t>技术部分</w:t>
            </w:r>
          </w:p>
        </w:tc>
        <w:tc>
          <w:tcPr>
            <w:tcW w:w="17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1CC78D">
            <w:pPr>
              <w:widowControl/>
              <w:autoSpaceDE/>
              <w:autoSpaceDN/>
              <w:snapToGrid/>
              <w:spacing w:before="0" w:after="0" w:line="240" w:lineRule="auto"/>
              <w:ind w:left="0" w:firstLine="0"/>
              <w:jc w:val="center"/>
              <w:rPr>
                <w:rFonts w:ascii="宋体" w:hAnsi="宋体" w:eastAsia="宋体"/>
                <w:b w:val="0"/>
                <w:color w:val="auto"/>
                <w:w w:val="100"/>
                <w:sz w:val="21"/>
              </w:rPr>
            </w:pPr>
            <w:r>
              <w:rPr>
                <w:rFonts w:ascii="宋体" w:hAnsi="宋体" w:eastAsia="宋体"/>
                <w:b w:val="0"/>
                <w:color w:val="auto"/>
                <w:w w:val="100"/>
                <w:sz w:val="21"/>
              </w:rPr>
              <w:t>一般技术参数（</w:t>
            </w:r>
            <w:r>
              <w:rPr>
                <w:rFonts w:hint="eastAsia" w:ascii="宋体" w:hAnsi="宋体" w:eastAsia="宋体"/>
                <w:b w:val="0"/>
                <w:color w:val="auto"/>
                <w:w w:val="100"/>
                <w:sz w:val="21"/>
                <w:lang w:val="en-US" w:eastAsia="zh-CN"/>
              </w:rPr>
              <w:t>非</w:t>
            </w:r>
            <w:r>
              <w:rPr>
                <w:rFonts w:ascii="宋体" w:hAnsi="宋体" w:eastAsia="宋体"/>
                <w:b w:val="0"/>
                <w:color w:val="auto"/>
                <w:w w:val="100"/>
                <w:sz w:val="21"/>
              </w:rPr>
              <w:t>标“</w:t>
            </w:r>
            <w:r>
              <w:rPr>
                <w:rFonts w:hint="eastAsia" w:ascii="宋体" w:hAnsi="宋体" w:eastAsia="宋体" w:cs="宋体"/>
                <w:kern w:val="0"/>
                <w:sz w:val="21"/>
                <w:szCs w:val="21"/>
              </w:rPr>
              <w:t>★</w:t>
            </w:r>
            <w:r>
              <w:rPr>
                <w:rFonts w:hint="eastAsia" w:ascii="宋体" w:hAnsi="宋体" w:eastAsia="宋体"/>
                <w:b w:val="0"/>
                <w:color w:val="auto"/>
                <w:w w:val="100"/>
                <w:sz w:val="21"/>
                <w:lang w:val="en-US" w:eastAsia="zh-CN"/>
              </w:rPr>
              <w:t>”</w:t>
            </w:r>
            <w:r>
              <w:rPr>
                <w:rFonts w:ascii="宋体" w:hAnsi="宋体" w:eastAsia="宋体"/>
                <w:b w:val="0"/>
                <w:color w:val="auto"/>
                <w:w w:val="100"/>
                <w:sz w:val="21"/>
              </w:rPr>
              <w:t>项）</w:t>
            </w:r>
          </w:p>
          <w:p w14:paraId="5A93E817">
            <w:pPr>
              <w:widowControl/>
              <w:autoSpaceDE/>
              <w:autoSpaceDN/>
              <w:snapToGrid/>
              <w:spacing w:before="0" w:after="0" w:line="240" w:lineRule="auto"/>
              <w:ind w:left="0" w:leftChars="0" w:firstLine="0" w:firstLineChars="0"/>
              <w:jc w:val="center"/>
              <w:rPr>
                <w:rFonts w:ascii="宋体" w:hAnsi="宋体" w:eastAsia="宋体" w:cstheme="minorBidi"/>
                <w:b w:val="0"/>
                <w:color w:val="auto"/>
                <w:w w:val="100"/>
                <w:kern w:val="2"/>
                <w:sz w:val="21"/>
                <w:szCs w:val="22"/>
                <w:lang w:val="en-US" w:eastAsia="zh-CN" w:bidi="ar-SA"/>
              </w:rPr>
            </w:pPr>
            <w:r>
              <w:rPr>
                <w:rFonts w:ascii="宋体" w:hAnsi="宋体" w:eastAsia="宋体"/>
                <w:b w:val="0"/>
                <w:color w:val="auto"/>
                <w:w w:val="100"/>
                <w:sz w:val="21"/>
              </w:rPr>
              <w:t>（</w:t>
            </w:r>
            <w:r>
              <w:rPr>
                <w:rFonts w:hint="eastAsia" w:ascii="宋体" w:hAnsi="宋体" w:eastAsia="宋体"/>
                <w:b w:val="0"/>
                <w:color w:val="auto"/>
                <w:w w:val="100"/>
                <w:sz w:val="21"/>
                <w:lang w:val="en-US" w:eastAsia="zh-CN"/>
              </w:rPr>
              <w:t>40</w:t>
            </w:r>
            <w:r>
              <w:rPr>
                <w:rFonts w:ascii="宋体" w:hAnsi="宋体" w:eastAsia="宋体"/>
                <w:b w:val="0"/>
                <w:color w:val="auto"/>
                <w:w w:val="100"/>
                <w:sz w:val="21"/>
              </w:rPr>
              <w:t>分）</w:t>
            </w:r>
          </w:p>
        </w:tc>
        <w:tc>
          <w:tcPr>
            <w:tcW w:w="634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9DB3CF">
            <w:pPr>
              <w:widowControl/>
              <w:autoSpaceDE/>
              <w:autoSpaceDN/>
              <w:snapToGrid/>
              <w:spacing w:before="0" w:after="0" w:line="240" w:lineRule="auto"/>
              <w:ind w:left="0" w:leftChars="0" w:firstLine="0" w:firstLineChars="0"/>
              <w:jc w:val="left"/>
              <w:rPr>
                <w:rFonts w:ascii="宋体" w:hAnsi="宋体" w:eastAsia="宋体" w:cstheme="minorBidi"/>
                <w:b w:val="0"/>
                <w:w w:val="100"/>
                <w:kern w:val="2"/>
                <w:sz w:val="21"/>
                <w:szCs w:val="22"/>
                <w:lang w:val="en-US" w:eastAsia="zh-CN" w:bidi="ar-SA"/>
              </w:rPr>
            </w:pPr>
            <w:r>
              <w:rPr>
                <w:rFonts w:ascii="宋体" w:hAnsi="宋体" w:eastAsia="宋体"/>
                <w:b w:val="0"/>
                <w:w w:val="100"/>
                <w:sz w:val="21"/>
              </w:rPr>
              <w:t>所有产品一般技术参数指标（非</w:t>
            </w:r>
            <w:r>
              <w:rPr>
                <w:rFonts w:hint="eastAsia" w:ascii="宋体" w:hAnsi="宋体" w:eastAsia="宋体"/>
                <w:b w:val="0"/>
                <w:w w:val="100"/>
                <w:sz w:val="21"/>
                <w:lang w:val="en-US" w:eastAsia="zh-CN"/>
              </w:rPr>
              <w:t>标</w:t>
            </w:r>
            <w:r>
              <w:rPr>
                <w:rFonts w:ascii="宋体" w:hAnsi="宋体" w:eastAsia="宋体"/>
                <w:b w:val="0"/>
                <w:w w:val="100"/>
                <w:sz w:val="21"/>
              </w:rPr>
              <w:t>“</w:t>
            </w:r>
            <w:r>
              <w:rPr>
                <w:rFonts w:hint="eastAsia" w:ascii="宋体" w:hAnsi="宋体" w:eastAsia="宋体" w:cs="宋体"/>
                <w:kern w:val="0"/>
                <w:sz w:val="21"/>
                <w:szCs w:val="21"/>
              </w:rPr>
              <w:t>★</w:t>
            </w:r>
            <w:r>
              <w:rPr>
                <w:rFonts w:hint="eastAsia" w:ascii="宋体" w:hAnsi="宋体" w:eastAsia="宋体"/>
                <w:b w:val="0"/>
                <w:w w:val="100"/>
                <w:sz w:val="21"/>
                <w:lang w:val="en-US" w:eastAsia="zh-CN"/>
              </w:rPr>
              <w:t>”</w:t>
            </w:r>
            <w:r>
              <w:rPr>
                <w:rFonts w:ascii="宋体" w:hAnsi="宋体" w:eastAsia="宋体"/>
                <w:b w:val="0"/>
                <w:w w:val="100"/>
                <w:sz w:val="21"/>
              </w:rPr>
              <w:t>项）</w:t>
            </w:r>
            <w:r>
              <w:rPr>
                <w:rFonts w:hint="eastAsia" w:ascii="宋体" w:hAnsi="宋体" w:eastAsia="宋体"/>
                <w:b w:val="0"/>
                <w:w w:val="100"/>
                <w:sz w:val="21"/>
                <w:lang w:val="en-US" w:eastAsia="zh-CN"/>
              </w:rPr>
              <w:t>共16项，完全响应</w:t>
            </w:r>
            <w:r>
              <w:rPr>
                <w:rFonts w:ascii="宋体" w:hAnsi="宋体" w:eastAsia="宋体"/>
                <w:b w:val="0"/>
                <w:w w:val="100"/>
                <w:sz w:val="21"/>
              </w:rPr>
              <w:t>招标文件要求的得</w:t>
            </w:r>
            <w:r>
              <w:rPr>
                <w:rFonts w:hint="eastAsia" w:ascii="宋体" w:hAnsi="宋体" w:eastAsia="宋体"/>
                <w:b w:val="0"/>
                <w:w w:val="100"/>
                <w:sz w:val="21"/>
                <w:lang w:val="en-US" w:eastAsia="zh-CN"/>
              </w:rPr>
              <w:t>40</w:t>
            </w:r>
            <w:r>
              <w:rPr>
                <w:rFonts w:ascii="宋体" w:hAnsi="宋体" w:eastAsia="宋体"/>
                <w:b w:val="0"/>
                <w:w w:val="100"/>
                <w:sz w:val="21"/>
              </w:rPr>
              <w:t>分，每有一项不满足或负偏离扣</w:t>
            </w:r>
            <w:r>
              <w:rPr>
                <w:rFonts w:hint="eastAsia" w:ascii="宋体" w:hAnsi="宋体" w:eastAsia="宋体"/>
                <w:b w:val="0"/>
                <w:w w:val="100"/>
                <w:sz w:val="21"/>
                <w:lang w:val="en-US" w:eastAsia="zh-CN"/>
              </w:rPr>
              <w:t>的2.5</w:t>
            </w:r>
            <w:r>
              <w:rPr>
                <w:rFonts w:ascii="宋体" w:hAnsi="宋体" w:eastAsia="宋体"/>
                <w:b w:val="0"/>
                <w:w w:val="100"/>
                <w:sz w:val="21"/>
              </w:rPr>
              <w:t>分</w:t>
            </w:r>
            <w:r>
              <w:rPr>
                <w:rFonts w:hint="eastAsia" w:ascii="宋体" w:hAnsi="宋体" w:eastAsia="宋体"/>
                <w:b w:val="0"/>
                <w:w w:val="100"/>
                <w:sz w:val="21"/>
                <w:lang w:eastAsia="zh-CN"/>
              </w:rPr>
              <w:t>，</w:t>
            </w:r>
            <w:r>
              <w:rPr>
                <w:rFonts w:ascii="宋体" w:hAnsi="宋体" w:eastAsia="宋体"/>
                <w:b w:val="0"/>
                <w:w w:val="100"/>
                <w:sz w:val="21"/>
              </w:rPr>
              <w:t>分值扣完为止。</w:t>
            </w:r>
            <w:bookmarkStart w:id="1" w:name="_GoBack"/>
            <w:bookmarkEnd w:id="1"/>
          </w:p>
        </w:tc>
      </w:tr>
    </w:tbl>
    <w:p w14:paraId="110313AA">
      <w:pPr>
        <w:pageBreakBefore w:val="0"/>
        <w:numPr>
          <w:ilvl w:val="0"/>
          <w:numId w:val="0"/>
        </w:numPr>
        <w:wordWrap w:val="0"/>
        <w:autoSpaceDE/>
        <w:autoSpaceDN/>
        <w:bidi w:val="0"/>
        <w:snapToGrid/>
        <w:spacing w:line="360" w:lineRule="auto"/>
        <w:ind w:left="0" w:right="0" w:firstLine="0"/>
        <w:jc w:val="both"/>
        <w:rPr>
          <w:rFonts w:hint="default" w:ascii="宋体" w:hAnsi="宋体" w:eastAsia="宋体" w:cs="宋体"/>
          <w:b/>
          <w:sz w:val="28"/>
          <w:szCs w:val="28"/>
          <w:lang w:val="en-US" w:eastAsia="zh-CN"/>
        </w:rPr>
      </w:pPr>
    </w:p>
    <w:p w14:paraId="57A0416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68CDE64D">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0C9EF74F">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26DF331E">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1B1A814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08D59F25">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7AC6963D">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5D217D8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086A27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4.投标报价出现下列情形之一的，评审委员会启动异常低价投标（响应）审查程序：</w:t>
      </w:r>
    </w:p>
    <w:p w14:paraId="6EEA241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675700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2CE5425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3.投标（响应）报价低于采购项目最高限价45%的，即投标（响应）报价&lt;采购项目最高限价×45%；</w:t>
      </w:r>
    </w:p>
    <w:p w14:paraId="443F721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评审委员会基于专业判断，认为供应商报价过低，有可能影响产品质量或者不能诚信履约的其他情形。</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5102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E3500F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59CBD84">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12D7F37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2DC5252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1F8875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057162B">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853EC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216C23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9B022D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FB14AB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8E5725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4E287DA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714E176">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EEF6AF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692F97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响应</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4"/>
          <w:szCs w:val="24"/>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F63F36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CDFEC5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6AC0B6E">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1B095A"/>
    <w:rsid w:val="08CD140E"/>
    <w:rsid w:val="0D257E20"/>
    <w:rsid w:val="0DA07F51"/>
    <w:rsid w:val="0E7331C3"/>
    <w:rsid w:val="0F4E11A2"/>
    <w:rsid w:val="10D60D02"/>
    <w:rsid w:val="114A4798"/>
    <w:rsid w:val="11736C51"/>
    <w:rsid w:val="11AB1717"/>
    <w:rsid w:val="11EF4694"/>
    <w:rsid w:val="13CA2D3B"/>
    <w:rsid w:val="150E71F6"/>
    <w:rsid w:val="1696735F"/>
    <w:rsid w:val="16D52CED"/>
    <w:rsid w:val="16E14FBF"/>
    <w:rsid w:val="19545A30"/>
    <w:rsid w:val="198E5E9E"/>
    <w:rsid w:val="19BD2CB7"/>
    <w:rsid w:val="1B081C72"/>
    <w:rsid w:val="1BB9254A"/>
    <w:rsid w:val="1BFD6DB5"/>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9D54044"/>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0B38E3"/>
    <w:rsid w:val="42E570EA"/>
    <w:rsid w:val="43B51B88"/>
    <w:rsid w:val="44AA028A"/>
    <w:rsid w:val="4603606C"/>
    <w:rsid w:val="469A594D"/>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6153F97"/>
    <w:rsid w:val="56866800"/>
    <w:rsid w:val="571E5CB6"/>
    <w:rsid w:val="576C6B11"/>
    <w:rsid w:val="57863DB7"/>
    <w:rsid w:val="58156ACB"/>
    <w:rsid w:val="58677144"/>
    <w:rsid w:val="59137211"/>
    <w:rsid w:val="5A17370E"/>
    <w:rsid w:val="5A7C4904"/>
    <w:rsid w:val="5A7F4E12"/>
    <w:rsid w:val="5C344BB6"/>
    <w:rsid w:val="5CB6161B"/>
    <w:rsid w:val="5DFF20EB"/>
    <w:rsid w:val="5E1C5429"/>
    <w:rsid w:val="5E233CDF"/>
    <w:rsid w:val="5E744882"/>
    <w:rsid w:val="5ED418C8"/>
    <w:rsid w:val="5EE36D23"/>
    <w:rsid w:val="5EF71E76"/>
    <w:rsid w:val="5F0C0F9F"/>
    <w:rsid w:val="616C33F6"/>
    <w:rsid w:val="6212481D"/>
    <w:rsid w:val="62DE1443"/>
    <w:rsid w:val="62E24E32"/>
    <w:rsid w:val="64A55108"/>
    <w:rsid w:val="64E47B74"/>
    <w:rsid w:val="65724AA6"/>
    <w:rsid w:val="6585763E"/>
    <w:rsid w:val="65A85339"/>
    <w:rsid w:val="661108EC"/>
    <w:rsid w:val="665F0BE6"/>
    <w:rsid w:val="669049D8"/>
    <w:rsid w:val="66FC737F"/>
    <w:rsid w:val="67D14995"/>
    <w:rsid w:val="680272B9"/>
    <w:rsid w:val="68204E22"/>
    <w:rsid w:val="68BD20F9"/>
    <w:rsid w:val="6C0D60E9"/>
    <w:rsid w:val="6C36144B"/>
    <w:rsid w:val="6C951E77"/>
    <w:rsid w:val="6CF91F25"/>
    <w:rsid w:val="6D4F63E7"/>
    <w:rsid w:val="6E2E21FA"/>
    <w:rsid w:val="6EF0008F"/>
    <w:rsid w:val="6F236889"/>
    <w:rsid w:val="6F2A4AF9"/>
    <w:rsid w:val="6F3911E0"/>
    <w:rsid w:val="6F5104C0"/>
    <w:rsid w:val="6F7A7F8F"/>
    <w:rsid w:val="704F20EA"/>
    <w:rsid w:val="70CD0FAF"/>
    <w:rsid w:val="710F0089"/>
    <w:rsid w:val="719B7B32"/>
    <w:rsid w:val="71DA20A9"/>
    <w:rsid w:val="72D20C3B"/>
    <w:rsid w:val="75080C92"/>
    <w:rsid w:val="75554A93"/>
    <w:rsid w:val="75E17EDC"/>
    <w:rsid w:val="764374DD"/>
    <w:rsid w:val="76B56870"/>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25">
    <w:name w:val="列出段落1"/>
    <w:basedOn w:val="1"/>
    <w:qFormat/>
    <w:uiPriority w:val="34"/>
    <w:pPr>
      <w:ind w:firstLine="420" w:firstLineChars="200"/>
    </w:pPr>
    <w:rPr>
      <w:rFonts w:ascii="Times New Roman" w:hAnsi="Times New Roman" w:eastAsia="宋体" w:cs="Times New Roman"/>
      <w:sz w:val="28"/>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7157</Words>
  <Characters>8054</Characters>
  <Lines>0</Lines>
  <Paragraphs>0</Paragraphs>
  <TotalTime>0</TotalTime>
  <ScaleCrop>false</ScaleCrop>
  <LinksUpToDate>false</LinksUpToDate>
  <CharactersWithSpaces>8602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2026-07-03T07:52:42Z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FB32075759A94CD2A586871B51CE9252_13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