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833A373">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氩气高频电刀项目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2026年7月3日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964"/>
        <w:gridCol w:w="1200"/>
        <w:gridCol w:w="1079"/>
        <w:gridCol w:w="1683"/>
        <w:gridCol w:w="1650"/>
      </w:tblGrid>
      <w:tr w14:paraId="10843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5280AA2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64" w:type="dxa"/>
            <w:vAlign w:val="center"/>
          </w:tcPr>
          <w:p w14:paraId="4FA7D15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5545E35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079" w:type="dxa"/>
            <w:vAlign w:val="center"/>
          </w:tcPr>
          <w:p w14:paraId="7F2FBCE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83" w:type="dxa"/>
            <w:vAlign w:val="center"/>
          </w:tcPr>
          <w:p w14:paraId="606BCD8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50" w:type="dxa"/>
            <w:vAlign w:val="center"/>
          </w:tcPr>
          <w:p w14:paraId="65854CC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63D96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4919E56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964" w:type="dxa"/>
            <w:vAlign w:val="center"/>
          </w:tcPr>
          <w:p w14:paraId="4D8B2AB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sz w:val="28"/>
                <w:szCs w:val="28"/>
                <w:lang w:eastAsia="zh-CN"/>
              </w:rPr>
              <w:t>氩气高频电刀</w:t>
            </w:r>
            <w:r>
              <w:rPr>
                <w:rFonts w:hint="eastAsia" w:ascii="宋体" w:hAnsi="宋体" w:eastAsia="宋体"/>
                <w:sz w:val="28"/>
                <w:szCs w:val="28"/>
                <w:lang w:val="en-US" w:eastAsia="zh-CN"/>
              </w:rPr>
              <w:t>项目</w:t>
            </w:r>
          </w:p>
        </w:tc>
        <w:tc>
          <w:tcPr>
            <w:tcW w:w="1200" w:type="dxa"/>
            <w:vAlign w:val="center"/>
          </w:tcPr>
          <w:p w14:paraId="285EAE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079" w:type="dxa"/>
            <w:vAlign w:val="center"/>
          </w:tcPr>
          <w:p w14:paraId="5BAFC4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683" w:type="dxa"/>
            <w:vAlign w:val="center"/>
          </w:tcPr>
          <w:p w14:paraId="50E7309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250000</w:t>
            </w:r>
          </w:p>
        </w:tc>
        <w:tc>
          <w:tcPr>
            <w:tcW w:w="1650" w:type="dxa"/>
            <w:vAlign w:val="center"/>
          </w:tcPr>
          <w:p w14:paraId="0FB5F28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500000</w:t>
            </w:r>
          </w:p>
        </w:tc>
      </w:tr>
      <w:tr w14:paraId="000A6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BB462A7">
            <w:pPr>
              <w:widowControl/>
              <w:jc w:val="center"/>
              <w:textAlignment w:val="center"/>
              <w:rPr>
                <w:rFonts w:hint="eastAsia" w:ascii="宋体" w:hAnsi="宋体" w:eastAsia="宋体" w:cs="宋体"/>
                <w:kern w:val="0"/>
                <w:sz w:val="28"/>
                <w:szCs w:val="28"/>
                <w:lang w:val="en-US" w:eastAsia="zh-CN"/>
              </w:rPr>
            </w:pPr>
          </w:p>
        </w:tc>
        <w:tc>
          <w:tcPr>
            <w:tcW w:w="6926" w:type="dxa"/>
            <w:gridSpan w:val="4"/>
            <w:vAlign w:val="center"/>
          </w:tcPr>
          <w:p w14:paraId="0B1383B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50" w:type="dxa"/>
            <w:vAlign w:val="center"/>
          </w:tcPr>
          <w:p w14:paraId="0DE84C5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500000</w:t>
            </w:r>
          </w:p>
        </w:tc>
      </w:tr>
      <w:tr w14:paraId="3D7F5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5F58E41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64" w:type="dxa"/>
            <w:vAlign w:val="center"/>
          </w:tcPr>
          <w:p w14:paraId="53797B8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12" w:type="dxa"/>
            <w:gridSpan w:val="4"/>
            <w:vAlign w:val="center"/>
          </w:tcPr>
          <w:p w14:paraId="5B4042E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18C4F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3973A0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64" w:type="dxa"/>
            <w:vAlign w:val="center"/>
          </w:tcPr>
          <w:p w14:paraId="267A74F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612" w:type="dxa"/>
            <w:gridSpan w:val="4"/>
            <w:vAlign w:val="center"/>
          </w:tcPr>
          <w:p w14:paraId="1491087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2BA5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91" w:type="dxa"/>
            <w:vAlign w:val="center"/>
          </w:tcPr>
          <w:p w14:paraId="62523B5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64" w:type="dxa"/>
            <w:vAlign w:val="center"/>
          </w:tcPr>
          <w:p w14:paraId="155E691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12" w:type="dxa"/>
            <w:gridSpan w:val="4"/>
            <w:vAlign w:val="center"/>
          </w:tcPr>
          <w:p w14:paraId="21BA200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150C2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3A77401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64" w:type="dxa"/>
            <w:vAlign w:val="center"/>
          </w:tcPr>
          <w:p w14:paraId="08BCA34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12" w:type="dxa"/>
            <w:gridSpan w:val="4"/>
            <w:vAlign w:val="center"/>
          </w:tcPr>
          <w:p w14:paraId="39EE20D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本项目包含2台氩气高频电刀，用于消化科支持内镜下的各类手术。</w:t>
      </w:r>
    </w:p>
    <w:p w14:paraId="0C2037E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9104" w:type="dxa"/>
        <w:tblInd w:w="-601" w:type="dxa"/>
        <w:tblLayout w:type="fixed"/>
        <w:tblCellMar>
          <w:top w:w="0" w:type="dxa"/>
          <w:left w:w="108" w:type="dxa"/>
          <w:bottom w:w="0" w:type="dxa"/>
          <w:right w:w="108" w:type="dxa"/>
        </w:tblCellMar>
      </w:tblPr>
      <w:tblGrid>
        <w:gridCol w:w="734"/>
        <w:gridCol w:w="844"/>
        <w:gridCol w:w="7526"/>
      </w:tblGrid>
      <w:tr w14:paraId="69CEC497">
        <w:tblPrEx>
          <w:tblCellMar>
            <w:top w:w="0" w:type="dxa"/>
            <w:left w:w="108" w:type="dxa"/>
            <w:bottom w:w="0" w:type="dxa"/>
            <w:right w:w="108" w:type="dxa"/>
          </w:tblCellMar>
        </w:tblPrEx>
        <w:trPr>
          <w:trHeight w:val="212" w:hRule="atLeast"/>
        </w:trPr>
        <w:tc>
          <w:tcPr>
            <w:tcW w:w="734" w:type="dxa"/>
            <w:tcBorders>
              <w:top w:val="single" w:color="auto" w:sz="4" w:space="0"/>
              <w:left w:val="single" w:color="auto" w:sz="4" w:space="0"/>
              <w:bottom w:val="single" w:color="auto" w:sz="4" w:space="0"/>
              <w:right w:val="single" w:color="auto" w:sz="4" w:space="0"/>
            </w:tcBorders>
            <w:vAlign w:val="center"/>
          </w:tcPr>
          <w:p w14:paraId="14C8BB8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844" w:type="dxa"/>
            <w:tcBorders>
              <w:top w:val="single" w:color="auto" w:sz="4" w:space="0"/>
              <w:left w:val="nil"/>
              <w:bottom w:val="single" w:color="auto" w:sz="4" w:space="0"/>
              <w:right w:val="single" w:color="auto" w:sz="4" w:space="0"/>
            </w:tcBorders>
            <w:vAlign w:val="center"/>
          </w:tcPr>
          <w:p w14:paraId="4689E52C">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526" w:type="dxa"/>
            <w:tcBorders>
              <w:top w:val="single" w:color="auto" w:sz="4" w:space="0"/>
              <w:left w:val="nil"/>
              <w:bottom w:val="single" w:color="auto" w:sz="4" w:space="0"/>
              <w:right w:val="single" w:color="auto" w:sz="4" w:space="0"/>
            </w:tcBorders>
            <w:vAlign w:val="center"/>
          </w:tcPr>
          <w:p w14:paraId="2B3678A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623FFBB3">
        <w:tblPrEx>
          <w:tblCellMar>
            <w:top w:w="0" w:type="dxa"/>
            <w:left w:w="108" w:type="dxa"/>
            <w:bottom w:w="0" w:type="dxa"/>
            <w:right w:w="108" w:type="dxa"/>
          </w:tblCellMar>
        </w:tblPrEx>
        <w:trPr>
          <w:trHeight w:val="401" w:hRule="atLeast"/>
        </w:trPr>
        <w:tc>
          <w:tcPr>
            <w:tcW w:w="734" w:type="dxa"/>
            <w:tcBorders>
              <w:top w:val="single" w:color="auto" w:sz="4" w:space="0"/>
              <w:left w:val="single" w:color="auto" w:sz="4" w:space="0"/>
              <w:bottom w:val="single" w:color="auto" w:sz="4" w:space="0"/>
              <w:right w:val="single" w:color="auto" w:sz="4" w:space="0"/>
            </w:tcBorders>
            <w:vAlign w:val="center"/>
          </w:tcPr>
          <w:p w14:paraId="693D3D26">
            <w:pPr>
              <w:widowControl/>
              <w:spacing w:line="240" w:lineRule="auto"/>
              <w:jc w:val="center"/>
              <w:rPr>
                <w:rFonts w:hint="eastAsia" w:ascii="宋体" w:hAnsi="宋体" w:eastAsia="宋体" w:cs="宋体"/>
                <w:kern w:val="0"/>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6D5FBA0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526" w:type="dxa"/>
            <w:tcBorders>
              <w:top w:val="single" w:color="auto" w:sz="4" w:space="0"/>
              <w:left w:val="nil"/>
              <w:bottom w:val="single" w:color="auto" w:sz="4" w:space="0"/>
              <w:right w:val="single" w:color="auto" w:sz="4" w:space="0"/>
            </w:tcBorders>
            <w:vAlign w:val="center"/>
          </w:tcPr>
          <w:p w14:paraId="0C70E64E">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rPr>
              <w:t>适用于消化科支持内镜下的各类手术</w:t>
            </w:r>
            <w:r>
              <w:rPr>
                <w:rFonts w:hint="eastAsia" w:ascii="宋体" w:hAnsi="宋体" w:eastAsia="宋体" w:cs="宋体"/>
                <w:sz w:val="21"/>
                <w:szCs w:val="21"/>
                <w:lang w:eastAsia="zh-CN"/>
              </w:rPr>
              <w:t>。</w:t>
            </w:r>
          </w:p>
        </w:tc>
      </w:tr>
      <w:tr w14:paraId="2A43C856">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59529B90">
            <w:pPr>
              <w:widowControl/>
              <w:spacing w:line="240" w:lineRule="auto"/>
              <w:jc w:val="center"/>
              <w:rPr>
                <w:rFonts w:hint="eastAsia" w:ascii="宋体" w:hAnsi="宋体" w:eastAsia="宋体" w:cs="宋体"/>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37022B2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526" w:type="dxa"/>
            <w:tcBorders>
              <w:top w:val="single" w:color="auto" w:sz="4" w:space="0"/>
              <w:left w:val="nil"/>
              <w:bottom w:val="single" w:color="auto" w:sz="4" w:space="0"/>
              <w:right w:val="single" w:color="auto" w:sz="4" w:space="0"/>
            </w:tcBorders>
            <w:vAlign w:val="center"/>
          </w:tcPr>
          <w:p w14:paraId="69414690">
            <w:pPr>
              <w:widowControl/>
              <w:spacing w:line="240" w:lineRule="auto"/>
              <w:jc w:val="both"/>
              <w:rPr>
                <w:rFonts w:hint="eastAsia" w:ascii="宋体" w:hAnsi="宋体" w:eastAsia="宋体" w:cs="宋体"/>
                <w:kern w:val="0"/>
                <w:sz w:val="21"/>
                <w:szCs w:val="21"/>
                <w:lang w:bidi="lo-LA"/>
              </w:rPr>
            </w:pPr>
            <w:r>
              <w:rPr>
                <w:rFonts w:hint="eastAsia" w:ascii="宋体" w:hAnsi="宋体" w:eastAsia="宋体" w:cs="宋体"/>
                <w:sz w:val="21"/>
                <w:szCs w:val="21"/>
              </w:rPr>
              <w:t>集切割、凝血、AIC氩气技术为一体，适合不同手术的要求。</w:t>
            </w:r>
          </w:p>
        </w:tc>
      </w:tr>
      <w:tr w14:paraId="668AEA0A">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1FCAC0C8">
            <w:pPr>
              <w:widowControl/>
              <w:spacing w:line="240" w:lineRule="auto"/>
              <w:jc w:val="center"/>
              <w:rPr>
                <w:rFonts w:hint="eastAsia" w:ascii="宋体" w:hAnsi="宋体" w:eastAsia="宋体" w:cs="宋体"/>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4037B2C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526" w:type="dxa"/>
            <w:tcBorders>
              <w:top w:val="single" w:color="auto" w:sz="4" w:space="0"/>
              <w:left w:val="nil"/>
              <w:bottom w:val="single" w:color="auto" w:sz="4" w:space="0"/>
              <w:right w:val="single" w:color="auto" w:sz="4" w:space="0"/>
            </w:tcBorders>
            <w:vAlign w:val="center"/>
          </w:tcPr>
          <w:p w14:paraId="6C7CD7CC">
            <w:pPr>
              <w:widowControl/>
              <w:spacing w:line="240" w:lineRule="auto"/>
              <w:jc w:val="both"/>
              <w:rPr>
                <w:rFonts w:hint="eastAsia" w:ascii="宋体" w:hAnsi="宋体" w:eastAsia="宋体" w:cs="宋体"/>
                <w:kern w:val="0"/>
                <w:sz w:val="21"/>
                <w:szCs w:val="21"/>
                <w:lang w:bidi="lo-LA"/>
              </w:rPr>
            </w:pPr>
            <w:r>
              <w:rPr>
                <w:rFonts w:hint="eastAsia" w:ascii="宋体" w:hAnsi="宋体" w:eastAsia="宋体" w:cs="宋体"/>
                <w:sz w:val="21"/>
                <w:szCs w:val="21"/>
              </w:rPr>
              <w:t>主机采用全触摸高清液晶屏显示或高清晰数码管显示。</w:t>
            </w:r>
          </w:p>
        </w:tc>
      </w:tr>
      <w:tr w14:paraId="1182709E">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791A28C8">
            <w:pPr>
              <w:widowControl/>
              <w:spacing w:line="240" w:lineRule="auto"/>
              <w:jc w:val="center"/>
              <w:rPr>
                <w:rFonts w:hint="eastAsia" w:ascii="宋体" w:hAnsi="宋体" w:eastAsia="宋体" w:cs="宋体"/>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7B9B7EC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526" w:type="dxa"/>
            <w:tcBorders>
              <w:top w:val="single" w:color="auto" w:sz="4" w:space="0"/>
              <w:left w:val="nil"/>
              <w:bottom w:val="single" w:color="auto" w:sz="4" w:space="0"/>
              <w:right w:val="single" w:color="auto" w:sz="4" w:space="0"/>
            </w:tcBorders>
            <w:vAlign w:val="center"/>
          </w:tcPr>
          <w:p w14:paraId="175ACD4B">
            <w:pPr>
              <w:widowControl/>
              <w:spacing w:line="240" w:lineRule="auto"/>
              <w:jc w:val="both"/>
              <w:rPr>
                <w:rFonts w:hint="eastAsia" w:ascii="宋体" w:hAnsi="宋体" w:eastAsia="宋体" w:cs="宋体"/>
                <w:kern w:val="0"/>
                <w:sz w:val="21"/>
                <w:szCs w:val="21"/>
                <w:lang w:bidi="lo-LA"/>
              </w:rPr>
            </w:pPr>
            <w:r>
              <w:rPr>
                <w:rFonts w:hint="eastAsia" w:ascii="宋体" w:hAnsi="宋体" w:eastAsia="宋体" w:cs="宋体"/>
                <w:sz w:val="21"/>
                <w:szCs w:val="21"/>
              </w:rPr>
              <w:t>具备中性电极面积检测功能，实时监测中性电极与病人皮肤的接触，一旦接触面积减少，机器自动报警并停止输出。</w:t>
            </w:r>
          </w:p>
        </w:tc>
      </w:tr>
      <w:tr w14:paraId="120111FA">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6EA1BEA7">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844" w:type="dxa"/>
            <w:tcBorders>
              <w:top w:val="single" w:color="auto" w:sz="4" w:space="0"/>
              <w:left w:val="nil"/>
              <w:bottom w:val="single" w:color="auto" w:sz="4" w:space="0"/>
              <w:right w:val="single" w:color="auto" w:sz="4" w:space="0"/>
            </w:tcBorders>
            <w:vAlign w:val="center"/>
          </w:tcPr>
          <w:p w14:paraId="4E1C03F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526" w:type="dxa"/>
            <w:tcBorders>
              <w:top w:val="single" w:color="auto" w:sz="4" w:space="0"/>
              <w:left w:val="nil"/>
              <w:bottom w:val="single" w:color="auto" w:sz="4" w:space="0"/>
              <w:right w:val="single" w:color="auto" w:sz="4" w:space="0"/>
            </w:tcBorders>
            <w:vAlign w:val="center"/>
          </w:tcPr>
          <w:p w14:paraId="23D08813">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具备功率峰值补偿系统 (PPS)</w:t>
            </w:r>
            <w:r>
              <w:rPr>
                <w:rFonts w:hint="eastAsia" w:ascii="宋体" w:hAnsi="宋体" w:eastAsia="宋体" w:cs="宋体"/>
                <w:sz w:val="21"/>
                <w:szCs w:val="21"/>
                <w:lang w:val="en-US" w:eastAsia="zh-CN"/>
              </w:rPr>
              <w:t>功能。</w:t>
            </w:r>
          </w:p>
        </w:tc>
      </w:tr>
      <w:tr w14:paraId="74EB7E7D">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1519E92C">
            <w:pPr>
              <w:widowControl/>
              <w:spacing w:line="240" w:lineRule="auto"/>
              <w:jc w:val="center"/>
              <w:rPr>
                <w:rFonts w:hint="eastAsia" w:ascii="宋体" w:hAnsi="宋体" w:eastAsia="宋体" w:cs="宋体"/>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1E12F3E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526" w:type="dxa"/>
            <w:tcBorders>
              <w:top w:val="single" w:color="auto" w:sz="4" w:space="0"/>
              <w:left w:val="nil"/>
              <w:bottom w:val="single" w:color="auto" w:sz="4" w:space="0"/>
              <w:right w:val="single" w:color="auto" w:sz="4" w:space="0"/>
            </w:tcBorders>
            <w:vAlign w:val="center"/>
          </w:tcPr>
          <w:p w14:paraId="5823EA97">
            <w:pPr>
              <w:widowControl/>
              <w:spacing w:line="240" w:lineRule="auto"/>
              <w:jc w:val="both"/>
              <w:rPr>
                <w:rFonts w:hint="eastAsia" w:ascii="宋体" w:hAnsi="宋体" w:eastAsia="宋体" w:cs="宋体"/>
                <w:kern w:val="0"/>
                <w:sz w:val="21"/>
                <w:szCs w:val="21"/>
                <w:lang w:bidi="lo-LA"/>
              </w:rPr>
            </w:pPr>
            <w:r>
              <w:rPr>
                <w:rFonts w:hint="eastAsia" w:ascii="宋体" w:hAnsi="宋体" w:eastAsia="宋体" w:cs="宋体"/>
                <w:kern w:val="0"/>
                <w:sz w:val="21"/>
                <w:szCs w:val="21"/>
              </w:rPr>
              <w:t>具有氩气堵塞保护功能，可实时监测喷嘴压力，避免喷嘴栓塞。</w:t>
            </w:r>
          </w:p>
        </w:tc>
      </w:tr>
      <w:tr w14:paraId="7F651581">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31C373AF">
            <w:pPr>
              <w:widowControl/>
              <w:spacing w:line="240" w:lineRule="auto"/>
              <w:jc w:val="center"/>
              <w:rPr>
                <w:rFonts w:hint="eastAsia" w:ascii="宋体" w:hAnsi="宋体" w:eastAsia="宋体" w:cs="宋体"/>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3239BCA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7</w:t>
            </w:r>
          </w:p>
        </w:tc>
        <w:tc>
          <w:tcPr>
            <w:tcW w:w="7526" w:type="dxa"/>
            <w:tcBorders>
              <w:top w:val="single" w:color="auto" w:sz="4" w:space="0"/>
              <w:left w:val="nil"/>
              <w:bottom w:val="single" w:color="auto" w:sz="4" w:space="0"/>
              <w:right w:val="single" w:color="auto" w:sz="4" w:space="0"/>
            </w:tcBorders>
            <w:vAlign w:val="center"/>
          </w:tcPr>
          <w:p w14:paraId="6C07B985">
            <w:pPr>
              <w:widowControl/>
              <w:spacing w:line="240" w:lineRule="auto"/>
              <w:jc w:val="both"/>
              <w:rPr>
                <w:rFonts w:hint="eastAsia" w:ascii="宋体" w:hAnsi="宋体" w:eastAsia="宋体" w:cs="宋体"/>
                <w:kern w:val="0"/>
                <w:sz w:val="21"/>
                <w:szCs w:val="21"/>
                <w:lang w:bidi="lo-LA"/>
              </w:rPr>
            </w:pPr>
            <w:r>
              <w:rPr>
                <w:rFonts w:hint="eastAsia" w:ascii="宋体" w:hAnsi="宋体" w:eastAsia="宋体" w:cs="宋体"/>
                <w:sz w:val="21"/>
                <w:szCs w:val="21"/>
              </w:rPr>
              <w:t>兼顾内镜下的各种手术，特别设计有ENDO CUT模式，由微处理器自动控制切割与凝血的交替进行，保证对切割精度的良好控制，以满足手术要求。</w:t>
            </w:r>
          </w:p>
        </w:tc>
      </w:tr>
      <w:tr w14:paraId="66B0AA15">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63B575BF">
            <w:pPr>
              <w:widowControl/>
              <w:spacing w:line="240" w:lineRule="auto"/>
              <w:jc w:val="center"/>
              <w:rPr>
                <w:rFonts w:hint="eastAsia" w:ascii="宋体" w:hAnsi="宋体" w:eastAsia="宋体" w:cs="宋体"/>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43731B5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526" w:type="dxa"/>
            <w:tcBorders>
              <w:top w:val="single" w:color="auto" w:sz="4" w:space="0"/>
              <w:left w:val="nil"/>
              <w:bottom w:val="single" w:color="auto" w:sz="4" w:space="0"/>
              <w:right w:val="single" w:color="auto" w:sz="4" w:space="0"/>
            </w:tcBorders>
            <w:vAlign w:val="center"/>
          </w:tcPr>
          <w:p w14:paraId="31ECDB95">
            <w:pPr>
              <w:widowControl/>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应</w:t>
            </w:r>
            <w:r>
              <w:rPr>
                <w:rFonts w:hint="eastAsia" w:ascii="宋体" w:hAnsi="宋体" w:eastAsia="宋体" w:cs="宋体"/>
                <w:sz w:val="21"/>
                <w:szCs w:val="21"/>
              </w:rPr>
              <w:t>无外置风扇自然散热，适用于层流净化手术室。</w:t>
            </w:r>
          </w:p>
        </w:tc>
      </w:tr>
      <w:tr w14:paraId="62D4D539">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5FAC0A5B">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844" w:type="dxa"/>
            <w:tcBorders>
              <w:top w:val="single" w:color="auto" w:sz="4" w:space="0"/>
              <w:left w:val="nil"/>
              <w:bottom w:val="single" w:color="auto" w:sz="4" w:space="0"/>
              <w:right w:val="single" w:color="auto" w:sz="4" w:space="0"/>
            </w:tcBorders>
            <w:vAlign w:val="center"/>
          </w:tcPr>
          <w:p w14:paraId="66163A7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526" w:type="dxa"/>
            <w:tcBorders>
              <w:top w:val="single" w:color="auto" w:sz="4" w:space="0"/>
              <w:left w:val="nil"/>
              <w:bottom w:val="single" w:color="auto" w:sz="4" w:space="0"/>
              <w:right w:val="single" w:color="auto" w:sz="4" w:space="0"/>
            </w:tcBorders>
            <w:vAlign w:val="center"/>
          </w:tcPr>
          <w:p w14:paraId="7DCDFFA2">
            <w:pPr>
              <w:widowControl/>
              <w:spacing w:line="240" w:lineRule="auto"/>
              <w:jc w:val="both"/>
              <w:rPr>
                <w:rFonts w:hint="eastAsia" w:ascii="宋体" w:hAnsi="宋体" w:eastAsia="宋体" w:cs="宋体"/>
                <w:sz w:val="21"/>
                <w:szCs w:val="21"/>
              </w:rPr>
            </w:pPr>
            <w:r>
              <w:rPr>
                <w:rFonts w:hint="eastAsia" w:ascii="宋体" w:hAnsi="宋体" w:eastAsia="宋体" w:cs="宋体"/>
                <w:sz w:val="21"/>
                <w:szCs w:val="21"/>
              </w:rPr>
              <w:t>具有开机自检功能，可有效判定外围配件是否良好并有代码报警提示。</w:t>
            </w:r>
          </w:p>
        </w:tc>
      </w:tr>
      <w:tr w14:paraId="228CFA69">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51C90F29">
            <w:pPr>
              <w:widowControl/>
              <w:spacing w:line="240" w:lineRule="auto"/>
              <w:jc w:val="center"/>
              <w:rPr>
                <w:rFonts w:hint="eastAsia" w:ascii="宋体" w:hAnsi="宋体" w:eastAsia="宋体" w:cs="宋体"/>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295777F4">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7526" w:type="dxa"/>
            <w:tcBorders>
              <w:top w:val="single" w:color="auto" w:sz="4" w:space="0"/>
              <w:left w:val="nil"/>
              <w:bottom w:val="single" w:color="auto" w:sz="4" w:space="0"/>
              <w:right w:val="single" w:color="auto" w:sz="4" w:space="0"/>
            </w:tcBorders>
            <w:vAlign w:val="center"/>
          </w:tcPr>
          <w:p w14:paraId="1BA1A03D">
            <w:pPr>
              <w:widowControl/>
              <w:spacing w:line="240" w:lineRule="auto"/>
              <w:jc w:val="both"/>
              <w:rPr>
                <w:rFonts w:hint="eastAsia" w:ascii="宋体" w:hAnsi="宋体" w:eastAsia="宋体" w:cs="宋体"/>
                <w:sz w:val="21"/>
                <w:szCs w:val="21"/>
              </w:rPr>
            </w:pPr>
            <w:r>
              <w:rPr>
                <w:rFonts w:hint="eastAsia" w:ascii="宋体" w:hAnsi="宋体" w:eastAsia="宋体" w:cs="宋体"/>
                <w:sz w:val="21"/>
                <w:szCs w:val="21"/>
              </w:rPr>
              <w:t>具有消融功能。</w:t>
            </w:r>
          </w:p>
        </w:tc>
      </w:tr>
      <w:tr w14:paraId="3627E916">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3618E2FA">
            <w:pPr>
              <w:widowControl/>
              <w:spacing w:line="240" w:lineRule="auto"/>
              <w:jc w:val="center"/>
              <w:rPr>
                <w:rFonts w:hint="eastAsia" w:ascii="宋体" w:hAnsi="宋体" w:eastAsia="宋体" w:cs="宋体"/>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73C851A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7526" w:type="dxa"/>
            <w:tcBorders>
              <w:top w:val="single" w:color="auto" w:sz="4" w:space="0"/>
              <w:left w:val="nil"/>
              <w:bottom w:val="single" w:color="auto" w:sz="4" w:space="0"/>
              <w:right w:val="single" w:color="auto" w:sz="4" w:space="0"/>
            </w:tcBorders>
            <w:vAlign w:val="center"/>
          </w:tcPr>
          <w:p w14:paraId="66F09242">
            <w:pPr>
              <w:widowControl/>
              <w:spacing w:line="240" w:lineRule="auto"/>
              <w:jc w:val="both"/>
              <w:rPr>
                <w:rFonts w:hint="eastAsia" w:ascii="宋体" w:hAnsi="宋体" w:eastAsia="宋体" w:cs="宋体"/>
                <w:sz w:val="21"/>
                <w:szCs w:val="21"/>
              </w:rPr>
            </w:pPr>
            <w:r>
              <w:rPr>
                <w:rFonts w:hint="eastAsia" w:ascii="宋体" w:hAnsi="宋体" w:eastAsia="宋体" w:cs="宋体"/>
                <w:sz w:val="21"/>
                <w:szCs w:val="21"/>
              </w:rPr>
              <w:t>具有记录手术用时功能。</w:t>
            </w:r>
          </w:p>
        </w:tc>
      </w:tr>
      <w:tr w14:paraId="3A946176">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6A57B3D0">
            <w:pPr>
              <w:widowControl/>
              <w:spacing w:line="240" w:lineRule="auto"/>
              <w:jc w:val="center"/>
              <w:rPr>
                <w:rFonts w:hint="eastAsia" w:ascii="宋体" w:hAnsi="宋体" w:eastAsia="宋体" w:cs="宋体"/>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419A25F4">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7526" w:type="dxa"/>
            <w:tcBorders>
              <w:top w:val="single" w:color="auto" w:sz="4" w:space="0"/>
              <w:left w:val="nil"/>
              <w:bottom w:val="single" w:color="auto" w:sz="4" w:space="0"/>
              <w:right w:val="single" w:color="auto" w:sz="4" w:space="0"/>
            </w:tcBorders>
            <w:vAlign w:val="center"/>
          </w:tcPr>
          <w:p w14:paraId="51AED0FD">
            <w:pPr>
              <w:widowControl/>
              <w:spacing w:line="240" w:lineRule="auto"/>
              <w:jc w:val="both"/>
              <w:rPr>
                <w:rFonts w:hint="eastAsia" w:ascii="宋体" w:hAnsi="宋体" w:eastAsia="宋体" w:cs="宋体"/>
                <w:sz w:val="21"/>
                <w:szCs w:val="21"/>
              </w:rPr>
            </w:pPr>
            <w:r>
              <w:rPr>
                <w:rFonts w:hint="eastAsia" w:ascii="宋体" w:hAnsi="宋体" w:eastAsia="宋体" w:cs="宋体"/>
                <w:sz w:val="21"/>
                <w:szCs w:val="21"/>
              </w:rPr>
              <w:t>氩气流量模块可智能分配气体流量。</w:t>
            </w:r>
          </w:p>
        </w:tc>
      </w:tr>
      <w:tr w14:paraId="4E8DF92E">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191FF45F">
            <w:pPr>
              <w:widowControl/>
              <w:spacing w:line="240" w:lineRule="auto"/>
              <w:jc w:val="center"/>
              <w:rPr>
                <w:rFonts w:hint="eastAsia" w:ascii="宋体" w:hAnsi="宋体" w:eastAsia="宋体" w:cs="宋体"/>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79EEA36C">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7526" w:type="dxa"/>
            <w:tcBorders>
              <w:top w:val="single" w:color="auto" w:sz="4" w:space="0"/>
              <w:left w:val="nil"/>
              <w:bottom w:val="single" w:color="auto" w:sz="4" w:space="0"/>
              <w:right w:val="single" w:color="auto" w:sz="4" w:space="0"/>
            </w:tcBorders>
            <w:vAlign w:val="center"/>
          </w:tcPr>
          <w:p w14:paraId="53005371">
            <w:pPr>
              <w:widowControl/>
              <w:spacing w:line="240" w:lineRule="auto"/>
              <w:jc w:val="both"/>
              <w:rPr>
                <w:rFonts w:hint="eastAsia" w:ascii="宋体" w:hAnsi="宋体" w:eastAsia="宋体" w:cs="宋体"/>
                <w:sz w:val="21"/>
                <w:szCs w:val="21"/>
              </w:rPr>
            </w:pPr>
            <w:r>
              <w:rPr>
                <w:rFonts w:hint="eastAsia" w:ascii="宋体" w:hAnsi="宋体" w:eastAsia="宋体" w:cs="宋体"/>
                <w:sz w:val="21"/>
                <w:szCs w:val="21"/>
              </w:rPr>
              <w:t>具备功能预设功能，不接入回路电极时可预置手术功能及功率。</w:t>
            </w:r>
          </w:p>
        </w:tc>
      </w:tr>
      <w:tr w14:paraId="1EDCA7DB">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477DC610">
            <w:pPr>
              <w:widowControl/>
              <w:spacing w:line="240" w:lineRule="auto"/>
              <w:jc w:val="center"/>
              <w:rPr>
                <w:rFonts w:hint="eastAsia" w:ascii="宋体" w:hAnsi="宋体" w:eastAsia="宋体" w:cs="宋体"/>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3F242C6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7526" w:type="dxa"/>
            <w:tcBorders>
              <w:top w:val="single" w:color="auto" w:sz="4" w:space="0"/>
              <w:left w:val="nil"/>
              <w:bottom w:val="single" w:color="auto" w:sz="4" w:space="0"/>
              <w:right w:val="single" w:color="auto" w:sz="4" w:space="0"/>
            </w:tcBorders>
            <w:vAlign w:val="center"/>
          </w:tcPr>
          <w:p w14:paraId="69C75389">
            <w:pPr>
              <w:widowControl/>
              <w:spacing w:line="240" w:lineRule="auto"/>
              <w:jc w:val="both"/>
              <w:rPr>
                <w:rFonts w:hint="eastAsia" w:ascii="宋体" w:hAnsi="宋体" w:eastAsia="宋体" w:cs="宋体"/>
                <w:sz w:val="21"/>
                <w:szCs w:val="21"/>
              </w:rPr>
            </w:pPr>
            <w:r>
              <w:rPr>
                <w:rFonts w:hint="eastAsia" w:ascii="宋体" w:hAnsi="宋体" w:eastAsia="宋体" w:cs="宋体"/>
                <w:sz w:val="21"/>
                <w:szCs w:val="21"/>
              </w:rPr>
              <w:t>具备额定功率过压保护功能，即实际输出功率高于设定值时停止输出。</w:t>
            </w:r>
          </w:p>
        </w:tc>
      </w:tr>
      <w:tr w14:paraId="71F66B81">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7F49CDE1">
            <w:pPr>
              <w:widowControl/>
              <w:spacing w:line="240" w:lineRule="auto"/>
              <w:jc w:val="center"/>
              <w:rPr>
                <w:rFonts w:hint="eastAsia" w:ascii="宋体" w:hAnsi="宋体" w:eastAsia="宋体" w:cs="宋体"/>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4D6C2C5F">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7526" w:type="dxa"/>
            <w:tcBorders>
              <w:top w:val="single" w:color="auto" w:sz="4" w:space="0"/>
              <w:left w:val="nil"/>
              <w:bottom w:val="single" w:color="auto" w:sz="4" w:space="0"/>
              <w:right w:val="single" w:color="auto" w:sz="4" w:space="0"/>
            </w:tcBorders>
            <w:vAlign w:val="center"/>
          </w:tcPr>
          <w:p w14:paraId="49EF0743">
            <w:pPr>
              <w:widowControl/>
              <w:spacing w:line="240" w:lineRule="auto"/>
              <w:jc w:val="both"/>
              <w:rPr>
                <w:rFonts w:hint="eastAsia" w:ascii="宋体" w:hAnsi="宋体" w:eastAsia="宋体" w:cs="宋体"/>
                <w:sz w:val="21"/>
                <w:szCs w:val="21"/>
              </w:rPr>
            </w:pPr>
            <w:r>
              <w:rPr>
                <w:rFonts w:hint="eastAsia" w:ascii="宋体" w:hAnsi="宋体" w:eastAsia="宋体" w:cs="宋体"/>
                <w:sz w:val="21"/>
                <w:szCs w:val="21"/>
              </w:rPr>
              <w:t>具备高频漏电流保护功能。</w:t>
            </w:r>
          </w:p>
        </w:tc>
      </w:tr>
      <w:tr w14:paraId="01877900">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0269DB2F">
            <w:pPr>
              <w:widowControl/>
              <w:spacing w:line="240" w:lineRule="auto"/>
              <w:jc w:val="center"/>
              <w:rPr>
                <w:rFonts w:hint="eastAsia" w:ascii="宋体" w:hAnsi="宋体" w:eastAsia="宋体" w:cs="宋体"/>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320A557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7526" w:type="dxa"/>
            <w:tcBorders>
              <w:top w:val="single" w:color="auto" w:sz="4" w:space="0"/>
              <w:left w:val="nil"/>
              <w:bottom w:val="single" w:color="auto" w:sz="4" w:space="0"/>
              <w:right w:val="single" w:color="auto" w:sz="4" w:space="0"/>
            </w:tcBorders>
            <w:vAlign w:val="center"/>
          </w:tcPr>
          <w:p w14:paraId="517E9E30">
            <w:pPr>
              <w:widowControl/>
              <w:spacing w:line="240" w:lineRule="auto"/>
              <w:jc w:val="both"/>
              <w:rPr>
                <w:rFonts w:hint="eastAsia" w:ascii="宋体" w:hAnsi="宋体" w:eastAsia="宋体" w:cs="宋体"/>
                <w:sz w:val="21"/>
                <w:szCs w:val="21"/>
              </w:rPr>
            </w:pPr>
            <w:r>
              <w:rPr>
                <w:rFonts w:hint="eastAsia" w:ascii="宋体" w:hAnsi="宋体" w:eastAsia="宋体" w:cs="宋体"/>
                <w:sz w:val="21"/>
                <w:szCs w:val="21"/>
              </w:rPr>
              <w:t>具备闭环回路功率校准电路。</w:t>
            </w:r>
          </w:p>
        </w:tc>
      </w:tr>
      <w:tr w14:paraId="23A88EA6">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vAlign w:val="center"/>
          </w:tcPr>
          <w:p w14:paraId="66FA51BE">
            <w:pPr>
              <w:widowControl/>
              <w:spacing w:line="240" w:lineRule="auto"/>
              <w:jc w:val="center"/>
              <w:rPr>
                <w:rFonts w:hint="eastAsia" w:ascii="宋体" w:hAnsi="宋体" w:eastAsia="宋体" w:cs="宋体"/>
                <w:sz w:val="21"/>
                <w:szCs w:val="21"/>
                <w:lang w:bidi="lo-LA"/>
              </w:rPr>
            </w:pPr>
          </w:p>
        </w:tc>
        <w:tc>
          <w:tcPr>
            <w:tcW w:w="844" w:type="dxa"/>
            <w:tcBorders>
              <w:top w:val="single" w:color="auto" w:sz="4" w:space="0"/>
              <w:left w:val="nil"/>
              <w:bottom w:val="single" w:color="auto" w:sz="4" w:space="0"/>
              <w:right w:val="single" w:color="auto" w:sz="4" w:space="0"/>
            </w:tcBorders>
            <w:vAlign w:val="center"/>
          </w:tcPr>
          <w:p w14:paraId="2C1EE1F5">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7526" w:type="dxa"/>
            <w:tcBorders>
              <w:top w:val="single" w:color="auto" w:sz="4" w:space="0"/>
              <w:left w:val="nil"/>
              <w:bottom w:val="single" w:color="auto" w:sz="4" w:space="0"/>
              <w:right w:val="single" w:color="auto" w:sz="4" w:space="0"/>
            </w:tcBorders>
            <w:vAlign w:val="center"/>
          </w:tcPr>
          <w:p w14:paraId="37CF381D">
            <w:pPr>
              <w:widowControl/>
              <w:spacing w:line="240" w:lineRule="auto"/>
              <w:jc w:val="both"/>
              <w:rPr>
                <w:rFonts w:hint="eastAsia" w:ascii="宋体" w:hAnsi="宋体" w:eastAsia="宋体" w:cs="宋体"/>
                <w:sz w:val="21"/>
                <w:szCs w:val="21"/>
              </w:rPr>
            </w:pPr>
            <w:r>
              <w:rPr>
                <w:rFonts w:hint="eastAsia" w:ascii="宋体" w:hAnsi="宋体" w:eastAsia="宋体" w:cs="宋体"/>
                <w:sz w:val="21"/>
                <w:szCs w:val="21"/>
              </w:rPr>
              <w:t>具备高频手术能量平台技术。</w:t>
            </w:r>
          </w:p>
        </w:tc>
      </w:tr>
      <w:tr w14:paraId="7118CE60">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2F7C242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c>
          <w:tcPr>
            <w:tcW w:w="844" w:type="dxa"/>
            <w:tcBorders>
              <w:top w:val="single" w:color="auto" w:sz="4" w:space="0"/>
              <w:left w:val="nil"/>
              <w:bottom w:val="single" w:color="auto" w:sz="4" w:space="0"/>
              <w:right w:val="single" w:color="auto" w:sz="4" w:space="0"/>
            </w:tcBorders>
            <w:shd w:val="clear" w:color="auto" w:fill="auto"/>
            <w:vAlign w:val="center"/>
          </w:tcPr>
          <w:p w14:paraId="5058D60C">
            <w:pPr>
              <w:widowControl/>
              <w:jc w:val="center"/>
              <w:rPr>
                <w:rFonts w:hint="eastAsia" w:ascii="宋体" w:hAnsi="宋体" w:eastAsia="宋体" w:cs="宋体"/>
                <w:kern w:val="0"/>
                <w:sz w:val="21"/>
                <w:szCs w:val="21"/>
                <w:lang w:val="en-US" w:eastAsia="zh-CN" w:bidi="lo-LA"/>
              </w:rPr>
            </w:pPr>
            <w:r>
              <w:rPr>
                <w:rFonts w:hint="eastAsia" w:ascii="宋体" w:hAnsi="宋体" w:eastAsia="宋体" w:cs="宋体"/>
                <w:kern w:val="0"/>
                <w:szCs w:val="21"/>
                <w:lang w:bidi="lo-LA"/>
              </w:rPr>
              <w:t>1</w:t>
            </w:r>
            <w:r>
              <w:rPr>
                <w:rFonts w:hint="eastAsia" w:ascii="宋体" w:hAnsi="宋体" w:eastAsia="宋体" w:cs="宋体"/>
                <w:kern w:val="0"/>
                <w:szCs w:val="21"/>
                <w:lang w:val="en-US" w:eastAsia="zh-CN" w:bidi="lo-LA"/>
              </w:rPr>
              <w:t>8</w:t>
            </w:r>
          </w:p>
        </w:tc>
        <w:tc>
          <w:tcPr>
            <w:tcW w:w="7526" w:type="dxa"/>
            <w:tcBorders>
              <w:top w:val="single" w:color="auto" w:sz="4" w:space="0"/>
              <w:left w:val="nil"/>
              <w:bottom w:val="single" w:color="auto" w:sz="4" w:space="0"/>
              <w:right w:val="single" w:color="auto" w:sz="4" w:space="0"/>
            </w:tcBorders>
            <w:shd w:val="clear" w:color="auto" w:fill="auto"/>
            <w:vAlign w:val="center"/>
          </w:tcPr>
          <w:p w14:paraId="78BD6BE7">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szCs w:val="21"/>
                <w:u w:color="000000"/>
              </w:rPr>
              <w:t>须附带单套设备配置清单。</w:t>
            </w:r>
          </w:p>
        </w:tc>
      </w:tr>
      <w:tr w14:paraId="418F4072">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132D534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c>
          <w:tcPr>
            <w:tcW w:w="844" w:type="dxa"/>
            <w:tcBorders>
              <w:top w:val="single" w:color="auto" w:sz="4" w:space="0"/>
              <w:left w:val="nil"/>
              <w:bottom w:val="single" w:color="auto" w:sz="4" w:space="0"/>
              <w:right w:val="single" w:color="auto" w:sz="4" w:space="0"/>
            </w:tcBorders>
            <w:shd w:val="clear" w:color="auto" w:fill="auto"/>
            <w:vAlign w:val="center"/>
          </w:tcPr>
          <w:p w14:paraId="3B1F7C70">
            <w:pPr>
              <w:widowControl/>
              <w:jc w:val="center"/>
              <w:rPr>
                <w:rFonts w:hint="default" w:ascii="宋体" w:hAnsi="宋体" w:eastAsia="宋体" w:cs="宋体"/>
                <w:kern w:val="0"/>
                <w:sz w:val="21"/>
                <w:szCs w:val="21"/>
                <w:lang w:val="en-US" w:eastAsia="zh-CN" w:bidi="lo-LA"/>
              </w:rPr>
            </w:pPr>
            <w:r>
              <w:rPr>
                <w:rFonts w:hint="eastAsia" w:ascii="宋体" w:hAnsi="宋体" w:eastAsia="宋体" w:cs="宋体"/>
                <w:kern w:val="0"/>
                <w:szCs w:val="21"/>
                <w:lang w:val="en-US" w:eastAsia="zh-CN" w:bidi="lo-LA"/>
              </w:rPr>
              <w:t>19</w:t>
            </w:r>
          </w:p>
        </w:tc>
        <w:tc>
          <w:tcPr>
            <w:tcW w:w="7526" w:type="dxa"/>
            <w:tcBorders>
              <w:top w:val="single" w:color="auto" w:sz="4" w:space="0"/>
              <w:left w:val="nil"/>
              <w:bottom w:val="single" w:color="auto" w:sz="4" w:space="0"/>
              <w:right w:val="single" w:color="auto" w:sz="4" w:space="0"/>
            </w:tcBorders>
            <w:shd w:val="clear" w:color="auto" w:fill="auto"/>
            <w:vAlign w:val="center"/>
          </w:tcPr>
          <w:p w14:paraId="2F934FD8">
            <w:pPr>
              <w:pStyle w:val="5"/>
              <w:rPr>
                <w:rFonts w:hint="eastAsia" w:ascii="宋体" w:hAnsi="宋体" w:eastAsia="宋体" w:cs="宋体"/>
                <w:kern w:val="2"/>
                <w:sz w:val="21"/>
                <w:szCs w:val="21"/>
                <w:lang w:val="en-US" w:eastAsia="zh-CN" w:bidi="zh-CN"/>
              </w:rPr>
            </w:pPr>
            <w:r>
              <w:rPr>
                <w:rFonts w:hint="eastAsia" w:ascii="宋体" w:hAnsi="宋体" w:eastAsia="宋体" w:cs="宋体"/>
                <w:sz w:val="21"/>
                <w:szCs w:val="21"/>
                <w:u w:color="000000"/>
                <w:lang w:val="en-US"/>
              </w:rPr>
              <w:t>投标人须提供投标产品的中华人民共和国医疗器械注册证或备案凭证，并在有效期内。</w:t>
            </w:r>
          </w:p>
        </w:tc>
      </w:tr>
      <w:tr w14:paraId="5AFDAE1B">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00BBB3B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c>
          <w:tcPr>
            <w:tcW w:w="844" w:type="dxa"/>
            <w:tcBorders>
              <w:top w:val="single" w:color="auto" w:sz="4" w:space="0"/>
              <w:left w:val="nil"/>
              <w:bottom w:val="single" w:color="auto" w:sz="4" w:space="0"/>
              <w:right w:val="single" w:color="auto" w:sz="4" w:space="0"/>
            </w:tcBorders>
            <w:shd w:val="clear" w:color="auto" w:fill="auto"/>
            <w:vAlign w:val="center"/>
          </w:tcPr>
          <w:p w14:paraId="3A912BDE">
            <w:pPr>
              <w:widowControl/>
              <w:jc w:val="center"/>
              <w:rPr>
                <w:rFonts w:hint="default" w:ascii="宋体" w:hAnsi="宋体" w:eastAsia="宋体" w:cs="宋体"/>
                <w:kern w:val="0"/>
                <w:sz w:val="21"/>
                <w:szCs w:val="21"/>
                <w:lang w:val="en-US" w:eastAsia="zh-CN" w:bidi="lo-LA"/>
              </w:rPr>
            </w:pPr>
            <w:r>
              <w:rPr>
                <w:rFonts w:hint="eastAsia" w:ascii="宋体" w:hAnsi="宋体" w:eastAsia="宋体" w:cs="宋体"/>
                <w:kern w:val="0"/>
                <w:szCs w:val="21"/>
                <w:lang w:val="en-US" w:eastAsia="zh-CN" w:bidi="lo-LA"/>
              </w:rPr>
              <w:t>20</w:t>
            </w:r>
          </w:p>
        </w:tc>
        <w:tc>
          <w:tcPr>
            <w:tcW w:w="7526" w:type="dxa"/>
            <w:tcBorders>
              <w:top w:val="single" w:color="auto" w:sz="4" w:space="0"/>
              <w:left w:val="nil"/>
              <w:bottom w:val="single" w:color="auto" w:sz="4" w:space="0"/>
              <w:right w:val="single" w:color="auto" w:sz="4" w:space="0"/>
            </w:tcBorders>
            <w:shd w:val="clear" w:color="auto" w:fill="auto"/>
            <w:vAlign w:val="center"/>
          </w:tcPr>
          <w:p w14:paraId="2A087D6B">
            <w:pPr>
              <w:tabs>
                <w:tab w:val="left" w:pos="1850"/>
              </w:tabs>
              <w:jc w:val="left"/>
              <w:rPr>
                <w:rFonts w:hint="eastAsia" w:ascii="宋体" w:hAnsi="宋体" w:eastAsia="宋体" w:cs="宋体"/>
                <w:kern w:val="2"/>
                <w:sz w:val="21"/>
                <w:szCs w:val="21"/>
                <w:lang w:val="en-US" w:eastAsia="zh-CN" w:bidi="ar-SA"/>
              </w:rPr>
            </w:pPr>
            <w:r>
              <w:rPr>
                <w:rFonts w:hint="eastAsia" w:ascii="宋体" w:hAnsi="宋体" w:eastAsia="宋体" w:cs="宋体"/>
                <w:szCs w:val="21"/>
                <w:u w:color="000000"/>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7134265">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6EAE44D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c>
          <w:tcPr>
            <w:tcW w:w="844" w:type="dxa"/>
            <w:tcBorders>
              <w:top w:val="single" w:color="auto" w:sz="4" w:space="0"/>
              <w:left w:val="nil"/>
              <w:bottom w:val="single" w:color="auto" w:sz="4" w:space="0"/>
              <w:right w:val="single" w:color="auto" w:sz="4" w:space="0"/>
            </w:tcBorders>
            <w:shd w:val="clear" w:color="auto" w:fill="auto"/>
            <w:vAlign w:val="center"/>
          </w:tcPr>
          <w:p w14:paraId="354DDC4F">
            <w:pPr>
              <w:widowControl/>
              <w:jc w:val="center"/>
              <w:rPr>
                <w:rFonts w:hint="default" w:ascii="宋体" w:hAnsi="宋体" w:eastAsia="宋体" w:cs="宋体"/>
                <w:kern w:val="0"/>
                <w:sz w:val="21"/>
                <w:szCs w:val="21"/>
                <w:lang w:val="en-US" w:eastAsia="zh-CN" w:bidi="lo-LA"/>
              </w:rPr>
            </w:pPr>
            <w:r>
              <w:rPr>
                <w:rFonts w:hint="eastAsia" w:ascii="宋体" w:hAnsi="宋体" w:eastAsia="宋体" w:cs="宋体"/>
                <w:kern w:val="0"/>
                <w:szCs w:val="21"/>
                <w:lang w:val="en-US" w:eastAsia="zh-CN" w:bidi="lo-LA"/>
              </w:rPr>
              <w:t>21</w:t>
            </w:r>
          </w:p>
        </w:tc>
        <w:tc>
          <w:tcPr>
            <w:tcW w:w="7526" w:type="dxa"/>
            <w:tcBorders>
              <w:top w:val="single" w:color="auto" w:sz="4" w:space="0"/>
              <w:left w:val="nil"/>
              <w:bottom w:val="single" w:color="auto" w:sz="4" w:space="0"/>
              <w:right w:val="single" w:color="auto" w:sz="4" w:space="0"/>
            </w:tcBorders>
            <w:shd w:val="clear" w:color="auto" w:fill="auto"/>
            <w:vAlign w:val="center"/>
          </w:tcPr>
          <w:p w14:paraId="68BFDF35">
            <w:pPr>
              <w:pStyle w:val="5"/>
              <w:rPr>
                <w:rFonts w:hint="eastAsia" w:ascii="宋体" w:hAnsi="宋体" w:eastAsia="宋体" w:cs="宋体"/>
                <w:kern w:val="2"/>
                <w:sz w:val="21"/>
                <w:szCs w:val="21"/>
                <w:lang w:val="en-US" w:eastAsia="zh-CN" w:bidi="zh-CN"/>
              </w:rPr>
            </w:pPr>
            <w:r>
              <w:rPr>
                <w:rFonts w:hint="eastAsia" w:ascii="宋体" w:hAnsi="宋体" w:eastAsia="宋体" w:cs="宋体"/>
                <w:sz w:val="21"/>
                <w:szCs w:val="21"/>
                <w:u w:color="000000"/>
                <w:lang w:val="en-US"/>
              </w:rPr>
              <w:t>投标人须提供其与投标产品相符合的医疗器械经营许可证或备案凭证，并在有效期内。</w:t>
            </w:r>
          </w:p>
        </w:tc>
      </w:tr>
      <w:tr w14:paraId="67A4E187">
        <w:tblPrEx>
          <w:tblCellMar>
            <w:top w:w="0" w:type="dxa"/>
            <w:left w:w="108" w:type="dxa"/>
            <w:bottom w:w="0" w:type="dxa"/>
            <w:right w:w="108" w:type="dxa"/>
          </w:tblCellMar>
        </w:tblPrEx>
        <w:trPr>
          <w:trHeight w:val="365" w:hRule="atLeast"/>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3AA2035D">
            <w:pPr>
              <w:widowControl/>
              <w:jc w:val="center"/>
              <w:rPr>
                <w:rFonts w:hint="eastAsia" w:ascii="宋体" w:hAnsi="宋体" w:eastAsia="宋体" w:cs="宋体"/>
                <w:kern w:val="0"/>
                <w:sz w:val="21"/>
                <w:szCs w:val="21"/>
                <w:lang w:val="en-US" w:eastAsia="zh-CN" w:bidi="lo-LA"/>
              </w:rPr>
            </w:pPr>
          </w:p>
        </w:tc>
        <w:tc>
          <w:tcPr>
            <w:tcW w:w="844" w:type="dxa"/>
            <w:tcBorders>
              <w:top w:val="single" w:color="auto" w:sz="4" w:space="0"/>
              <w:left w:val="nil"/>
              <w:bottom w:val="single" w:color="auto" w:sz="4" w:space="0"/>
              <w:right w:val="single" w:color="auto" w:sz="4" w:space="0"/>
            </w:tcBorders>
            <w:shd w:val="clear" w:color="auto" w:fill="auto"/>
            <w:vAlign w:val="center"/>
          </w:tcPr>
          <w:p w14:paraId="0BCFE458">
            <w:pPr>
              <w:widowControl/>
              <w:jc w:val="center"/>
              <w:rPr>
                <w:rFonts w:hint="default" w:ascii="宋体" w:hAnsi="宋体" w:eastAsia="宋体" w:cs="宋体"/>
                <w:kern w:val="0"/>
                <w:sz w:val="21"/>
                <w:szCs w:val="21"/>
                <w:lang w:val="en-US" w:eastAsia="zh-CN" w:bidi="lo-LA"/>
              </w:rPr>
            </w:pPr>
            <w:r>
              <w:rPr>
                <w:rFonts w:hint="eastAsia" w:ascii="宋体" w:hAnsi="宋体" w:eastAsia="宋体" w:cs="宋体"/>
                <w:kern w:val="0"/>
                <w:szCs w:val="21"/>
                <w:lang w:val="en-US" w:eastAsia="zh-CN" w:bidi="lo-LA"/>
              </w:rPr>
              <w:t>22</w:t>
            </w:r>
          </w:p>
        </w:tc>
        <w:tc>
          <w:tcPr>
            <w:tcW w:w="7526" w:type="dxa"/>
            <w:tcBorders>
              <w:top w:val="single" w:color="auto" w:sz="4" w:space="0"/>
              <w:left w:val="nil"/>
              <w:bottom w:val="single" w:color="auto" w:sz="4" w:space="0"/>
              <w:right w:val="single" w:color="auto" w:sz="4" w:space="0"/>
            </w:tcBorders>
            <w:shd w:val="clear" w:color="auto" w:fill="auto"/>
            <w:vAlign w:val="center"/>
          </w:tcPr>
          <w:p w14:paraId="6CE46B65">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中标人所供设备的生产日期应距合同签订日期</w:t>
            </w:r>
            <w:r>
              <w:rPr>
                <w:rFonts w:hint="eastAsia" w:ascii="宋体" w:hAnsi="宋体" w:eastAsia="宋体" w:cs="宋体"/>
                <w:kern w:val="0"/>
                <w:szCs w:val="21"/>
                <w:lang w:val="en-US" w:eastAsia="zh-CN"/>
              </w:rPr>
              <w:t>3</w:t>
            </w:r>
            <w:r>
              <w:rPr>
                <w:rFonts w:hint="eastAsia" w:ascii="宋体" w:hAnsi="宋体" w:eastAsia="宋体" w:cs="宋体"/>
                <w:kern w:val="0"/>
                <w:szCs w:val="21"/>
              </w:rPr>
              <w:t>个月以内。</w:t>
            </w:r>
          </w:p>
        </w:tc>
      </w:tr>
    </w:tbl>
    <w:p w14:paraId="10A18E6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044409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88B3F8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4D62D9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1F258A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2F8471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97F7F7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B982F3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78AB1C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234A5B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67F6F5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2889C8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表2 综合评分表</w:t>
      </w:r>
    </w:p>
    <w:tbl>
      <w:tblPr>
        <w:tblStyle w:val="11"/>
        <w:tblpPr w:vertAnchor="text" w:tblpXSpec="center" w:tblpY="1"/>
        <w:tblW w:w="8570" w:type="dxa"/>
        <w:tblInd w:w="108" w:type="dxa"/>
        <w:tblLayout w:type="fixed"/>
        <w:tblCellMar>
          <w:top w:w="0" w:type="dxa"/>
          <w:left w:w="0" w:type="dxa"/>
          <w:bottom w:w="0" w:type="dxa"/>
          <w:right w:w="0" w:type="dxa"/>
        </w:tblCellMar>
      </w:tblPr>
      <w:tblGrid>
        <w:gridCol w:w="528"/>
        <w:gridCol w:w="1701"/>
        <w:gridCol w:w="6341"/>
      </w:tblGrid>
      <w:tr w14:paraId="7205CB6F">
        <w:tblPrEx>
          <w:tblCellMar>
            <w:top w:w="0" w:type="dxa"/>
            <w:left w:w="0" w:type="dxa"/>
            <w:bottom w:w="0" w:type="dxa"/>
            <w:right w:w="0" w:type="dxa"/>
          </w:tblCellMar>
        </w:tblPrEx>
        <w:trPr>
          <w:trHeight w:val="976" w:hRule="atLeast"/>
        </w:trPr>
        <w:tc>
          <w:tcPr>
            <w:tcW w:w="222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0EC6DA">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评审因素</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0BC1A">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评分标准</w:t>
            </w:r>
          </w:p>
        </w:tc>
      </w:tr>
      <w:tr w14:paraId="38D705A7">
        <w:tblPrEx>
          <w:tblCellMar>
            <w:top w:w="0" w:type="dxa"/>
            <w:left w:w="0" w:type="dxa"/>
            <w:bottom w:w="0" w:type="dxa"/>
            <w:right w:w="0" w:type="dxa"/>
          </w:tblCellMar>
        </w:tblPrEx>
        <w:trPr>
          <w:trHeight w:val="1415" w:hRule="atLeast"/>
        </w:trPr>
        <w:tc>
          <w:tcPr>
            <w:tcW w:w="222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883B2">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分值构成</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CD8AC">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 xml:space="preserve">1、报价得分  </w:t>
            </w:r>
            <w:r>
              <w:rPr>
                <w:rFonts w:hint="eastAsia" w:ascii="宋体" w:hAnsi="宋体" w:eastAsia="宋体"/>
                <w:b w:val="0"/>
                <w:w w:val="100"/>
                <w:sz w:val="21"/>
                <w:lang w:val="en-US" w:eastAsia="zh-CN"/>
              </w:rPr>
              <w:t>6</w:t>
            </w:r>
            <w:r>
              <w:rPr>
                <w:rFonts w:hint="eastAsia" w:ascii="宋体" w:hAnsi="宋体" w:eastAsia="宋体"/>
                <w:b w:val="0"/>
                <w:w w:val="100"/>
                <w:sz w:val="21"/>
                <w:lang w:eastAsia="zh-CN"/>
              </w:rPr>
              <w:t>0</w:t>
            </w:r>
            <w:r>
              <w:rPr>
                <w:rFonts w:ascii="宋体" w:hAnsi="宋体" w:eastAsia="宋体"/>
                <w:b w:val="0"/>
                <w:w w:val="100"/>
                <w:sz w:val="21"/>
              </w:rPr>
              <w:t>分；</w:t>
            </w:r>
          </w:p>
          <w:p w14:paraId="3CD5DD68">
            <w:pPr>
              <w:widowControl/>
              <w:autoSpaceDE/>
              <w:autoSpaceDN/>
              <w:snapToGrid/>
              <w:spacing w:before="0" w:after="0" w:line="240" w:lineRule="auto"/>
              <w:ind w:left="0" w:firstLine="0"/>
              <w:jc w:val="left"/>
              <w:rPr>
                <w:rFonts w:ascii="宋体" w:hAnsi="Calibri" w:eastAsia="宋体"/>
                <w:b w:val="0"/>
                <w:w w:val="100"/>
                <w:sz w:val="21"/>
              </w:rPr>
            </w:pPr>
            <w:r>
              <w:rPr>
                <w:rFonts w:hint="eastAsia" w:ascii="宋体" w:hAnsi="宋体" w:eastAsia="宋体"/>
                <w:b w:val="0"/>
                <w:w w:val="100"/>
                <w:sz w:val="21"/>
                <w:lang w:val="en-US" w:eastAsia="zh-CN"/>
              </w:rPr>
              <w:t>2</w:t>
            </w:r>
            <w:r>
              <w:rPr>
                <w:rFonts w:ascii="宋体" w:hAnsi="宋体" w:eastAsia="宋体"/>
                <w:b w:val="0"/>
                <w:w w:val="100"/>
                <w:sz w:val="21"/>
              </w:rPr>
              <w:t>、技术部分 </w:t>
            </w:r>
            <w:r>
              <w:rPr>
                <w:rFonts w:hint="eastAsia" w:ascii="宋体" w:hAnsi="宋体" w:eastAsia="宋体"/>
                <w:b w:val="0"/>
                <w:w w:val="100"/>
                <w:sz w:val="21"/>
                <w:lang w:val="en-US" w:eastAsia="zh-CN"/>
              </w:rPr>
              <w:t>40</w:t>
            </w:r>
            <w:r>
              <w:rPr>
                <w:rFonts w:ascii="宋体" w:hAnsi="宋体" w:eastAsia="宋体"/>
                <w:b w:val="0"/>
                <w:w w:val="100"/>
                <w:sz w:val="21"/>
              </w:rPr>
              <w:t>分。</w:t>
            </w:r>
          </w:p>
        </w:tc>
      </w:tr>
      <w:tr w14:paraId="013DB7C3">
        <w:tblPrEx>
          <w:tblCellMar>
            <w:top w:w="0" w:type="dxa"/>
            <w:left w:w="0" w:type="dxa"/>
            <w:bottom w:w="0" w:type="dxa"/>
            <w:right w:w="0" w:type="dxa"/>
          </w:tblCellMar>
        </w:tblPrEx>
        <w:trPr>
          <w:trHeight w:val="1404" w:hRule="atLeast"/>
        </w:trPr>
        <w:tc>
          <w:tcPr>
            <w:tcW w:w="528" w:type="dxa"/>
            <w:vMerge w:val="restart"/>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2A03CB">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投标报价</w:t>
            </w:r>
          </w:p>
        </w:tc>
        <w:tc>
          <w:tcPr>
            <w:tcW w:w="170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686EC5">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评标基准价确定方法</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2C3869">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满足招标文件要求通过初步评审的且投标报价最低的为评标基准价。</w:t>
            </w:r>
          </w:p>
        </w:tc>
      </w:tr>
      <w:tr w14:paraId="239BE73C">
        <w:tblPrEx>
          <w:tblCellMar>
            <w:top w:w="0" w:type="dxa"/>
            <w:left w:w="0" w:type="dxa"/>
            <w:bottom w:w="0" w:type="dxa"/>
            <w:right w:w="0" w:type="dxa"/>
          </w:tblCellMar>
        </w:tblPrEx>
        <w:trPr>
          <w:trHeight w:val="1407" w:hRule="atLeast"/>
        </w:trPr>
        <w:tc>
          <w:tcPr>
            <w:tcW w:w="528"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513935">
            <w:pPr>
              <w:widowControl/>
              <w:autoSpaceDE/>
              <w:autoSpaceDN/>
              <w:snapToGrid/>
              <w:spacing w:before="0" w:after="0" w:line="240" w:lineRule="auto"/>
              <w:ind w:left="0" w:firstLine="0"/>
              <w:jc w:val="left"/>
              <w:rPr>
                <w:rFonts w:ascii="宋体" w:hAnsi="Calibri" w:eastAsia="宋体"/>
                <w:b w:val="0"/>
                <w:w w:val="100"/>
                <w:sz w:val="21"/>
              </w:rPr>
            </w:pP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D5A3E9">
            <w:pPr>
              <w:widowControl/>
              <w:autoSpaceDE/>
              <w:autoSpaceDN/>
              <w:snapToGrid w:val="0"/>
              <w:spacing w:before="0" w:after="0" w:line="240" w:lineRule="auto"/>
              <w:ind w:left="0" w:firstLine="0"/>
              <w:jc w:val="center"/>
              <w:rPr>
                <w:rFonts w:ascii="宋体" w:hAnsi="Calibri" w:eastAsia="宋体"/>
                <w:b w:val="0"/>
                <w:w w:val="100"/>
                <w:sz w:val="21"/>
              </w:rPr>
            </w:pPr>
            <w:r>
              <w:rPr>
                <w:rFonts w:ascii="宋体" w:hAnsi="宋体" w:eastAsia="宋体"/>
                <w:b w:val="0"/>
                <w:w w:val="100"/>
                <w:sz w:val="21"/>
              </w:rPr>
              <w:t>投标报价得分（</w:t>
            </w:r>
            <w:r>
              <w:rPr>
                <w:rFonts w:hint="eastAsia" w:ascii="宋体" w:hAnsi="宋体" w:eastAsia="宋体"/>
                <w:b w:val="0"/>
                <w:w w:val="100"/>
                <w:sz w:val="21"/>
                <w:lang w:val="en-US" w:eastAsia="zh-CN"/>
              </w:rPr>
              <w:t>6</w:t>
            </w:r>
            <w:r>
              <w:rPr>
                <w:rFonts w:hint="eastAsia" w:ascii="宋体" w:hAnsi="宋体" w:eastAsia="宋体"/>
                <w:b w:val="0"/>
                <w:w w:val="100"/>
                <w:sz w:val="21"/>
                <w:lang w:eastAsia="zh-CN"/>
              </w:rPr>
              <w:t>0</w:t>
            </w:r>
            <w:r>
              <w:rPr>
                <w:rFonts w:ascii="宋体" w:hAnsi="宋体" w:eastAsia="宋体"/>
                <w:b w:val="0"/>
                <w:w w:val="100"/>
                <w:sz w:val="21"/>
              </w:rPr>
              <w:t>分）</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8180E0">
            <w:pPr>
              <w:widowControl/>
              <w:autoSpaceDE/>
              <w:autoSpaceDN/>
              <w:snapToGrid w:val="0"/>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投标报价得分＝（评标基准价/投标报价）×</w:t>
            </w:r>
            <w:r>
              <w:rPr>
                <w:rFonts w:hint="eastAsia" w:ascii="宋体" w:hAnsi="宋体" w:eastAsia="宋体"/>
                <w:b w:val="0"/>
                <w:w w:val="100"/>
                <w:sz w:val="21"/>
                <w:lang w:val="en-US" w:eastAsia="zh-CN"/>
              </w:rPr>
              <w:t>6</w:t>
            </w:r>
            <w:r>
              <w:rPr>
                <w:rFonts w:hint="eastAsia" w:ascii="宋体" w:hAnsi="宋体" w:eastAsia="宋体"/>
                <w:b w:val="0"/>
                <w:w w:val="100"/>
                <w:sz w:val="21"/>
                <w:lang w:eastAsia="zh-CN"/>
              </w:rPr>
              <w:t>0</w:t>
            </w:r>
            <w:r>
              <w:rPr>
                <w:rFonts w:ascii="宋体" w:hAnsi="宋体" w:eastAsia="宋体"/>
                <w:b w:val="0"/>
                <w:w w:val="100"/>
                <w:sz w:val="21"/>
              </w:rPr>
              <w:t>。</w:t>
            </w:r>
          </w:p>
        </w:tc>
      </w:tr>
      <w:tr w14:paraId="34B0B13E">
        <w:tblPrEx>
          <w:tblCellMar>
            <w:top w:w="0" w:type="dxa"/>
            <w:left w:w="0" w:type="dxa"/>
            <w:bottom w:w="0" w:type="dxa"/>
            <w:right w:w="0" w:type="dxa"/>
          </w:tblCellMar>
        </w:tblPrEx>
        <w:trPr>
          <w:trHeight w:val="2063" w:hRule="atLeast"/>
        </w:trPr>
        <w:tc>
          <w:tcPr>
            <w:tcW w:w="5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43743B">
            <w:pPr>
              <w:widowControl/>
              <w:autoSpaceDE/>
              <w:autoSpaceDN/>
              <w:snapToGrid/>
              <w:spacing w:before="0" w:after="0" w:line="240" w:lineRule="auto"/>
              <w:ind w:left="0" w:firstLine="0"/>
              <w:jc w:val="left"/>
              <w:rPr>
                <w:rFonts w:ascii="宋体" w:hAnsi="宋体" w:eastAsia="宋体"/>
                <w:b w:val="0"/>
                <w:w w:val="100"/>
                <w:sz w:val="21"/>
              </w:rPr>
            </w:pPr>
            <w:r>
              <w:rPr>
                <w:rFonts w:ascii="宋体" w:hAnsi="宋体" w:eastAsia="宋体"/>
                <w:b w:val="0"/>
                <w:w w:val="100"/>
                <w:sz w:val="21"/>
              </w:rPr>
              <w:t>技术部分</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1CC78D">
            <w:pPr>
              <w:widowControl/>
              <w:autoSpaceDE/>
              <w:autoSpaceDN/>
              <w:snapToGrid/>
              <w:spacing w:before="0" w:after="0" w:line="240" w:lineRule="auto"/>
              <w:ind w:left="0" w:firstLine="0"/>
              <w:jc w:val="center"/>
              <w:rPr>
                <w:rFonts w:ascii="宋体" w:hAnsi="宋体" w:eastAsia="宋体"/>
                <w:b w:val="0"/>
                <w:color w:val="auto"/>
                <w:w w:val="100"/>
                <w:sz w:val="21"/>
              </w:rPr>
            </w:pPr>
            <w:r>
              <w:rPr>
                <w:rFonts w:ascii="宋体" w:hAnsi="宋体" w:eastAsia="宋体"/>
                <w:b w:val="0"/>
                <w:color w:val="auto"/>
                <w:w w:val="100"/>
                <w:sz w:val="21"/>
              </w:rPr>
              <w:t>一般技术参数（</w:t>
            </w:r>
            <w:r>
              <w:rPr>
                <w:rFonts w:hint="eastAsia" w:ascii="宋体" w:hAnsi="宋体" w:eastAsia="宋体"/>
                <w:b w:val="0"/>
                <w:color w:val="auto"/>
                <w:w w:val="100"/>
                <w:sz w:val="21"/>
                <w:lang w:val="en-US" w:eastAsia="zh-CN"/>
              </w:rPr>
              <w:t>非</w:t>
            </w:r>
            <w:r>
              <w:rPr>
                <w:rFonts w:ascii="宋体" w:hAnsi="宋体" w:eastAsia="宋体"/>
                <w:b w:val="0"/>
                <w:color w:val="auto"/>
                <w:w w:val="100"/>
                <w:sz w:val="21"/>
              </w:rPr>
              <w:t>标“</w:t>
            </w:r>
            <w:r>
              <w:rPr>
                <w:rFonts w:hint="eastAsia" w:ascii="宋体" w:hAnsi="宋体" w:eastAsia="宋体" w:cs="宋体"/>
                <w:kern w:val="0"/>
                <w:sz w:val="21"/>
                <w:szCs w:val="21"/>
              </w:rPr>
              <w:t>★</w:t>
            </w:r>
            <w:r>
              <w:rPr>
                <w:rFonts w:hint="eastAsia" w:ascii="宋体" w:hAnsi="宋体" w:eastAsia="宋体"/>
                <w:b w:val="0"/>
                <w:color w:val="auto"/>
                <w:w w:val="100"/>
                <w:sz w:val="21"/>
                <w:lang w:val="en-US" w:eastAsia="zh-CN"/>
              </w:rPr>
              <w:t>”</w:t>
            </w:r>
            <w:r>
              <w:rPr>
                <w:rFonts w:ascii="宋体" w:hAnsi="宋体" w:eastAsia="宋体"/>
                <w:b w:val="0"/>
                <w:color w:val="auto"/>
                <w:w w:val="100"/>
                <w:sz w:val="21"/>
              </w:rPr>
              <w:t>项）</w:t>
            </w:r>
          </w:p>
          <w:p w14:paraId="5A93E817">
            <w:pPr>
              <w:widowControl/>
              <w:autoSpaceDE/>
              <w:autoSpaceDN/>
              <w:snapToGrid/>
              <w:spacing w:before="0" w:after="0" w:line="240" w:lineRule="auto"/>
              <w:ind w:left="0" w:leftChars="0" w:firstLine="0" w:firstLineChars="0"/>
              <w:jc w:val="center"/>
              <w:rPr>
                <w:rFonts w:ascii="宋体" w:hAnsi="宋体" w:eastAsia="宋体" w:cstheme="minorBidi"/>
                <w:b w:val="0"/>
                <w:color w:val="auto"/>
                <w:w w:val="100"/>
                <w:kern w:val="2"/>
                <w:sz w:val="21"/>
                <w:szCs w:val="22"/>
                <w:lang w:val="en-US" w:eastAsia="zh-CN" w:bidi="ar-SA"/>
              </w:rPr>
            </w:pPr>
            <w:r>
              <w:rPr>
                <w:rFonts w:ascii="宋体" w:hAnsi="宋体" w:eastAsia="宋体"/>
                <w:b w:val="0"/>
                <w:color w:val="auto"/>
                <w:w w:val="100"/>
                <w:sz w:val="21"/>
              </w:rPr>
              <w:t>（</w:t>
            </w:r>
            <w:r>
              <w:rPr>
                <w:rFonts w:hint="eastAsia" w:ascii="宋体" w:hAnsi="宋体" w:eastAsia="宋体"/>
                <w:b w:val="0"/>
                <w:color w:val="auto"/>
                <w:w w:val="100"/>
                <w:sz w:val="21"/>
                <w:lang w:val="en-US" w:eastAsia="zh-CN"/>
              </w:rPr>
              <w:t>40</w:t>
            </w:r>
            <w:r>
              <w:rPr>
                <w:rFonts w:ascii="宋体" w:hAnsi="宋体" w:eastAsia="宋体"/>
                <w:b w:val="0"/>
                <w:color w:val="auto"/>
                <w:w w:val="100"/>
                <w:sz w:val="21"/>
              </w:rPr>
              <w:t>分）</w:t>
            </w:r>
          </w:p>
        </w:tc>
        <w:tc>
          <w:tcPr>
            <w:tcW w:w="63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DB3CF">
            <w:pPr>
              <w:widowControl/>
              <w:autoSpaceDE/>
              <w:autoSpaceDN/>
              <w:snapToGrid/>
              <w:spacing w:before="0" w:after="0" w:line="240" w:lineRule="auto"/>
              <w:ind w:left="0" w:leftChars="0" w:firstLine="0" w:firstLineChars="0"/>
              <w:jc w:val="left"/>
              <w:rPr>
                <w:rFonts w:ascii="宋体" w:hAnsi="宋体" w:eastAsia="宋体" w:cstheme="minorBidi"/>
                <w:b w:val="0"/>
                <w:w w:val="100"/>
                <w:kern w:val="2"/>
                <w:sz w:val="21"/>
                <w:szCs w:val="22"/>
                <w:lang w:val="en-US" w:eastAsia="zh-CN" w:bidi="ar-SA"/>
              </w:rPr>
            </w:pPr>
            <w:r>
              <w:rPr>
                <w:rFonts w:ascii="宋体" w:hAnsi="宋体" w:eastAsia="宋体"/>
                <w:b w:val="0"/>
                <w:w w:val="100"/>
                <w:sz w:val="21"/>
              </w:rPr>
              <w:t>所有产品一般技术参数指标（非</w:t>
            </w:r>
            <w:r>
              <w:rPr>
                <w:rFonts w:hint="eastAsia" w:ascii="宋体" w:hAnsi="宋体" w:eastAsia="宋体"/>
                <w:b w:val="0"/>
                <w:w w:val="100"/>
                <w:sz w:val="21"/>
                <w:lang w:val="en-US" w:eastAsia="zh-CN"/>
              </w:rPr>
              <w:t>标</w:t>
            </w:r>
            <w:r>
              <w:rPr>
                <w:rFonts w:ascii="宋体" w:hAnsi="宋体" w:eastAsia="宋体"/>
                <w:b w:val="0"/>
                <w:w w:val="100"/>
                <w:sz w:val="21"/>
              </w:rPr>
              <w:t>“</w:t>
            </w:r>
            <w:r>
              <w:rPr>
                <w:rFonts w:hint="eastAsia" w:ascii="宋体" w:hAnsi="宋体" w:eastAsia="宋体" w:cs="宋体"/>
                <w:kern w:val="0"/>
                <w:sz w:val="21"/>
                <w:szCs w:val="21"/>
              </w:rPr>
              <w:t>★</w:t>
            </w:r>
            <w:r>
              <w:rPr>
                <w:rFonts w:hint="eastAsia" w:ascii="宋体" w:hAnsi="宋体" w:eastAsia="宋体"/>
                <w:b w:val="0"/>
                <w:w w:val="100"/>
                <w:sz w:val="21"/>
                <w:lang w:val="en-US" w:eastAsia="zh-CN"/>
              </w:rPr>
              <w:t>”</w:t>
            </w:r>
            <w:r>
              <w:rPr>
                <w:rFonts w:ascii="宋体" w:hAnsi="宋体" w:eastAsia="宋体"/>
                <w:b w:val="0"/>
                <w:w w:val="100"/>
                <w:sz w:val="21"/>
              </w:rPr>
              <w:t>项）</w:t>
            </w:r>
            <w:r>
              <w:rPr>
                <w:rFonts w:hint="eastAsia" w:ascii="宋体" w:hAnsi="宋体" w:eastAsia="宋体"/>
                <w:b w:val="0"/>
                <w:w w:val="100"/>
                <w:sz w:val="21"/>
                <w:lang w:val="en-US" w:eastAsia="zh-CN"/>
              </w:rPr>
              <w:t>共16项，完全响应</w:t>
            </w:r>
            <w:r>
              <w:rPr>
                <w:rFonts w:ascii="宋体" w:hAnsi="宋体" w:eastAsia="宋体"/>
                <w:b w:val="0"/>
                <w:w w:val="100"/>
                <w:sz w:val="21"/>
              </w:rPr>
              <w:t>招标文件要求的得</w:t>
            </w:r>
            <w:r>
              <w:rPr>
                <w:rFonts w:hint="eastAsia" w:ascii="宋体" w:hAnsi="宋体" w:eastAsia="宋体"/>
                <w:b w:val="0"/>
                <w:w w:val="100"/>
                <w:sz w:val="21"/>
                <w:lang w:val="en-US" w:eastAsia="zh-CN"/>
              </w:rPr>
              <w:t>40</w:t>
            </w:r>
            <w:r>
              <w:rPr>
                <w:rFonts w:ascii="宋体" w:hAnsi="宋体" w:eastAsia="宋体"/>
                <w:b w:val="0"/>
                <w:w w:val="100"/>
                <w:sz w:val="21"/>
              </w:rPr>
              <w:t>分，每有一项不满足或负偏离扣</w:t>
            </w:r>
            <w:r>
              <w:rPr>
                <w:rFonts w:hint="eastAsia" w:ascii="宋体" w:hAnsi="宋体" w:eastAsia="宋体"/>
                <w:b w:val="0"/>
                <w:w w:val="100"/>
                <w:sz w:val="21"/>
                <w:lang w:val="en-US" w:eastAsia="zh-CN"/>
              </w:rPr>
              <w:t>的2.5</w:t>
            </w:r>
            <w:r>
              <w:rPr>
                <w:rFonts w:ascii="宋体" w:hAnsi="宋体" w:eastAsia="宋体"/>
                <w:b w:val="0"/>
                <w:w w:val="100"/>
                <w:sz w:val="21"/>
              </w:rPr>
              <w:t>分</w:t>
            </w:r>
            <w:r>
              <w:rPr>
                <w:rFonts w:hint="eastAsia" w:ascii="宋体" w:hAnsi="宋体" w:eastAsia="宋体"/>
                <w:b w:val="0"/>
                <w:w w:val="100"/>
                <w:sz w:val="21"/>
                <w:lang w:eastAsia="zh-CN"/>
              </w:rPr>
              <w:t>，</w:t>
            </w:r>
            <w:r>
              <w:rPr>
                <w:rFonts w:ascii="宋体" w:hAnsi="宋体" w:eastAsia="宋体"/>
                <w:b w:val="0"/>
                <w:w w:val="100"/>
                <w:sz w:val="21"/>
              </w:rPr>
              <w:t>分值扣完为止。</w:t>
            </w:r>
          </w:p>
        </w:tc>
      </w:tr>
    </w:tbl>
    <w:p w14:paraId="110313A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8"/>
          <w:szCs w:val="28"/>
          <w:lang w:val="en-US" w:eastAsia="zh-CN"/>
        </w:rPr>
      </w:pPr>
    </w:p>
    <w:p w14:paraId="57A0416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68CDE64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C9EF74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26DF331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1B1A814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8D59F2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AC6963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D217D8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6C14149"/>
    <w:rsid w:val="07EE0F70"/>
    <w:rsid w:val="080A65A2"/>
    <w:rsid w:val="081B095A"/>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6FC737F"/>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5E17EDC"/>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7157</Words>
  <Characters>8054</Characters>
  <Lines>0</Lines>
  <Paragraphs>0</Paragraphs>
  <TotalTime>0</TotalTime>
  <ScaleCrop>false</ScaleCrop>
  <LinksUpToDate>false</LinksUpToDate>
  <CharactersWithSpaces>8602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2026-07-03T07:49:23Z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6184C50D299A403886466D023A84B622_13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