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6F5DED71">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职工生日蛋糕项目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2026年7月3日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964"/>
        <w:gridCol w:w="1200"/>
        <w:gridCol w:w="1079"/>
        <w:gridCol w:w="1683"/>
        <w:gridCol w:w="165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123285E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964" w:type="dxa"/>
            <w:vAlign w:val="center"/>
          </w:tcPr>
          <w:p w14:paraId="3E37CC3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07310B1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079" w:type="dxa"/>
            <w:vAlign w:val="center"/>
          </w:tcPr>
          <w:p w14:paraId="20208E7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83" w:type="dxa"/>
            <w:vAlign w:val="center"/>
          </w:tcPr>
          <w:p w14:paraId="4C60CD5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50" w:type="dxa"/>
            <w:vAlign w:val="center"/>
          </w:tcPr>
          <w:p w14:paraId="14356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17C02F4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964" w:type="dxa"/>
            <w:vAlign w:val="center"/>
          </w:tcPr>
          <w:p w14:paraId="76F1662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sz w:val="28"/>
                <w:szCs w:val="28"/>
                <w:lang w:eastAsia="zh-CN"/>
              </w:rPr>
              <w:t>职工生日蛋糕</w:t>
            </w:r>
            <w:r>
              <w:rPr>
                <w:rFonts w:hint="eastAsia" w:ascii="宋体" w:hAnsi="宋体" w:eastAsia="宋体"/>
                <w:sz w:val="28"/>
                <w:szCs w:val="28"/>
                <w:lang w:val="en-US" w:eastAsia="zh-CN"/>
              </w:rPr>
              <w:t>项目</w:t>
            </w:r>
          </w:p>
        </w:tc>
        <w:tc>
          <w:tcPr>
            <w:tcW w:w="1200" w:type="dxa"/>
            <w:vAlign w:val="center"/>
          </w:tcPr>
          <w:p w14:paraId="569A970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个</w:t>
            </w:r>
          </w:p>
        </w:tc>
        <w:tc>
          <w:tcPr>
            <w:tcW w:w="1079" w:type="dxa"/>
            <w:vAlign w:val="center"/>
          </w:tcPr>
          <w:p w14:paraId="535899A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3110</w:t>
            </w:r>
          </w:p>
        </w:tc>
        <w:tc>
          <w:tcPr>
            <w:tcW w:w="1683" w:type="dxa"/>
            <w:vAlign w:val="center"/>
          </w:tcPr>
          <w:p w14:paraId="70A9229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w:t>
            </w:r>
          </w:p>
        </w:tc>
        <w:tc>
          <w:tcPr>
            <w:tcW w:w="1650" w:type="dxa"/>
            <w:vAlign w:val="center"/>
          </w:tcPr>
          <w:p w14:paraId="1D45D75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466500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0B1B03D5">
            <w:pPr>
              <w:widowControl/>
              <w:jc w:val="center"/>
              <w:textAlignment w:val="center"/>
              <w:rPr>
                <w:rFonts w:hint="eastAsia" w:ascii="宋体" w:hAnsi="宋体" w:eastAsia="宋体" w:cs="宋体"/>
                <w:kern w:val="0"/>
                <w:sz w:val="28"/>
                <w:szCs w:val="28"/>
                <w:lang w:val="en-US" w:eastAsia="zh-CN"/>
              </w:rPr>
            </w:pPr>
          </w:p>
        </w:tc>
        <w:tc>
          <w:tcPr>
            <w:tcW w:w="6926" w:type="dxa"/>
            <w:gridSpan w:val="4"/>
            <w:vAlign w:val="center"/>
          </w:tcPr>
          <w:p w14:paraId="1341120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50" w:type="dxa"/>
            <w:vAlign w:val="center"/>
          </w:tcPr>
          <w:p w14:paraId="1CE8AE6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466500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E09C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964" w:type="dxa"/>
            <w:vAlign w:val="center"/>
          </w:tcPr>
          <w:p w14:paraId="2228440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612" w:type="dxa"/>
            <w:gridSpan w:val="4"/>
            <w:vAlign w:val="center"/>
          </w:tcPr>
          <w:p w14:paraId="72174209">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合同成立后30日内发放蛋糕券</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CCE744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964" w:type="dxa"/>
            <w:vAlign w:val="center"/>
          </w:tcPr>
          <w:p w14:paraId="794A294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合同期</w:t>
            </w:r>
          </w:p>
        </w:tc>
        <w:tc>
          <w:tcPr>
            <w:tcW w:w="5612" w:type="dxa"/>
            <w:gridSpan w:val="4"/>
            <w:vAlign w:val="center"/>
          </w:tcPr>
          <w:p w14:paraId="56B9AF7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1091" w:type="dxa"/>
            <w:vAlign w:val="center"/>
          </w:tcPr>
          <w:p w14:paraId="536EF94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964" w:type="dxa"/>
            <w:vAlign w:val="center"/>
          </w:tcPr>
          <w:p w14:paraId="01AB15D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12" w:type="dxa"/>
            <w:gridSpan w:val="4"/>
            <w:vAlign w:val="center"/>
          </w:tcPr>
          <w:p w14:paraId="06580548">
            <w:pPr>
              <w:widowControl/>
              <w:ind w:firstLine="1400" w:firstLineChars="500"/>
              <w:jc w:val="both"/>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每半年凭券据实结算</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5F04D5C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964" w:type="dxa"/>
            <w:vAlign w:val="center"/>
          </w:tcPr>
          <w:p w14:paraId="2FD57B8A">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入围数量</w:t>
            </w:r>
          </w:p>
        </w:tc>
        <w:tc>
          <w:tcPr>
            <w:tcW w:w="5612" w:type="dxa"/>
            <w:gridSpan w:val="4"/>
            <w:vAlign w:val="center"/>
          </w:tcPr>
          <w:p w14:paraId="4B29C0FC">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根据报名供应商的评分结果，选前8名入围。如报名厂家较多，适当增加入围数量。</w:t>
            </w:r>
          </w:p>
        </w:tc>
      </w:tr>
      <w:tr w14:paraId="2647C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75360298">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w:t>
            </w:r>
          </w:p>
        </w:tc>
        <w:tc>
          <w:tcPr>
            <w:tcW w:w="2964" w:type="dxa"/>
            <w:vAlign w:val="center"/>
          </w:tcPr>
          <w:p w14:paraId="6655B57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资质要求</w:t>
            </w:r>
          </w:p>
        </w:tc>
        <w:tc>
          <w:tcPr>
            <w:tcW w:w="5612" w:type="dxa"/>
            <w:gridSpan w:val="4"/>
            <w:vAlign w:val="center"/>
          </w:tcPr>
          <w:p w14:paraId="233920DC">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具备有效的食品经营许可证</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1A04ACB7">
      <w:pPr>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t>（一）项目基本情况介绍：</w:t>
      </w:r>
      <w:r>
        <w:rPr>
          <w:rFonts w:hint="eastAsia" w:ascii="仿宋" w:hAnsi="仿宋" w:eastAsia="仿宋" w:cs="仿宋"/>
          <w:sz w:val="32"/>
          <w:szCs w:val="32"/>
          <w:u w:val="single"/>
        </w:rPr>
        <w:t xml:space="preserve"> 依据《内蒙古自治区基层工会经费收支管理实施办法常用标准》 工会会员生日慰问，可以发放不超过300元旦生日蛋糕等实物慰问品，也可以发放制定蛋糕店的蛋糕券。                                                 </w:t>
      </w:r>
    </w:p>
    <w:p w14:paraId="75CA7EFA">
      <w:pPr>
        <w:spacing w:line="360" w:lineRule="auto"/>
        <w:jc w:val="left"/>
        <w:rPr>
          <w:rFonts w:hint="eastAsia" w:ascii="仿宋" w:hAnsi="仿宋" w:eastAsia="仿宋" w:cs="仿宋"/>
          <w:sz w:val="32"/>
          <w:szCs w:val="32"/>
          <w:u w:val="single"/>
        </w:rPr>
      </w:pPr>
      <w:r>
        <w:rPr>
          <w:rFonts w:hint="eastAsia" w:ascii="宋体" w:hAnsi="宋体" w:eastAsia="宋体" w:cs="宋体"/>
          <w:sz w:val="32"/>
          <w:szCs w:val="32"/>
        </w:rPr>
        <w:t>（</w:t>
      </w:r>
      <w:r>
        <w:rPr>
          <w:rFonts w:hint="eastAsia" w:ascii="仿宋" w:hAnsi="仿宋" w:eastAsia="仿宋" w:cs="仿宋"/>
          <w:sz w:val="32"/>
          <w:szCs w:val="32"/>
        </w:rPr>
        <w:t>二）技术参数和要求（功能和质量）</w:t>
      </w:r>
    </w:p>
    <w:tbl>
      <w:tblPr>
        <w:tblStyle w:val="11"/>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仿宋" w:hAnsi="仿宋" w:eastAsia="仿宋" w:cs="仿宋"/>
                <w:sz w:val="32"/>
                <w:szCs w:val="32"/>
              </w:rPr>
            </w:pPr>
            <w:r>
              <w:rPr>
                <w:rFonts w:hint="eastAsia" w:ascii="仿宋" w:hAnsi="仿宋" w:eastAsia="仿宋" w:cs="仿宋"/>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仿宋" w:hAnsi="仿宋" w:eastAsia="仿宋" w:cs="仿宋"/>
                <w:sz w:val="32"/>
                <w:szCs w:val="32"/>
              </w:rPr>
            </w:pPr>
            <w:r>
              <w:rPr>
                <w:rFonts w:hint="eastAsia" w:ascii="仿宋" w:hAnsi="仿宋" w:eastAsia="仿宋" w:cs="仿宋"/>
                <w:sz w:val="32"/>
                <w:szCs w:val="32"/>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仿宋" w:hAnsi="仿宋" w:eastAsia="仿宋" w:cs="仿宋"/>
                <w:sz w:val="32"/>
                <w:szCs w:val="32"/>
              </w:rPr>
            </w:pPr>
            <w:r>
              <w:rPr>
                <w:rFonts w:hint="eastAsia" w:ascii="仿宋" w:hAnsi="仿宋" w:eastAsia="仿宋" w:cs="仿宋"/>
                <w:sz w:val="32"/>
                <w:szCs w:val="32"/>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仿宋" w:hAnsi="仿宋" w:eastAsia="仿宋" w:cs="仿宋"/>
                <w:sz w:val="32"/>
                <w:szCs w:val="32"/>
              </w:rPr>
            </w:pPr>
            <w:r>
              <w:rPr>
                <w:rFonts w:hint="eastAsia" w:ascii="仿宋" w:hAnsi="仿宋" w:eastAsia="仿宋" w:cs="仿宋"/>
                <w:sz w:val="32"/>
                <w:szCs w:val="32"/>
              </w:rPr>
              <w:t>1</w:t>
            </w:r>
          </w:p>
        </w:tc>
        <w:tc>
          <w:tcPr>
            <w:tcW w:w="7121" w:type="dxa"/>
            <w:tcBorders>
              <w:top w:val="single" w:color="auto" w:sz="4" w:space="0"/>
              <w:left w:val="nil"/>
              <w:bottom w:val="single" w:color="auto" w:sz="4" w:space="0"/>
              <w:right w:val="single" w:color="auto" w:sz="4" w:space="0"/>
            </w:tcBorders>
            <w:vAlign w:val="center"/>
          </w:tcPr>
          <w:p w14:paraId="1C4C5507">
            <w:pPr>
              <w:widowControl/>
              <w:jc w:val="center"/>
              <w:rPr>
                <w:rFonts w:hint="eastAsia" w:ascii="仿宋" w:hAnsi="仿宋" w:eastAsia="仿宋" w:cs="仿宋"/>
                <w:sz w:val="30"/>
                <w:szCs w:val="30"/>
              </w:rPr>
            </w:pPr>
            <w:r>
              <w:rPr>
                <w:rFonts w:hint="eastAsia" w:ascii="仿宋" w:hAnsi="仿宋" w:eastAsia="仿宋" w:cs="仿宋"/>
                <w:sz w:val="32"/>
                <w:szCs w:val="32"/>
              </w:rPr>
              <w:t>蛋糕材料:</w:t>
            </w:r>
            <w:r>
              <w:rPr>
                <w:rFonts w:hint="eastAsia" w:ascii="仿宋" w:hAnsi="仿宋" w:eastAsia="仿宋" w:cs="仿宋"/>
                <w:sz w:val="30"/>
                <w:szCs w:val="30"/>
              </w:rPr>
              <w:t>应选取优质面粉、细砂糖、液态酥油、新鲜鸡蛋等原材料，奶油以品牌进口动物奶油为最佳</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widowControl/>
              <w:rPr>
                <w:rFonts w:hint="eastAsia" w:ascii="仿宋" w:hAnsi="仿宋" w:eastAsia="仿宋" w:cs="仿宋"/>
                <w:szCs w:val="21"/>
              </w:rPr>
            </w:pPr>
          </w:p>
        </w:tc>
        <w:tc>
          <w:tcPr>
            <w:tcW w:w="1134" w:type="dxa"/>
            <w:tcBorders>
              <w:top w:val="single" w:color="auto" w:sz="4" w:space="0"/>
              <w:left w:val="nil"/>
              <w:bottom w:val="single" w:color="auto" w:sz="4" w:space="0"/>
              <w:right w:val="single" w:color="auto" w:sz="4" w:space="0"/>
            </w:tcBorders>
            <w:vAlign w:val="center"/>
          </w:tcPr>
          <w:p w14:paraId="22BECC8A">
            <w:pPr>
              <w:jc w:val="center"/>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7121" w:type="dxa"/>
            <w:tcBorders>
              <w:top w:val="single" w:color="auto" w:sz="4" w:space="0"/>
              <w:left w:val="nil"/>
              <w:bottom w:val="single" w:color="auto" w:sz="4" w:space="0"/>
              <w:right w:val="single" w:color="auto" w:sz="4" w:space="0"/>
            </w:tcBorders>
            <w:vAlign w:val="center"/>
          </w:tcPr>
          <w:p w14:paraId="0CB9809C">
            <w:pPr>
              <w:jc w:val="left"/>
              <w:rPr>
                <w:rFonts w:hint="eastAsia" w:ascii="仿宋" w:hAnsi="仿宋" w:eastAsia="仿宋" w:cs="仿宋"/>
                <w:kern w:val="0"/>
                <w:sz w:val="32"/>
                <w:szCs w:val="32"/>
              </w:rPr>
            </w:pPr>
            <w:r>
              <w:rPr>
                <w:rFonts w:hint="eastAsia" w:ascii="仿宋" w:hAnsi="仿宋" w:eastAsia="仿宋" w:cs="仿宋"/>
                <w:kern w:val="0"/>
                <w:sz w:val="32"/>
                <w:szCs w:val="32"/>
              </w:rPr>
              <w:t>成品蛋糕（以6寸为例）:胚体烘烤控制温度180—200度之间、时间约30分钟，外形齐整，色泽均匀，剖面蜂窝状小气孔分布较规则；成品直径约15厘米，可供2—4人分享，重约1磅，整体颜色、图案、装饰搭配合理，视觉效果美观；包装和标志符合相关食品安全标准，存储合理。</w:t>
            </w:r>
          </w:p>
        </w:tc>
      </w:tr>
      <w:tr w14:paraId="013FD3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hint="eastAsia" w:ascii="仿宋" w:hAnsi="仿宋" w:eastAsia="仿宋" w:cs="仿宋"/>
                <w:szCs w:val="21"/>
              </w:rPr>
            </w:pPr>
            <w:r>
              <w:rPr>
                <w:rFonts w:hint="eastAsia" w:ascii="宋体" w:hAnsi="宋体" w:eastAsia="宋体" w:cs="宋体"/>
                <w:kern w:val="0"/>
                <w:sz w:val="21"/>
                <w:szCs w:val="21"/>
              </w:rPr>
              <w:t>★</w:t>
            </w:r>
          </w:p>
        </w:tc>
        <w:tc>
          <w:tcPr>
            <w:tcW w:w="1134" w:type="dxa"/>
            <w:tcBorders>
              <w:top w:val="single" w:color="auto" w:sz="4" w:space="0"/>
              <w:left w:val="nil"/>
              <w:bottom w:val="single" w:color="auto" w:sz="4" w:space="0"/>
              <w:right w:val="single" w:color="auto" w:sz="4" w:space="0"/>
            </w:tcBorders>
            <w:vAlign w:val="center"/>
          </w:tcPr>
          <w:p w14:paraId="402381C2">
            <w:pPr>
              <w:jc w:val="center"/>
              <w:rPr>
                <w:rFonts w:hint="eastAsia" w:ascii="仿宋" w:hAnsi="仿宋" w:eastAsia="仿宋" w:cs="仿宋"/>
                <w:kern w:val="0"/>
                <w:sz w:val="32"/>
                <w:szCs w:val="32"/>
              </w:rPr>
            </w:pPr>
            <w:r>
              <w:rPr>
                <w:rFonts w:hint="eastAsia" w:ascii="仿宋" w:hAnsi="仿宋" w:eastAsia="仿宋" w:cs="仿宋"/>
                <w:kern w:val="0"/>
                <w:sz w:val="32"/>
                <w:szCs w:val="32"/>
              </w:rPr>
              <w:t>3</w:t>
            </w:r>
          </w:p>
        </w:tc>
        <w:tc>
          <w:tcPr>
            <w:tcW w:w="7121" w:type="dxa"/>
            <w:tcBorders>
              <w:top w:val="single" w:color="auto" w:sz="4" w:space="0"/>
              <w:left w:val="nil"/>
              <w:bottom w:val="single" w:color="auto" w:sz="4" w:space="0"/>
              <w:right w:val="single" w:color="auto" w:sz="4" w:space="0"/>
            </w:tcBorders>
            <w:vAlign w:val="center"/>
          </w:tcPr>
          <w:p w14:paraId="2D35BA7B">
            <w:pPr>
              <w:jc w:val="left"/>
              <w:rPr>
                <w:rFonts w:hint="eastAsia" w:ascii="仿宋" w:hAnsi="仿宋" w:eastAsia="仿宋" w:cs="仿宋"/>
                <w:kern w:val="0"/>
                <w:sz w:val="32"/>
                <w:szCs w:val="32"/>
              </w:rPr>
            </w:pPr>
            <w:r>
              <w:rPr>
                <w:rFonts w:hint="eastAsia" w:ascii="仿宋" w:hAnsi="仿宋" w:eastAsia="仿宋" w:cs="仿宋"/>
                <w:kern w:val="0"/>
                <w:sz w:val="32"/>
                <w:szCs w:val="32"/>
              </w:rPr>
              <w:t>蛋糕价格（以150元为标准）:凭有效凭证可领取6寸动物奶油蛋糕1个或储值卡购买其他任何商品。</w:t>
            </w:r>
          </w:p>
        </w:tc>
      </w:tr>
      <w:tr w14:paraId="56C94F7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3558D64">
            <w:pPr>
              <w:widowControl/>
              <w:jc w:val="center"/>
              <w:rPr>
                <w:rFonts w:hint="eastAsia" w:ascii="仿宋" w:hAnsi="仿宋" w:eastAsia="仿宋" w:cs="仿宋"/>
                <w:szCs w:val="21"/>
              </w:rPr>
            </w:pPr>
            <w:r>
              <w:rPr>
                <w:rFonts w:hint="eastAsia" w:ascii="宋体" w:hAnsi="宋体" w:eastAsia="宋体" w:cs="宋体"/>
                <w:kern w:val="0"/>
                <w:sz w:val="21"/>
                <w:szCs w:val="21"/>
              </w:rPr>
              <w:t>★</w:t>
            </w:r>
          </w:p>
        </w:tc>
        <w:tc>
          <w:tcPr>
            <w:tcW w:w="1134" w:type="dxa"/>
            <w:tcBorders>
              <w:top w:val="single" w:color="auto" w:sz="4" w:space="0"/>
              <w:left w:val="nil"/>
              <w:bottom w:val="single" w:color="auto" w:sz="4" w:space="0"/>
              <w:right w:val="single" w:color="auto" w:sz="4" w:space="0"/>
            </w:tcBorders>
            <w:vAlign w:val="center"/>
          </w:tcPr>
          <w:p w14:paraId="741E0EA4">
            <w:pPr>
              <w:jc w:val="center"/>
              <w:rPr>
                <w:rFonts w:hint="eastAsia" w:ascii="仿宋" w:hAnsi="仿宋" w:eastAsia="仿宋" w:cs="仿宋"/>
                <w:kern w:val="0"/>
                <w:sz w:val="32"/>
                <w:szCs w:val="32"/>
              </w:rPr>
            </w:pPr>
            <w:r>
              <w:rPr>
                <w:rFonts w:hint="eastAsia" w:ascii="仿宋" w:hAnsi="仿宋" w:eastAsia="仿宋" w:cs="仿宋"/>
                <w:kern w:val="0"/>
                <w:sz w:val="32"/>
                <w:szCs w:val="32"/>
              </w:rPr>
              <w:t>4</w:t>
            </w:r>
          </w:p>
        </w:tc>
        <w:tc>
          <w:tcPr>
            <w:tcW w:w="7121" w:type="dxa"/>
            <w:tcBorders>
              <w:top w:val="single" w:color="auto" w:sz="4" w:space="0"/>
              <w:left w:val="nil"/>
              <w:bottom w:val="single" w:color="auto" w:sz="4" w:space="0"/>
              <w:right w:val="single" w:color="auto" w:sz="4" w:space="0"/>
            </w:tcBorders>
            <w:vAlign w:val="center"/>
          </w:tcPr>
          <w:p w14:paraId="40249733">
            <w:pPr>
              <w:jc w:val="left"/>
              <w:rPr>
                <w:rFonts w:hint="eastAsia" w:ascii="仿宋" w:hAnsi="仿宋" w:eastAsia="仿宋" w:cs="仿宋"/>
                <w:kern w:val="0"/>
                <w:sz w:val="32"/>
                <w:szCs w:val="32"/>
              </w:rPr>
            </w:pPr>
            <w:r>
              <w:rPr>
                <w:rFonts w:hint="eastAsia" w:ascii="仿宋" w:hAnsi="仿宋" w:eastAsia="仿宋" w:cs="仿宋"/>
                <w:kern w:val="0"/>
                <w:sz w:val="32"/>
                <w:szCs w:val="32"/>
              </w:rPr>
              <w:t>提供投标人企业经营理念、管理组织结构，管理团队中技术力量配备，食品安全管理措施、卫生管理问题，服务与安全承诺等具体方案。</w:t>
            </w:r>
          </w:p>
        </w:tc>
      </w:tr>
      <w:tr w14:paraId="2063479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3F35A45">
            <w:pPr>
              <w:widowControl/>
              <w:jc w:val="center"/>
              <w:rPr>
                <w:rFonts w:hint="eastAsia" w:ascii="仿宋" w:hAnsi="仿宋" w:eastAsia="仿宋" w:cs="仿宋"/>
                <w:szCs w:val="21"/>
              </w:rPr>
            </w:pPr>
            <w:r>
              <w:rPr>
                <w:rFonts w:hint="eastAsia" w:ascii="宋体" w:hAnsi="宋体" w:eastAsia="宋体" w:cs="宋体"/>
                <w:kern w:val="0"/>
                <w:sz w:val="21"/>
                <w:szCs w:val="21"/>
              </w:rPr>
              <w:t>★</w:t>
            </w:r>
          </w:p>
        </w:tc>
        <w:tc>
          <w:tcPr>
            <w:tcW w:w="1134" w:type="dxa"/>
            <w:tcBorders>
              <w:top w:val="single" w:color="auto" w:sz="4" w:space="0"/>
              <w:left w:val="nil"/>
              <w:bottom w:val="single" w:color="auto" w:sz="4" w:space="0"/>
              <w:right w:val="single" w:color="auto" w:sz="4" w:space="0"/>
            </w:tcBorders>
            <w:vAlign w:val="center"/>
          </w:tcPr>
          <w:p w14:paraId="49DACB3A">
            <w:pPr>
              <w:jc w:val="center"/>
              <w:rPr>
                <w:rFonts w:hint="eastAsia" w:ascii="仿宋" w:hAnsi="仿宋" w:eastAsia="仿宋" w:cs="仿宋"/>
                <w:kern w:val="0"/>
                <w:sz w:val="32"/>
                <w:szCs w:val="32"/>
              </w:rPr>
            </w:pPr>
            <w:r>
              <w:rPr>
                <w:rFonts w:hint="eastAsia" w:ascii="仿宋" w:hAnsi="仿宋" w:eastAsia="仿宋" w:cs="仿宋"/>
                <w:kern w:val="0"/>
                <w:sz w:val="32"/>
                <w:szCs w:val="32"/>
              </w:rPr>
              <w:t>5</w:t>
            </w:r>
          </w:p>
        </w:tc>
        <w:tc>
          <w:tcPr>
            <w:tcW w:w="7121" w:type="dxa"/>
            <w:tcBorders>
              <w:top w:val="single" w:color="auto" w:sz="4" w:space="0"/>
              <w:left w:val="nil"/>
              <w:bottom w:val="single" w:color="auto" w:sz="4" w:space="0"/>
              <w:right w:val="single" w:color="auto" w:sz="4" w:space="0"/>
            </w:tcBorders>
            <w:vAlign w:val="center"/>
          </w:tcPr>
          <w:p w14:paraId="69B358D1">
            <w:pPr>
              <w:jc w:val="left"/>
              <w:rPr>
                <w:rFonts w:hint="eastAsia" w:ascii="仿宋" w:hAnsi="仿宋" w:eastAsia="仿宋" w:cs="仿宋"/>
                <w:kern w:val="0"/>
                <w:sz w:val="32"/>
                <w:szCs w:val="32"/>
              </w:rPr>
            </w:pPr>
            <w:r>
              <w:rPr>
                <w:rFonts w:ascii="仿宋" w:hAnsi="仿宋" w:eastAsia="仿宋" w:cs="仿宋"/>
                <w:kern w:val="0"/>
                <w:sz w:val="32"/>
                <w:szCs w:val="32"/>
              </w:rPr>
              <w:t>投标人提供20</w:t>
            </w:r>
            <w:r>
              <w:rPr>
                <w:rFonts w:hint="eastAsia" w:ascii="仿宋" w:hAnsi="仿宋" w:eastAsia="仿宋" w:cs="仿宋"/>
                <w:kern w:val="0"/>
                <w:sz w:val="32"/>
                <w:szCs w:val="32"/>
              </w:rPr>
              <w:t>2</w:t>
            </w:r>
            <w:r>
              <w:rPr>
                <w:rFonts w:hint="eastAsia" w:ascii="仿宋" w:hAnsi="仿宋" w:eastAsia="仿宋" w:cs="仿宋"/>
                <w:kern w:val="0"/>
                <w:sz w:val="32"/>
                <w:szCs w:val="32"/>
                <w:lang w:val="en-US" w:eastAsia="zh-CN"/>
              </w:rPr>
              <w:t>5</w:t>
            </w:r>
            <w:r>
              <w:rPr>
                <w:rFonts w:ascii="仿宋" w:hAnsi="仿宋" w:eastAsia="仿宋" w:cs="仿宋"/>
                <w:kern w:val="0"/>
                <w:sz w:val="32"/>
                <w:szCs w:val="32"/>
              </w:rPr>
              <w:t>年</w:t>
            </w:r>
            <w:r>
              <w:rPr>
                <w:rFonts w:hint="eastAsia" w:ascii="仿宋" w:hAnsi="仿宋" w:eastAsia="仿宋" w:cs="仿宋"/>
                <w:kern w:val="0"/>
                <w:sz w:val="32"/>
                <w:szCs w:val="32"/>
              </w:rPr>
              <w:t>1月</w:t>
            </w:r>
            <w:r>
              <w:rPr>
                <w:rFonts w:ascii="仿宋" w:hAnsi="仿宋" w:eastAsia="仿宋" w:cs="仿宋"/>
                <w:kern w:val="0"/>
                <w:sz w:val="32"/>
                <w:szCs w:val="32"/>
              </w:rPr>
              <w:t>至今</w:t>
            </w:r>
            <w:r>
              <w:rPr>
                <w:rFonts w:hint="eastAsia" w:ascii="仿宋" w:hAnsi="仿宋" w:eastAsia="仿宋" w:cs="仿宋"/>
                <w:kern w:val="0"/>
                <w:sz w:val="32"/>
                <w:szCs w:val="32"/>
              </w:rPr>
              <w:t>类似项目业绩（职工生日蛋糕）</w:t>
            </w:r>
            <w:r>
              <w:rPr>
                <w:rFonts w:ascii="仿宋" w:hAnsi="仿宋" w:eastAsia="仿宋" w:cs="仿宋"/>
                <w:kern w:val="0"/>
                <w:sz w:val="32"/>
                <w:szCs w:val="32"/>
              </w:rPr>
              <w:t>，</w:t>
            </w:r>
            <w:r>
              <w:rPr>
                <w:rFonts w:hint="eastAsia" w:ascii="仿宋" w:hAnsi="仿宋" w:eastAsia="仿宋" w:cs="仿宋"/>
                <w:kern w:val="0"/>
                <w:sz w:val="32"/>
                <w:szCs w:val="32"/>
              </w:rPr>
              <w:t>要求时间以合同签订时间为准，</w:t>
            </w:r>
            <w:r>
              <w:rPr>
                <w:rFonts w:ascii="仿宋" w:hAnsi="仿宋" w:eastAsia="仿宋" w:cs="仿宋"/>
                <w:kern w:val="0"/>
                <w:sz w:val="32"/>
                <w:szCs w:val="32"/>
              </w:rPr>
              <w:t>投标文件中附有其业绩证明材料，业绩以投标人的销售或服务合同为依据</w:t>
            </w:r>
            <w:r>
              <w:rPr>
                <w:rFonts w:hint="eastAsia" w:ascii="仿宋" w:hAnsi="仿宋" w:eastAsia="仿宋" w:cs="仿宋"/>
                <w:kern w:val="0"/>
                <w:sz w:val="32"/>
                <w:szCs w:val="32"/>
              </w:rPr>
              <w:t>。</w:t>
            </w:r>
          </w:p>
        </w:tc>
      </w:tr>
      <w:tr w14:paraId="076079B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F7A8019">
            <w:pPr>
              <w:widowControl/>
              <w:jc w:val="center"/>
              <w:rPr>
                <w:rFonts w:hint="eastAsia" w:ascii="仿宋" w:hAnsi="仿宋" w:eastAsia="仿宋" w:cs="仿宋"/>
                <w:szCs w:val="21"/>
              </w:rPr>
            </w:pPr>
            <w:r>
              <w:rPr>
                <w:rFonts w:hint="eastAsia" w:ascii="宋体" w:hAnsi="宋体" w:eastAsia="宋体" w:cs="宋体"/>
                <w:kern w:val="0"/>
                <w:sz w:val="21"/>
                <w:szCs w:val="21"/>
              </w:rPr>
              <w:t>★</w:t>
            </w:r>
          </w:p>
        </w:tc>
        <w:tc>
          <w:tcPr>
            <w:tcW w:w="1134" w:type="dxa"/>
            <w:tcBorders>
              <w:top w:val="single" w:color="auto" w:sz="4" w:space="0"/>
              <w:left w:val="nil"/>
              <w:bottom w:val="single" w:color="auto" w:sz="4" w:space="0"/>
              <w:right w:val="single" w:color="auto" w:sz="4" w:space="0"/>
            </w:tcBorders>
            <w:vAlign w:val="center"/>
          </w:tcPr>
          <w:p w14:paraId="6990EEBC">
            <w:pPr>
              <w:jc w:val="center"/>
              <w:rPr>
                <w:rFonts w:hint="eastAsia" w:ascii="仿宋" w:hAnsi="仿宋" w:eastAsia="仿宋" w:cs="仿宋"/>
                <w:kern w:val="0"/>
                <w:sz w:val="32"/>
                <w:szCs w:val="32"/>
              </w:rPr>
            </w:pPr>
            <w:r>
              <w:rPr>
                <w:rFonts w:hint="eastAsia" w:ascii="仿宋" w:hAnsi="仿宋" w:eastAsia="仿宋" w:cs="仿宋"/>
                <w:kern w:val="0"/>
                <w:sz w:val="32"/>
                <w:szCs w:val="32"/>
              </w:rPr>
              <w:t>6</w:t>
            </w:r>
          </w:p>
        </w:tc>
        <w:tc>
          <w:tcPr>
            <w:tcW w:w="7121" w:type="dxa"/>
            <w:tcBorders>
              <w:top w:val="single" w:color="auto" w:sz="4" w:space="0"/>
              <w:left w:val="nil"/>
              <w:bottom w:val="single" w:color="auto" w:sz="4" w:space="0"/>
              <w:right w:val="single" w:color="auto" w:sz="4" w:space="0"/>
            </w:tcBorders>
            <w:vAlign w:val="center"/>
          </w:tcPr>
          <w:p w14:paraId="78239037">
            <w:pPr>
              <w:jc w:val="left"/>
              <w:rPr>
                <w:rFonts w:hint="eastAsia" w:ascii="仿宋" w:hAnsi="仿宋" w:eastAsia="仿宋" w:cs="仿宋"/>
                <w:kern w:val="0"/>
                <w:sz w:val="32"/>
                <w:szCs w:val="32"/>
              </w:rPr>
            </w:pPr>
            <w:r>
              <w:rPr>
                <w:rFonts w:hint="eastAsia" w:ascii="仿宋" w:hAnsi="仿宋" w:eastAsia="仿宋" w:cs="仿宋"/>
                <w:kern w:val="0"/>
                <w:sz w:val="32"/>
                <w:szCs w:val="32"/>
              </w:rPr>
              <w:t>提供售后服务方案，包括但不限于以下条款：配送服务、退换货服务、满意度调查等内容.</w:t>
            </w:r>
          </w:p>
        </w:tc>
      </w:tr>
      <w:tr w14:paraId="41DBAA0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4075D26">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698D497B">
            <w:pPr>
              <w:jc w:val="center"/>
              <w:rPr>
                <w:rFonts w:hint="eastAsia" w:ascii="仿宋" w:hAnsi="仿宋" w:eastAsia="仿宋" w:cs="仿宋"/>
                <w:kern w:val="0"/>
                <w:sz w:val="32"/>
                <w:szCs w:val="32"/>
              </w:rPr>
            </w:pPr>
            <w:r>
              <w:rPr>
                <w:rFonts w:hint="eastAsia" w:ascii="仿宋" w:hAnsi="仿宋" w:eastAsia="仿宋" w:cs="仿宋"/>
                <w:kern w:val="0"/>
                <w:sz w:val="32"/>
                <w:szCs w:val="32"/>
              </w:rPr>
              <w:t>7</w:t>
            </w:r>
          </w:p>
        </w:tc>
        <w:tc>
          <w:tcPr>
            <w:tcW w:w="7121" w:type="dxa"/>
            <w:tcBorders>
              <w:top w:val="single" w:color="auto" w:sz="4" w:space="0"/>
              <w:left w:val="nil"/>
              <w:bottom w:val="single" w:color="auto" w:sz="4" w:space="0"/>
              <w:right w:val="single" w:color="auto" w:sz="4" w:space="0"/>
            </w:tcBorders>
            <w:vAlign w:val="center"/>
          </w:tcPr>
          <w:p w14:paraId="6C48D9E2">
            <w:pPr>
              <w:jc w:val="left"/>
              <w:rPr>
                <w:rFonts w:hint="eastAsia" w:ascii="仿宋" w:hAnsi="仿宋" w:eastAsia="仿宋" w:cs="仿宋"/>
                <w:kern w:val="0"/>
                <w:sz w:val="32"/>
                <w:szCs w:val="32"/>
              </w:rPr>
            </w:pPr>
            <w:r>
              <w:rPr>
                <w:rFonts w:hint="eastAsia" w:ascii="仿宋" w:hAnsi="仿宋" w:eastAsia="仿宋" w:cs="仿宋"/>
                <w:kern w:val="0"/>
                <w:sz w:val="32"/>
                <w:szCs w:val="32"/>
              </w:rPr>
              <w:t>提供4寸蛋糕样品一份。（无需提供其他样品）</w:t>
            </w:r>
          </w:p>
        </w:tc>
      </w:tr>
      <w:tr w14:paraId="703B480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37446C6">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2D4C3FBE">
            <w:pPr>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8</w:t>
            </w:r>
          </w:p>
        </w:tc>
        <w:tc>
          <w:tcPr>
            <w:tcW w:w="7121" w:type="dxa"/>
            <w:tcBorders>
              <w:top w:val="single" w:color="auto" w:sz="4" w:space="0"/>
              <w:left w:val="nil"/>
              <w:bottom w:val="single" w:color="auto" w:sz="4" w:space="0"/>
              <w:right w:val="single" w:color="auto" w:sz="4" w:space="0"/>
            </w:tcBorders>
            <w:vAlign w:val="center"/>
          </w:tcPr>
          <w:p w14:paraId="219CDF32">
            <w:pPr>
              <w:jc w:val="left"/>
              <w:rPr>
                <w:rFonts w:hint="eastAsia" w:ascii="仿宋" w:hAnsi="仿宋" w:eastAsia="仿宋" w:cs="仿宋"/>
                <w:kern w:val="0"/>
                <w:sz w:val="32"/>
                <w:szCs w:val="32"/>
              </w:rPr>
            </w:pPr>
            <w:r>
              <w:rPr>
                <w:rFonts w:hint="eastAsia" w:ascii="仿宋" w:hAnsi="仿宋" w:eastAsia="仿宋" w:cs="仿宋"/>
                <w:sz w:val="32"/>
                <w:szCs w:val="32"/>
              </w:rPr>
              <w:t>在东胜、康巴什至少各有一家或多家经营门店</w:t>
            </w:r>
          </w:p>
        </w:tc>
      </w:tr>
      <w:tr w14:paraId="11ED86C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2FE56A5">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5F29D469">
            <w:pPr>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9</w:t>
            </w:r>
          </w:p>
        </w:tc>
        <w:tc>
          <w:tcPr>
            <w:tcW w:w="7121" w:type="dxa"/>
            <w:tcBorders>
              <w:top w:val="single" w:color="auto" w:sz="4" w:space="0"/>
              <w:left w:val="nil"/>
              <w:bottom w:val="single" w:color="auto" w:sz="4" w:space="0"/>
              <w:right w:val="single" w:color="auto" w:sz="4" w:space="0"/>
            </w:tcBorders>
            <w:vAlign w:val="center"/>
          </w:tcPr>
          <w:p w14:paraId="23074C74">
            <w:pPr>
              <w:ind w:left="3840" w:hanging="3840" w:hangingChars="1200"/>
              <w:rPr>
                <w:rFonts w:hint="eastAsia" w:ascii="仿宋" w:hAnsi="仿宋" w:eastAsia="仿宋" w:cs="仿宋"/>
                <w:sz w:val="32"/>
                <w:szCs w:val="32"/>
              </w:rPr>
            </w:pPr>
            <w:r>
              <w:rPr>
                <w:rFonts w:hint="eastAsia" w:ascii="仿宋" w:hAnsi="仿宋" w:eastAsia="仿宋" w:cs="仿宋"/>
                <w:sz w:val="32"/>
                <w:szCs w:val="32"/>
              </w:rPr>
              <w:t>原材料均为正规经销商购入品牌产品，奶油为大牌</w:t>
            </w:r>
          </w:p>
          <w:p w14:paraId="7BD67F11">
            <w:pPr>
              <w:ind w:left="3840" w:hanging="3840" w:hangingChars="1200"/>
              <w:rPr>
                <w:rFonts w:hint="eastAsia" w:ascii="仿宋" w:hAnsi="仿宋" w:eastAsia="仿宋" w:cs="仿宋"/>
                <w:kern w:val="0"/>
                <w:sz w:val="32"/>
                <w:szCs w:val="32"/>
              </w:rPr>
            </w:pPr>
            <w:r>
              <w:rPr>
                <w:rFonts w:hint="eastAsia" w:ascii="仿宋" w:hAnsi="仿宋" w:eastAsia="仿宋" w:cs="仿宋"/>
                <w:sz w:val="32"/>
                <w:szCs w:val="32"/>
              </w:rPr>
              <w:t>进口动物奶油</w:t>
            </w:r>
          </w:p>
        </w:tc>
      </w:tr>
      <w:tr w14:paraId="6001C8F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4CAA181">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6E35B7F8">
            <w:pPr>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10</w:t>
            </w:r>
          </w:p>
        </w:tc>
        <w:tc>
          <w:tcPr>
            <w:tcW w:w="7121" w:type="dxa"/>
            <w:tcBorders>
              <w:top w:val="single" w:color="auto" w:sz="4" w:space="0"/>
              <w:left w:val="nil"/>
              <w:bottom w:val="single" w:color="auto" w:sz="4" w:space="0"/>
              <w:right w:val="single" w:color="auto" w:sz="4" w:space="0"/>
            </w:tcBorders>
            <w:vAlign w:val="center"/>
          </w:tcPr>
          <w:p w14:paraId="67A3CECA">
            <w:pPr>
              <w:jc w:val="left"/>
              <w:rPr>
                <w:rFonts w:hint="eastAsia" w:ascii="仿宋" w:hAnsi="仿宋" w:eastAsia="仿宋" w:cs="仿宋"/>
                <w:kern w:val="0"/>
                <w:sz w:val="32"/>
                <w:szCs w:val="32"/>
              </w:rPr>
            </w:pPr>
            <w:r>
              <w:rPr>
                <w:rFonts w:hint="eastAsia" w:ascii="仿宋" w:hAnsi="仿宋" w:eastAsia="仿宋" w:cs="仿宋"/>
                <w:sz w:val="32"/>
                <w:szCs w:val="32"/>
              </w:rPr>
              <w:t>严禁使用转基因植物油、调和油、人工奶油。</w:t>
            </w:r>
          </w:p>
        </w:tc>
      </w:tr>
      <w:tr w14:paraId="3AF083D8">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1D895869">
            <w:pPr>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注：所有技术参数中标“</w:t>
            </w:r>
            <w:r>
              <w:rPr>
                <w:rFonts w:hint="eastAsia" w:ascii="宋体" w:hAnsi="宋体" w:eastAsia="宋体" w:cs="宋体"/>
                <w:kern w:val="0"/>
                <w:sz w:val="21"/>
                <w:szCs w:val="21"/>
              </w:rPr>
              <w:t>★</w:t>
            </w:r>
            <w:r>
              <w:rPr>
                <w:rFonts w:hint="eastAsia" w:ascii="仿宋" w:hAnsi="仿宋" w:eastAsia="仿宋" w:cs="仿宋"/>
                <w:kern w:val="0"/>
                <w:sz w:val="32"/>
                <w:szCs w:val="32"/>
                <w:lang w:val="en-US" w:eastAsia="zh-CN"/>
              </w:rPr>
              <w:t>”项为主要技术参数，任意1条不满足则导致响应无效。</w:t>
            </w:r>
          </w:p>
        </w:tc>
      </w:tr>
    </w:tbl>
    <w:p w14:paraId="5234A5B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67F6F5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A57EA6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02C2D9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8BED58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FE5298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43D18D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E3446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320CFE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E8EFF2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8E0615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F724FA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B4AE9A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DADC3D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82B5B2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5F0D66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955763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22342F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72B8404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2889C8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表2 综合评分表</w:t>
      </w:r>
    </w:p>
    <w:tbl>
      <w:tblPr>
        <w:tblStyle w:val="11"/>
        <w:tblpPr w:vertAnchor="text" w:tblpXSpec="center" w:tblpY="1"/>
        <w:tblW w:w="8522" w:type="dxa"/>
        <w:tblInd w:w="0" w:type="dxa"/>
        <w:tblLayout w:type="fixed"/>
        <w:tblCellMar>
          <w:top w:w="0" w:type="dxa"/>
          <w:left w:w="0" w:type="dxa"/>
          <w:bottom w:w="0" w:type="dxa"/>
          <w:right w:w="0" w:type="dxa"/>
        </w:tblCellMar>
      </w:tblPr>
      <w:tblGrid>
        <w:gridCol w:w="528"/>
        <w:gridCol w:w="1701"/>
        <w:gridCol w:w="6293"/>
      </w:tblGrid>
      <w:tr w14:paraId="2F4EFEAE">
        <w:tblPrEx>
          <w:tblCellMar>
            <w:top w:w="0" w:type="dxa"/>
            <w:left w:w="0" w:type="dxa"/>
            <w:bottom w:w="0" w:type="dxa"/>
            <w:right w:w="0" w:type="dxa"/>
          </w:tblCellMar>
        </w:tblPrEx>
        <w:trPr>
          <w:trHeight w:val="401" w:hRule="atLeast"/>
        </w:trPr>
        <w:tc>
          <w:tcPr>
            <w:tcW w:w="222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C42576">
            <w:pPr>
              <w:widowControl/>
              <w:jc w:val="left"/>
              <w:rPr>
                <w:rFonts w:ascii="宋体" w:hAnsi="Calibri" w:eastAsia="宋体"/>
              </w:rPr>
            </w:pPr>
            <w:r>
              <w:rPr>
                <w:rFonts w:ascii="宋体" w:hAnsi="宋体" w:eastAsia="宋体"/>
              </w:rPr>
              <w:t>评审因素</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83E87DC">
            <w:pPr>
              <w:widowControl/>
              <w:jc w:val="left"/>
              <w:rPr>
                <w:rFonts w:ascii="宋体" w:hAnsi="Calibri" w:eastAsia="宋体"/>
              </w:rPr>
            </w:pPr>
            <w:r>
              <w:rPr>
                <w:rFonts w:ascii="宋体" w:hAnsi="宋体" w:eastAsia="宋体"/>
              </w:rPr>
              <w:t>评分标准</w:t>
            </w:r>
          </w:p>
        </w:tc>
      </w:tr>
      <w:tr w14:paraId="3BDAE63C">
        <w:tblPrEx>
          <w:tblCellMar>
            <w:top w:w="0" w:type="dxa"/>
            <w:left w:w="0" w:type="dxa"/>
            <w:bottom w:w="0" w:type="dxa"/>
            <w:right w:w="0" w:type="dxa"/>
          </w:tblCellMar>
        </w:tblPrEx>
        <w:trPr>
          <w:trHeight w:val="840" w:hRule="atLeast"/>
        </w:trPr>
        <w:tc>
          <w:tcPr>
            <w:tcW w:w="222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3DBCAC">
            <w:pPr>
              <w:widowControl/>
              <w:jc w:val="left"/>
              <w:rPr>
                <w:rFonts w:ascii="宋体" w:hAnsi="Calibri" w:eastAsia="宋体"/>
              </w:rPr>
            </w:pPr>
            <w:r>
              <w:rPr>
                <w:rFonts w:ascii="宋体" w:hAnsi="宋体" w:eastAsia="宋体"/>
              </w:rPr>
              <w:t>分值构成</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449CC6F">
            <w:pPr>
              <w:widowControl/>
              <w:jc w:val="left"/>
              <w:rPr>
                <w:rFonts w:ascii="宋体" w:hAnsi="Calibri" w:eastAsia="宋体"/>
              </w:rPr>
            </w:pPr>
            <w:r>
              <w:rPr>
                <w:rFonts w:ascii="宋体" w:hAnsi="宋体" w:eastAsia="宋体"/>
              </w:rPr>
              <w:t xml:space="preserve">1、报价得分  </w:t>
            </w:r>
            <w:r>
              <w:rPr>
                <w:rFonts w:hint="eastAsia" w:ascii="宋体" w:hAnsi="宋体" w:eastAsia="宋体"/>
              </w:rPr>
              <w:t>30</w:t>
            </w:r>
            <w:r>
              <w:rPr>
                <w:rFonts w:ascii="宋体" w:hAnsi="宋体" w:eastAsia="宋体"/>
              </w:rPr>
              <w:t>分；</w:t>
            </w:r>
          </w:p>
          <w:p w14:paraId="732AF8BA">
            <w:pPr>
              <w:widowControl/>
              <w:jc w:val="left"/>
              <w:rPr>
                <w:rFonts w:ascii="宋体" w:hAnsi="Calibri" w:eastAsia="宋体"/>
              </w:rPr>
            </w:pPr>
            <w:r>
              <w:rPr>
                <w:rFonts w:ascii="宋体" w:hAnsi="宋体" w:eastAsia="宋体"/>
              </w:rPr>
              <w:t xml:space="preserve">2、商务部分  </w:t>
            </w:r>
            <w:r>
              <w:rPr>
                <w:rFonts w:hint="eastAsia" w:ascii="宋体" w:hAnsi="宋体" w:eastAsia="宋体"/>
              </w:rPr>
              <w:t>12</w:t>
            </w:r>
            <w:r>
              <w:rPr>
                <w:rFonts w:ascii="宋体" w:hAnsi="宋体" w:eastAsia="宋体"/>
              </w:rPr>
              <w:t>分；</w:t>
            </w:r>
          </w:p>
          <w:p w14:paraId="7B6D2C2C">
            <w:pPr>
              <w:widowControl/>
              <w:jc w:val="left"/>
              <w:rPr>
                <w:rFonts w:ascii="宋体" w:hAnsi="Calibri" w:eastAsia="宋体"/>
              </w:rPr>
            </w:pPr>
            <w:r>
              <w:rPr>
                <w:rFonts w:ascii="宋体" w:hAnsi="宋体" w:eastAsia="宋体"/>
              </w:rPr>
              <w:t>3、技术部分 </w:t>
            </w:r>
            <w:r>
              <w:rPr>
                <w:rFonts w:hint="eastAsia" w:ascii="宋体" w:hAnsi="宋体" w:eastAsia="宋体"/>
              </w:rPr>
              <w:t>58</w:t>
            </w:r>
            <w:r>
              <w:rPr>
                <w:rFonts w:ascii="宋体" w:hAnsi="宋体" w:eastAsia="宋体"/>
              </w:rPr>
              <w:t>分。</w:t>
            </w:r>
          </w:p>
        </w:tc>
      </w:tr>
      <w:tr w14:paraId="4B4FDF7E">
        <w:tblPrEx>
          <w:tblCellMar>
            <w:top w:w="0" w:type="dxa"/>
            <w:left w:w="0" w:type="dxa"/>
            <w:bottom w:w="0" w:type="dxa"/>
            <w:right w:w="0" w:type="dxa"/>
          </w:tblCellMar>
        </w:tblPrEx>
        <w:trPr>
          <w:trHeight w:val="567" w:hRule="atLeast"/>
        </w:trPr>
        <w:tc>
          <w:tcPr>
            <w:tcW w:w="528" w:type="dxa"/>
            <w:vMerge w:val="restart"/>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474AA2E3">
            <w:pPr>
              <w:widowControl/>
              <w:jc w:val="left"/>
              <w:rPr>
                <w:rFonts w:ascii="宋体" w:hAnsi="Calibri" w:eastAsia="宋体"/>
              </w:rPr>
            </w:pPr>
            <w:r>
              <w:rPr>
                <w:rFonts w:ascii="宋体" w:hAnsi="宋体" w:eastAsia="宋体"/>
              </w:rPr>
              <w:t>投标报价</w:t>
            </w:r>
          </w:p>
        </w:tc>
        <w:tc>
          <w:tcPr>
            <w:tcW w:w="170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D056619">
            <w:pPr>
              <w:widowControl/>
              <w:jc w:val="left"/>
              <w:rPr>
                <w:rFonts w:ascii="宋体" w:hAnsi="Calibri" w:eastAsia="宋体"/>
              </w:rPr>
            </w:pPr>
            <w:r>
              <w:rPr>
                <w:rFonts w:ascii="宋体" w:hAnsi="宋体" w:eastAsia="宋体"/>
              </w:rPr>
              <w:t>评标基准价确定方法</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B7870F8">
            <w:pPr>
              <w:widowControl/>
              <w:jc w:val="left"/>
              <w:rPr>
                <w:rFonts w:ascii="宋体" w:hAnsi="Calibri" w:eastAsia="宋体"/>
              </w:rPr>
            </w:pPr>
            <w:r>
              <w:rPr>
                <w:rFonts w:ascii="宋体" w:hAnsi="宋体" w:eastAsia="宋体"/>
              </w:rPr>
              <w:t>满足招标文件要求通过初步评审的且投标报价最低的为评标基准价。</w:t>
            </w:r>
          </w:p>
        </w:tc>
      </w:tr>
      <w:tr w14:paraId="10ACC7A8">
        <w:tblPrEx>
          <w:tblCellMar>
            <w:top w:w="0" w:type="dxa"/>
            <w:left w:w="0" w:type="dxa"/>
            <w:bottom w:w="0" w:type="dxa"/>
            <w:right w:w="0" w:type="dxa"/>
          </w:tblCellMar>
        </w:tblPrEx>
        <w:trPr>
          <w:trHeight w:val="567" w:hRule="atLeast"/>
        </w:trPr>
        <w:tc>
          <w:tcPr>
            <w:tcW w:w="528"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2D0EC4C0">
            <w:pPr>
              <w:widowControl/>
              <w:jc w:val="left"/>
              <w:rPr>
                <w:rFonts w:ascii="宋体" w:hAnsi="Calibri" w:eastAsia="宋体"/>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DE5DDF">
            <w:pPr>
              <w:widowControl/>
              <w:snapToGrid w:val="0"/>
              <w:jc w:val="center"/>
              <w:rPr>
                <w:rFonts w:ascii="宋体" w:hAnsi="Calibri" w:eastAsia="宋体"/>
              </w:rPr>
            </w:pPr>
            <w:r>
              <w:rPr>
                <w:rFonts w:ascii="宋体" w:hAnsi="宋体" w:eastAsia="宋体"/>
              </w:rPr>
              <w:t>投标报价得分（</w:t>
            </w:r>
            <w:r>
              <w:rPr>
                <w:rFonts w:hint="eastAsia" w:ascii="宋体" w:hAnsi="宋体" w:eastAsia="宋体"/>
              </w:rPr>
              <w:t>30</w:t>
            </w:r>
            <w:r>
              <w:rPr>
                <w:rFonts w:ascii="宋体" w:hAnsi="宋体" w:eastAsia="宋体"/>
              </w:rPr>
              <w:t>分）</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1F94EC0">
            <w:pPr>
              <w:widowControl/>
              <w:snapToGrid w:val="0"/>
              <w:jc w:val="left"/>
              <w:rPr>
                <w:rFonts w:ascii="宋体" w:hAnsi="Calibri" w:eastAsia="宋体"/>
              </w:rPr>
            </w:pPr>
            <w:r>
              <w:rPr>
                <w:rFonts w:ascii="宋体" w:hAnsi="宋体" w:eastAsia="宋体"/>
              </w:rPr>
              <w:t>投标报价得分＝（评标基准价/投标报价）×</w:t>
            </w:r>
            <w:r>
              <w:rPr>
                <w:rFonts w:hint="eastAsia" w:ascii="宋体" w:hAnsi="宋体" w:eastAsia="宋体"/>
              </w:rPr>
              <w:t>30</w:t>
            </w:r>
            <w:r>
              <w:rPr>
                <w:rFonts w:ascii="宋体" w:hAnsi="宋体" w:eastAsia="宋体"/>
              </w:rPr>
              <w:t>。</w:t>
            </w:r>
          </w:p>
        </w:tc>
      </w:tr>
      <w:tr w14:paraId="19FAC306">
        <w:tblPrEx>
          <w:tblCellMar>
            <w:top w:w="0" w:type="dxa"/>
            <w:left w:w="0" w:type="dxa"/>
            <w:bottom w:w="0" w:type="dxa"/>
            <w:right w:w="0" w:type="dxa"/>
          </w:tblCellMar>
        </w:tblPrEx>
        <w:trPr>
          <w:trHeight w:val="567" w:hRule="atLeast"/>
        </w:trPr>
        <w:tc>
          <w:tcPr>
            <w:tcW w:w="528" w:type="dxa"/>
            <w:tcBorders>
              <w:left w:val="single" w:color="000000" w:sz="4" w:space="0"/>
              <w:right w:val="single" w:color="000000" w:sz="4" w:space="0"/>
            </w:tcBorders>
            <w:tcMar>
              <w:top w:w="0" w:type="dxa"/>
              <w:left w:w="108" w:type="dxa"/>
              <w:bottom w:w="0" w:type="dxa"/>
              <w:right w:w="108" w:type="dxa"/>
            </w:tcMar>
            <w:vAlign w:val="center"/>
          </w:tcPr>
          <w:p w14:paraId="0E78EDE3">
            <w:pPr>
              <w:widowControl/>
              <w:snapToGrid w:val="0"/>
              <w:jc w:val="left"/>
              <w:rPr>
                <w:rFonts w:ascii="宋体" w:hAnsi="Calibri" w:eastAsia="宋体"/>
              </w:rPr>
            </w:pPr>
            <w:r>
              <w:rPr>
                <w:rFonts w:ascii="宋体" w:hAnsi="宋体" w:eastAsia="宋体"/>
              </w:rPr>
              <w:t>商务部分</w:t>
            </w:r>
          </w:p>
        </w:tc>
        <w:tc>
          <w:tcPr>
            <w:tcW w:w="170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5851BB5">
            <w:pPr>
              <w:widowControl/>
              <w:jc w:val="center"/>
              <w:rPr>
                <w:rFonts w:hint="eastAsia" w:ascii="宋体" w:hAnsi="宋体" w:eastAsia="宋体"/>
              </w:rPr>
            </w:pPr>
            <w:r>
              <w:rPr>
                <w:rFonts w:ascii="宋体" w:hAnsi="宋体" w:eastAsia="宋体"/>
              </w:rPr>
              <w:t>业绩</w:t>
            </w:r>
          </w:p>
          <w:p w14:paraId="1E495534">
            <w:pPr>
              <w:widowControl/>
              <w:jc w:val="center"/>
              <w:rPr>
                <w:rFonts w:ascii="宋体" w:hAnsi="Calibri" w:eastAsia="宋体"/>
              </w:rPr>
            </w:pPr>
            <w:r>
              <w:rPr>
                <w:rFonts w:ascii="宋体" w:hAnsi="宋体" w:eastAsia="宋体"/>
              </w:rPr>
              <w:t>（</w:t>
            </w:r>
            <w:r>
              <w:rPr>
                <w:rFonts w:hint="eastAsia" w:ascii="宋体" w:hAnsi="宋体" w:eastAsia="宋体"/>
              </w:rPr>
              <w:t>12</w:t>
            </w:r>
            <w:r>
              <w:rPr>
                <w:rFonts w:ascii="宋体" w:hAnsi="宋体" w:eastAsia="宋体"/>
              </w:rPr>
              <w:t>分）</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8224A4D">
            <w:pPr>
              <w:widowControl/>
              <w:jc w:val="left"/>
              <w:rPr>
                <w:rFonts w:hint="eastAsia" w:ascii="宋体" w:hAnsi="宋体" w:eastAsia="宋体"/>
              </w:rPr>
            </w:pPr>
            <w:r>
              <w:rPr>
                <w:rFonts w:ascii="宋体" w:hAnsi="宋体" w:eastAsia="宋体"/>
              </w:rPr>
              <w:t>投标人提供20</w:t>
            </w:r>
            <w:r>
              <w:rPr>
                <w:rFonts w:hint="eastAsia" w:ascii="宋体" w:hAnsi="宋体" w:eastAsia="宋体"/>
              </w:rPr>
              <w:t>2</w:t>
            </w:r>
            <w:r>
              <w:rPr>
                <w:rFonts w:hint="eastAsia" w:ascii="宋体" w:hAnsi="宋体" w:eastAsia="宋体"/>
                <w:lang w:val="en-US" w:eastAsia="zh-CN"/>
              </w:rPr>
              <w:t>5</w:t>
            </w:r>
            <w:r>
              <w:rPr>
                <w:rFonts w:ascii="宋体" w:hAnsi="宋体" w:eastAsia="宋体"/>
              </w:rPr>
              <w:t>年</w:t>
            </w:r>
            <w:r>
              <w:rPr>
                <w:rFonts w:hint="eastAsia" w:ascii="宋体" w:hAnsi="宋体" w:eastAsia="宋体"/>
              </w:rPr>
              <w:t>1月</w:t>
            </w:r>
            <w:r>
              <w:rPr>
                <w:rFonts w:ascii="宋体" w:hAnsi="宋体" w:eastAsia="宋体"/>
              </w:rPr>
              <w:t>至今</w:t>
            </w:r>
            <w:r>
              <w:rPr>
                <w:rFonts w:hint="eastAsia" w:ascii="宋体" w:hAnsi="宋体" w:eastAsia="宋体"/>
              </w:rPr>
              <w:t>类似项目业绩（职工生日蛋糕）</w:t>
            </w:r>
            <w:r>
              <w:rPr>
                <w:rFonts w:ascii="宋体" w:hAnsi="宋体" w:eastAsia="宋体"/>
              </w:rPr>
              <w:t>，</w:t>
            </w:r>
            <w:r>
              <w:rPr>
                <w:rFonts w:hint="eastAsia" w:ascii="宋体" w:hAnsi="宋体" w:eastAsia="宋体"/>
              </w:rPr>
              <w:t>要求时间以合同签订时间为准，</w:t>
            </w:r>
            <w:r>
              <w:rPr>
                <w:rFonts w:ascii="宋体" w:hAnsi="宋体" w:eastAsia="宋体"/>
              </w:rPr>
              <w:t>投标文件中附有其业绩证明材料，业绩以投标人的销售或服务合同为依据，每提供一个计</w:t>
            </w:r>
            <w:r>
              <w:rPr>
                <w:rFonts w:hint="eastAsia" w:ascii="宋体" w:hAnsi="宋体" w:eastAsia="宋体"/>
              </w:rPr>
              <w:t>3</w:t>
            </w:r>
            <w:r>
              <w:rPr>
                <w:rFonts w:ascii="宋体" w:hAnsi="宋体" w:eastAsia="宋体"/>
              </w:rPr>
              <w:t>分，满分</w:t>
            </w:r>
            <w:r>
              <w:rPr>
                <w:rFonts w:hint="eastAsia" w:ascii="宋体" w:hAnsi="宋体" w:eastAsia="宋体"/>
              </w:rPr>
              <w:t>12</w:t>
            </w:r>
            <w:r>
              <w:rPr>
                <w:rFonts w:ascii="宋体" w:hAnsi="宋体" w:eastAsia="宋体"/>
              </w:rPr>
              <w:t>分。</w:t>
            </w:r>
          </w:p>
          <w:p w14:paraId="0FAC07AC">
            <w:pPr>
              <w:widowControl/>
              <w:jc w:val="left"/>
              <w:rPr>
                <w:rFonts w:ascii="Calibri" w:hAnsi="Calibri" w:eastAsia="宋体"/>
              </w:rPr>
            </w:pPr>
            <w:r>
              <w:rPr>
                <w:rFonts w:ascii="宋体" w:hAnsi="宋体" w:eastAsia="宋体"/>
              </w:rPr>
              <w:t>注：业绩（销售或服务合同）中甲乙双方签章、合同签订时间、合同金额和名称必须清晰，否则不予评分。</w:t>
            </w:r>
          </w:p>
        </w:tc>
      </w:tr>
      <w:tr w14:paraId="36D4E220">
        <w:tblPrEx>
          <w:tblCellMar>
            <w:top w:w="0" w:type="dxa"/>
            <w:left w:w="0" w:type="dxa"/>
            <w:bottom w:w="0" w:type="dxa"/>
            <w:right w:w="0" w:type="dxa"/>
          </w:tblCellMar>
        </w:tblPrEx>
        <w:trPr>
          <w:trHeight w:val="980" w:hRule="atLeast"/>
        </w:trPr>
        <w:tc>
          <w:tcPr>
            <w:tcW w:w="528" w:type="dxa"/>
            <w:vMerge w:val="restart"/>
            <w:tcBorders>
              <w:left w:val="single" w:color="000000" w:sz="4" w:space="0"/>
              <w:right w:val="single" w:color="000000" w:sz="4" w:space="0"/>
            </w:tcBorders>
            <w:tcMar>
              <w:top w:w="0" w:type="dxa"/>
              <w:left w:w="108" w:type="dxa"/>
              <w:bottom w:w="0" w:type="dxa"/>
              <w:right w:w="108" w:type="dxa"/>
            </w:tcMar>
            <w:vAlign w:val="center"/>
          </w:tcPr>
          <w:p w14:paraId="7556E551">
            <w:pPr>
              <w:widowControl/>
              <w:jc w:val="left"/>
              <w:rPr>
                <w:rFonts w:hint="eastAsia" w:ascii="宋体" w:hAnsi="宋体" w:eastAsia="宋体"/>
              </w:rPr>
            </w:pPr>
            <w:r>
              <w:rPr>
                <w:rFonts w:ascii="宋体" w:hAnsi="宋体" w:eastAsia="宋体"/>
              </w:rPr>
              <w:t>技术部分</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8B23FA">
            <w:pPr>
              <w:widowControl/>
              <w:jc w:val="center"/>
              <w:rPr>
                <w:rFonts w:hint="eastAsia" w:ascii="宋体" w:hAnsi="宋体" w:eastAsia="宋体"/>
              </w:rPr>
            </w:pPr>
            <w:r>
              <w:rPr>
                <w:rFonts w:ascii="宋体" w:hAnsi="宋体" w:eastAsia="宋体"/>
              </w:rPr>
              <w:t>一般技术参数（未标“</w:t>
            </w:r>
            <w:r>
              <w:rPr>
                <w:rFonts w:hint="eastAsia" w:ascii="宋体" w:hAnsi="宋体" w:eastAsia="宋体" w:cs="宋体"/>
                <w:color w:val="auto"/>
                <w:sz w:val="21"/>
                <w:szCs w:val="21"/>
                <w:lang w:eastAsia="zh-CN" w:bidi="lo-LA"/>
              </w:rPr>
              <w:t>★</w:t>
            </w:r>
            <w:r>
              <w:rPr>
                <w:rFonts w:hint="eastAsia" w:ascii="宋体" w:hAnsi="宋体" w:eastAsia="宋体"/>
              </w:rPr>
              <w:t>”</w:t>
            </w:r>
            <w:r>
              <w:rPr>
                <w:rFonts w:ascii="宋体" w:hAnsi="宋体" w:eastAsia="宋体"/>
              </w:rPr>
              <w:t>项）</w:t>
            </w:r>
          </w:p>
          <w:p w14:paraId="15812DE6">
            <w:pPr>
              <w:widowControl/>
              <w:jc w:val="center"/>
              <w:rPr>
                <w:rFonts w:hint="eastAsia" w:ascii="宋体" w:hAnsi="宋体" w:eastAsia="宋体"/>
              </w:rPr>
            </w:pPr>
            <w:r>
              <w:rPr>
                <w:rFonts w:ascii="宋体" w:hAnsi="宋体" w:eastAsia="宋体"/>
              </w:rPr>
              <w:t>（</w:t>
            </w:r>
            <w:r>
              <w:rPr>
                <w:rFonts w:hint="eastAsia" w:ascii="宋体" w:hAnsi="宋体" w:eastAsia="宋体"/>
              </w:rPr>
              <w:t>6</w:t>
            </w:r>
            <w:r>
              <w:rPr>
                <w:rFonts w:ascii="宋体" w:hAnsi="宋体" w:eastAsia="宋体"/>
              </w:rPr>
              <w:t>分）</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ADA3204">
            <w:pPr>
              <w:widowControl/>
              <w:jc w:val="left"/>
              <w:rPr>
                <w:rFonts w:hint="eastAsia" w:ascii="宋体" w:hAnsi="宋体" w:eastAsia="宋体"/>
              </w:rPr>
            </w:pPr>
            <w:r>
              <w:rPr>
                <w:rFonts w:ascii="宋体" w:hAnsi="宋体" w:eastAsia="宋体"/>
              </w:rPr>
              <w:t>所有产品一般技术参数指标（非“</w:t>
            </w:r>
            <w:r>
              <w:rPr>
                <w:rFonts w:hint="eastAsia" w:ascii="宋体" w:hAnsi="宋体" w:eastAsia="宋体" w:cs="宋体"/>
                <w:color w:val="auto"/>
                <w:sz w:val="21"/>
                <w:szCs w:val="21"/>
                <w:lang w:eastAsia="zh-CN" w:bidi="lo-LA"/>
              </w:rPr>
              <w:t>★</w:t>
            </w:r>
            <w:r>
              <w:rPr>
                <w:rFonts w:hint="eastAsia" w:ascii="宋体" w:hAnsi="宋体" w:eastAsia="宋体"/>
              </w:rPr>
              <w:t>”</w:t>
            </w:r>
            <w:r>
              <w:rPr>
                <w:rFonts w:ascii="宋体" w:hAnsi="宋体" w:eastAsia="宋体"/>
              </w:rPr>
              <w:t>项）</w:t>
            </w:r>
            <w:r>
              <w:rPr>
                <w:rFonts w:hint="eastAsia" w:ascii="宋体" w:hAnsi="宋体" w:eastAsia="宋体"/>
              </w:rPr>
              <w:t>完全</w:t>
            </w:r>
            <w:r>
              <w:rPr>
                <w:rFonts w:ascii="宋体" w:hAnsi="宋体" w:eastAsia="宋体"/>
              </w:rPr>
              <w:t>满足招标文件要求的得</w:t>
            </w:r>
            <w:r>
              <w:rPr>
                <w:rFonts w:hint="eastAsia" w:ascii="宋体" w:hAnsi="宋体" w:eastAsia="宋体"/>
              </w:rPr>
              <w:t>6</w:t>
            </w:r>
            <w:r>
              <w:rPr>
                <w:rFonts w:ascii="宋体" w:hAnsi="宋体" w:eastAsia="宋体"/>
              </w:rPr>
              <w:t>分，每有一项不满足或负偏离</w:t>
            </w:r>
            <w:r>
              <w:rPr>
                <w:rFonts w:hint="eastAsia" w:ascii="宋体" w:hAnsi="宋体" w:eastAsia="宋体"/>
              </w:rPr>
              <w:t>的</w:t>
            </w:r>
            <w:r>
              <w:rPr>
                <w:rFonts w:ascii="宋体" w:hAnsi="宋体" w:eastAsia="宋体"/>
              </w:rPr>
              <w:t>扣</w:t>
            </w:r>
            <w:r>
              <w:rPr>
                <w:rFonts w:hint="eastAsia" w:ascii="宋体" w:hAnsi="宋体" w:eastAsia="宋体"/>
              </w:rPr>
              <w:t>1</w:t>
            </w:r>
            <w:r>
              <w:rPr>
                <w:rFonts w:ascii="宋体" w:hAnsi="宋体" w:eastAsia="宋体"/>
              </w:rPr>
              <w:t>分</w:t>
            </w:r>
            <w:r>
              <w:rPr>
                <w:rFonts w:hint="eastAsia" w:ascii="宋体" w:hAnsi="宋体" w:eastAsia="宋体"/>
              </w:rPr>
              <w:t>，</w:t>
            </w:r>
            <w:r>
              <w:rPr>
                <w:rFonts w:ascii="宋体" w:hAnsi="宋体" w:eastAsia="宋体"/>
              </w:rPr>
              <w:t>分值扣完为止。</w:t>
            </w:r>
          </w:p>
        </w:tc>
      </w:tr>
      <w:tr w14:paraId="33EF40A9">
        <w:tblPrEx>
          <w:tblCellMar>
            <w:top w:w="0" w:type="dxa"/>
            <w:left w:w="0" w:type="dxa"/>
            <w:bottom w:w="0" w:type="dxa"/>
            <w:right w:w="0" w:type="dxa"/>
          </w:tblCellMar>
        </w:tblPrEx>
        <w:trPr>
          <w:trHeight w:val="90" w:hRule="atLeast"/>
        </w:trPr>
        <w:tc>
          <w:tcPr>
            <w:tcW w:w="528" w:type="dxa"/>
            <w:vMerge w:val="continue"/>
            <w:tcBorders>
              <w:left w:val="single" w:color="000000" w:sz="4" w:space="0"/>
              <w:right w:val="single" w:color="000000" w:sz="4" w:space="0"/>
            </w:tcBorders>
            <w:tcMar>
              <w:top w:w="0" w:type="dxa"/>
              <w:left w:w="108" w:type="dxa"/>
              <w:bottom w:w="0" w:type="dxa"/>
              <w:right w:w="108" w:type="dxa"/>
            </w:tcMar>
            <w:vAlign w:val="center"/>
          </w:tcPr>
          <w:p w14:paraId="5B9E8C20">
            <w:pPr>
              <w:widowControl/>
              <w:jc w:val="left"/>
              <w:rPr>
                <w:rFonts w:hint="eastAsia" w:ascii="宋体" w:hAnsi="宋体" w:eastAsia="宋体"/>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7478A3">
            <w:pPr>
              <w:widowControl/>
              <w:jc w:val="center"/>
              <w:rPr>
                <w:rFonts w:hint="eastAsia" w:ascii="宋体" w:hAnsi="宋体" w:eastAsia="宋体"/>
              </w:rPr>
            </w:pPr>
            <w:r>
              <w:rPr>
                <w:rFonts w:hint="eastAsia" w:ascii="宋体" w:hAnsi="宋体" w:eastAsia="宋体"/>
              </w:rPr>
              <w:t>企业内部管理制度和服务管理方案（10分）</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6FFFDF9">
            <w:pPr>
              <w:widowControl/>
              <w:jc w:val="left"/>
              <w:rPr>
                <w:rFonts w:ascii="宋体" w:hAnsi="宋体" w:eastAsia="宋体"/>
              </w:rPr>
            </w:pPr>
            <w:r>
              <w:rPr>
                <w:rFonts w:hint="eastAsia" w:ascii="宋体" w:hAnsi="宋体" w:eastAsia="宋体"/>
              </w:rPr>
              <w:t>提供投标人企业经营理念、管理组织结构，管理团队中技术力量配备，食品安全管理措施、卫生管理问题，服务与安全承诺等具体方案。</w:t>
            </w:r>
            <w:bookmarkStart w:id="0" w:name="OLE_LINK2"/>
            <w:r>
              <w:rPr>
                <w:rFonts w:ascii="宋体" w:hAnsi="宋体" w:eastAsia="宋体"/>
              </w:rPr>
              <w:t>提供</w:t>
            </w:r>
            <w:r>
              <w:rPr>
                <w:rFonts w:hint="eastAsia" w:ascii="宋体" w:hAnsi="宋体" w:eastAsia="宋体"/>
              </w:rPr>
              <w:t>完整</w:t>
            </w:r>
            <w:r>
              <w:rPr>
                <w:rFonts w:ascii="宋体" w:hAnsi="宋体" w:eastAsia="宋体"/>
              </w:rPr>
              <w:t>方案，得基础分</w:t>
            </w:r>
            <w:r>
              <w:rPr>
                <w:rFonts w:hint="eastAsia" w:ascii="宋体" w:hAnsi="宋体" w:eastAsia="宋体"/>
                <w:lang w:val="en-US" w:eastAsia="zh-CN"/>
              </w:rPr>
              <w:t>4</w:t>
            </w:r>
            <w:r>
              <w:rPr>
                <w:rFonts w:ascii="宋体" w:hAnsi="宋体" w:eastAsia="宋体"/>
              </w:rPr>
              <w:t>分。</w:t>
            </w:r>
          </w:p>
          <w:p w14:paraId="5E1E109E">
            <w:pPr>
              <w:widowControl/>
              <w:jc w:val="left"/>
              <w:rPr>
                <w:rFonts w:hint="eastAsia" w:ascii="宋体" w:hAnsi="宋体" w:eastAsia="宋体"/>
                <w:b/>
                <w:bCs/>
              </w:rPr>
            </w:pPr>
            <w:r>
              <w:rPr>
                <w:rFonts w:ascii="宋体" w:hAnsi="宋体" w:eastAsia="宋体"/>
                <w:b/>
                <w:bCs/>
              </w:rPr>
              <w:t>额外加分标准</w:t>
            </w:r>
            <w:r>
              <w:rPr>
                <w:rFonts w:hint="eastAsia" w:ascii="宋体" w:hAnsi="宋体" w:eastAsia="宋体"/>
                <w:b/>
                <w:bCs/>
                <w:lang w:val="en-US" w:eastAsia="zh-CN"/>
              </w:rPr>
              <w:t>1</w:t>
            </w:r>
            <w:r>
              <w:rPr>
                <w:rFonts w:ascii="宋体" w:hAnsi="宋体" w:eastAsia="宋体"/>
                <w:b/>
                <w:bCs/>
              </w:rPr>
              <w:t>：</w:t>
            </w:r>
            <w:bookmarkEnd w:id="0"/>
          </w:p>
          <w:p w14:paraId="370D05A3">
            <w:pPr>
              <w:widowControl/>
              <w:jc w:val="left"/>
              <w:rPr>
                <w:rFonts w:hint="eastAsia" w:ascii="宋体" w:hAnsi="宋体" w:eastAsia="宋体"/>
              </w:rPr>
            </w:pPr>
            <w:r>
              <w:rPr>
                <w:rFonts w:hint="eastAsia" w:ascii="宋体" w:hAnsi="宋体" w:eastAsia="宋体"/>
              </w:rPr>
              <w:t>方案完整性、合理性、针对性强，得3分；</w:t>
            </w:r>
          </w:p>
          <w:p w14:paraId="5089CBF3">
            <w:pPr>
              <w:widowControl/>
              <w:jc w:val="left"/>
              <w:rPr>
                <w:rFonts w:hint="eastAsia" w:ascii="宋体" w:hAnsi="宋体" w:eastAsia="宋体"/>
              </w:rPr>
            </w:pPr>
            <w:r>
              <w:rPr>
                <w:rFonts w:hint="eastAsia" w:ascii="宋体" w:hAnsi="宋体" w:eastAsia="宋体"/>
              </w:rPr>
              <w:t>方案完整性、合理性、针对性较强，得2分；</w:t>
            </w:r>
          </w:p>
          <w:p w14:paraId="2A0AE315">
            <w:pPr>
              <w:widowControl/>
              <w:jc w:val="left"/>
              <w:rPr>
                <w:rFonts w:hint="eastAsia" w:ascii="宋体" w:hAnsi="宋体" w:eastAsia="宋体"/>
              </w:rPr>
            </w:pPr>
            <w:r>
              <w:rPr>
                <w:rFonts w:hint="eastAsia" w:ascii="宋体" w:hAnsi="宋体" w:eastAsia="宋体"/>
              </w:rPr>
              <w:t>方案完整性、合理性、针对性一般，得1分；</w:t>
            </w:r>
          </w:p>
          <w:p w14:paraId="17C69B37">
            <w:pPr>
              <w:widowControl/>
              <w:jc w:val="left"/>
              <w:rPr>
                <w:rFonts w:hint="eastAsia" w:ascii="宋体" w:hAnsi="宋体" w:eastAsia="宋体"/>
              </w:rPr>
            </w:pPr>
            <w:r>
              <w:rPr>
                <w:rFonts w:hint="eastAsia" w:ascii="宋体" w:hAnsi="宋体" w:eastAsia="宋体"/>
              </w:rPr>
              <w:t>未提供不得分。</w:t>
            </w:r>
          </w:p>
          <w:p w14:paraId="5A6F9800">
            <w:pPr>
              <w:widowControl/>
              <w:jc w:val="left"/>
              <w:rPr>
                <w:rFonts w:hint="eastAsia" w:ascii="宋体" w:hAnsi="宋体" w:eastAsia="宋体"/>
                <w:b/>
                <w:bCs/>
              </w:rPr>
            </w:pPr>
            <w:r>
              <w:rPr>
                <w:rFonts w:ascii="宋体" w:hAnsi="宋体" w:eastAsia="宋体"/>
                <w:b/>
                <w:bCs/>
              </w:rPr>
              <w:t>额外加分标准</w:t>
            </w:r>
            <w:r>
              <w:rPr>
                <w:rFonts w:hint="eastAsia" w:ascii="宋体" w:hAnsi="宋体" w:eastAsia="宋体"/>
                <w:b/>
                <w:bCs/>
                <w:lang w:val="en-US" w:eastAsia="zh-CN"/>
              </w:rPr>
              <w:t>2</w:t>
            </w:r>
            <w:r>
              <w:rPr>
                <w:rFonts w:ascii="宋体" w:hAnsi="宋体" w:eastAsia="宋体"/>
                <w:b/>
                <w:bCs/>
              </w:rPr>
              <w:t>：</w:t>
            </w:r>
          </w:p>
          <w:p w14:paraId="4348FBB7">
            <w:pPr>
              <w:widowControl/>
              <w:jc w:val="left"/>
              <w:rPr>
                <w:rFonts w:hint="default" w:ascii="宋体" w:hAnsi="宋体" w:eastAsia="宋体"/>
                <w:lang w:val="en-US" w:eastAsia="zh-CN"/>
              </w:rPr>
            </w:pPr>
            <w:r>
              <w:rPr>
                <w:rFonts w:hint="eastAsia" w:ascii="宋体" w:hAnsi="宋体" w:eastAsia="宋体"/>
                <w:lang w:val="en-US" w:eastAsia="zh-CN"/>
              </w:rPr>
              <w:t>同一品牌在东康两部都有门店的得3分。</w:t>
            </w:r>
          </w:p>
        </w:tc>
      </w:tr>
      <w:tr w14:paraId="49FF3DF8">
        <w:tblPrEx>
          <w:tblCellMar>
            <w:top w:w="0" w:type="dxa"/>
            <w:left w:w="0" w:type="dxa"/>
            <w:bottom w:w="0" w:type="dxa"/>
            <w:right w:w="0" w:type="dxa"/>
          </w:tblCellMar>
        </w:tblPrEx>
        <w:trPr>
          <w:trHeight w:val="1166" w:hRule="atLeast"/>
        </w:trPr>
        <w:tc>
          <w:tcPr>
            <w:tcW w:w="528" w:type="dxa"/>
            <w:vMerge w:val="continue"/>
            <w:tcBorders>
              <w:left w:val="single" w:color="000000" w:sz="4" w:space="0"/>
              <w:right w:val="single" w:color="000000" w:sz="4" w:space="0"/>
            </w:tcBorders>
            <w:tcMar>
              <w:top w:w="0" w:type="dxa"/>
              <w:left w:w="108" w:type="dxa"/>
              <w:bottom w:w="0" w:type="dxa"/>
              <w:right w:w="108" w:type="dxa"/>
            </w:tcMar>
            <w:vAlign w:val="center"/>
          </w:tcPr>
          <w:p w14:paraId="0C367D29">
            <w:pPr>
              <w:widowControl/>
              <w:jc w:val="left"/>
              <w:rPr>
                <w:rFonts w:hint="eastAsia" w:ascii="宋体" w:hAnsi="宋体" w:eastAsia="宋体"/>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EDE569">
            <w:pPr>
              <w:widowControl/>
              <w:jc w:val="center"/>
              <w:rPr>
                <w:rFonts w:ascii="宋体" w:hAnsi="Calibri" w:eastAsia="宋体"/>
              </w:rPr>
            </w:pPr>
            <w:r>
              <w:rPr>
                <w:rFonts w:hint="eastAsia" w:ascii="宋体" w:hAnsi="Calibri" w:eastAsia="宋体"/>
              </w:rPr>
              <w:t>折扣率</w:t>
            </w:r>
            <w:r>
              <w:rPr>
                <w:rFonts w:ascii="宋体" w:hAnsi="Calibri" w:eastAsia="宋体"/>
              </w:rPr>
              <w:t>（</w:t>
            </w:r>
            <w:r>
              <w:rPr>
                <w:rFonts w:hint="eastAsia" w:ascii="宋体" w:eastAsia="宋体"/>
              </w:rPr>
              <w:t>6</w:t>
            </w:r>
            <w:r>
              <w:rPr>
                <w:rFonts w:ascii="宋体" w:hAnsi="Calibri" w:eastAsia="宋体"/>
              </w:rPr>
              <w:t>分）</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60F149F">
            <w:pPr>
              <w:widowControl/>
              <w:autoSpaceDE w:val="0"/>
              <w:autoSpaceDN w:val="0"/>
              <w:jc w:val="left"/>
              <w:rPr>
                <w:rFonts w:hint="eastAsia" w:ascii="宋体" w:hAnsi="宋体" w:eastAsia="宋体"/>
              </w:rPr>
            </w:pPr>
            <w:r>
              <w:rPr>
                <w:rFonts w:hint="eastAsia" w:ascii="宋体" w:hAnsi="宋体" w:eastAsia="宋体"/>
              </w:rPr>
              <w:t>根据投标人承诺的折扣率进行评比：蛋糕券的面值为150元，可免费兑</w:t>
            </w:r>
            <w:r>
              <w:rPr>
                <w:rFonts w:hint="eastAsia" w:ascii="宋体" w:hAnsi="宋体" w:eastAsia="宋体"/>
                <w:color w:val="000000" w:themeColor="text1"/>
                <w14:textFill>
                  <w14:solidFill>
                    <w14:schemeClr w14:val="tx1"/>
                  </w14:solidFill>
                </w14:textFill>
              </w:rPr>
              <w:t>换6寸</w:t>
            </w:r>
            <w:r>
              <w:rPr>
                <w:rFonts w:hint="eastAsia" w:ascii="宋体" w:hAnsi="宋体" w:eastAsia="宋体"/>
              </w:rPr>
              <w:t>大小蛋糕1个（动物奶油），或抵185元的其他甜品券。再此基础上投标人承诺更大优惠力度的，按照承诺情况进行酌情评比。没有优惠的得0分，最高得6分,其他得3分。</w:t>
            </w:r>
          </w:p>
        </w:tc>
      </w:tr>
      <w:tr w14:paraId="3842F99C">
        <w:tblPrEx>
          <w:tblCellMar>
            <w:top w:w="0" w:type="dxa"/>
            <w:left w:w="0" w:type="dxa"/>
            <w:bottom w:w="0" w:type="dxa"/>
            <w:right w:w="0" w:type="dxa"/>
          </w:tblCellMar>
        </w:tblPrEx>
        <w:trPr>
          <w:trHeight w:val="90" w:hRule="atLeast"/>
        </w:trPr>
        <w:tc>
          <w:tcPr>
            <w:tcW w:w="528" w:type="dxa"/>
            <w:vMerge w:val="continue"/>
            <w:tcBorders>
              <w:left w:val="single" w:color="000000" w:sz="4" w:space="0"/>
              <w:right w:val="single" w:color="000000" w:sz="4" w:space="0"/>
            </w:tcBorders>
            <w:tcMar>
              <w:top w:w="0" w:type="dxa"/>
              <w:left w:w="108" w:type="dxa"/>
              <w:bottom w:w="0" w:type="dxa"/>
              <w:right w:w="108" w:type="dxa"/>
            </w:tcMar>
            <w:vAlign w:val="center"/>
          </w:tcPr>
          <w:p w14:paraId="7E9EBE1B">
            <w:pPr>
              <w:widowControl/>
              <w:jc w:val="left"/>
              <w:rPr>
                <w:rFonts w:hint="eastAsia" w:ascii="宋体" w:hAnsi="宋体" w:eastAsia="宋体"/>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64216B">
            <w:pPr>
              <w:widowControl/>
              <w:jc w:val="center"/>
              <w:rPr>
                <w:rFonts w:hint="eastAsia" w:ascii="宋体" w:hAnsi="宋体" w:eastAsia="宋体"/>
              </w:rPr>
            </w:pPr>
            <w:r>
              <w:rPr>
                <w:rFonts w:hint="eastAsia" w:ascii="宋体" w:hAnsi="宋体" w:eastAsia="宋体"/>
              </w:rPr>
              <w:t>现场品鉴（30分）</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F40C196">
            <w:pPr>
              <w:widowControl/>
              <w:jc w:val="left"/>
              <w:rPr>
                <w:rFonts w:ascii="宋体" w:hAnsi="宋体" w:eastAsia="宋体"/>
              </w:rPr>
            </w:pPr>
            <w:r>
              <w:rPr>
                <w:rFonts w:hint="eastAsia" w:ascii="宋体" w:hAnsi="宋体" w:eastAsia="宋体"/>
              </w:rPr>
              <w:t>按照现场甜品</w:t>
            </w:r>
            <w:r>
              <w:rPr>
                <w:rFonts w:ascii="宋体" w:hAnsi="宋体" w:eastAsia="宋体"/>
              </w:rPr>
              <w:t>品鉴</w:t>
            </w:r>
            <w:r>
              <w:rPr>
                <w:rFonts w:hint="eastAsia" w:ascii="宋体" w:hAnsi="宋体" w:eastAsia="宋体"/>
              </w:rPr>
              <w:t>进行综合评价，提供样品得基础分20分。</w:t>
            </w:r>
          </w:p>
          <w:p w14:paraId="1E20030F">
            <w:pPr>
              <w:widowControl/>
              <w:jc w:val="left"/>
              <w:rPr>
                <w:rFonts w:hint="eastAsia" w:ascii="宋体" w:hAnsi="宋体" w:eastAsia="宋体"/>
              </w:rPr>
            </w:pPr>
            <w:r>
              <w:rPr>
                <w:rFonts w:ascii="宋体" w:hAnsi="宋体" w:eastAsia="宋体"/>
                <w:b/>
                <w:bCs/>
              </w:rPr>
              <w:t>额外加分标准：</w:t>
            </w:r>
          </w:p>
          <w:p w14:paraId="2CB6C66A">
            <w:pPr>
              <w:widowControl/>
              <w:jc w:val="left"/>
              <w:rPr>
                <w:rFonts w:ascii="宋体" w:hAnsi="宋体" w:eastAsia="宋体"/>
              </w:rPr>
            </w:pPr>
            <w:r>
              <w:rPr>
                <w:rFonts w:ascii="宋体" w:hAnsi="宋体" w:eastAsia="宋体"/>
              </w:rPr>
              <w:t>品质、口味、外观、新鲜度极佳：</w:t>
            </w:r>
            <w:r>
              <w:rPr>
                <w:rFonts w:hint="eastAsia" w:ascii="宋体" w:hAnsi="宋体" w:eastAsia="宋体"/>
              </w:rPr>
              <w:t>得10</w:t>
            </w:r>
            <w:r>
              <w:rPr>
                <w:rFonts w:ascii="宋体" w:hAnsi="宋体" w:eastAsia="宋体"/>
              </w:rPr>
              <w:t>分</w:t>
            </w:r>
            <w:r>
              <w:rPr>
                <w:rFonts w:hint="eastAsia" w:ascii="宋体" w:hAnsi="宋体" w:eastAsia="宋体"/>
              </w:rPr>
              <w:t>，</w:t>
            </w:r>
          </w:p>
          <w:p w14:paraId="7A08B934">
            <w:pPr>
              <w:widowControl/>
              <w:jc w:val="left"/>
              <w:rPr>
                <w:rFonts w:hint="eastAsia" w:ascii="宋体" w:hAnsi="宋体" w:eastAsia="宋体"/>
              </w:rPr>
            </w:pPr>
            <w:r>
              <w:rPr>
                <w:rFonts w:ascii="宋体" w:hAnsi="宋体" w:eastAsia="宋体"/>
              </w:rPr>
              <w:t>品质、口味、外观、新鲜度良好：</w:t>
            </w:r>
            <w:r>
              <w:rPr>
                <w:rFonts w:hint="eastAsia" w:ascii="宋体" w:hAnsi="宋体" w:eastAsia="宋体"/>
              </w:rPr>
              <w:t>得5分；</w:t>
            </w:r>
          </w:p>
          <w:p w14:paraId="0D129913">
            <w:pPr>
              <w:widowControl/>
              <w:jc w:val="left"/>
              <w:rPr>
                <w:rFonts w:hint="eastAsia" w:ascii="宋体" w:hAnsi="宋体" w:eastAsia="宋体"/>
              </w:rPr>
            </w:pPr>
            <w:r>
              <w:rPr>
                <w:rFonts w:ascii="宋体" w:hAnsi="宋体" w:eastAsia="宋体"/>
              </w:rPr>
              <w:t>品质、口味、外观、新鲜度一般：</w:t>
            </w:r>
            <w:r>
              <w:rPr>
                <w:rFonts w:hint="eastAsia" w:ascii="宋体" w:hAnsi="宋体" w:eastAsia="宋体"/>
              </w:rPr>
              <w:t>得1分。</w:t>
            </w:r>
          </w:p>
          <w:p w14:paraId="2F47EE64">
            <w:pPr>
              <w:widowControl/>
              <w:jc w:val="left"/>
              <w:rPr>
                <w:rFonts w:hint="eastAsia" w:ascii="宋体" w:hAnsi="宋体" w:eastAsia="宋体"/>
              </w:rPr>
            </w:pPr>
            <w:r>
              <w:rPr>
                <w:rFonts w:hint="eastAsia" w:ascii="宋体" w:hAnsi="宋体" w:eastAsia="宋体"/>
              </w:rPr>
              <w:t>未提供不得分。</w:t>
            </w:r>
          </w:p>
        </w:tc>
      </w:tr>
      <w:tr w14:paraId="61C93882">
        <w:tblPrEx>
          <w:tblCellMar>
            <w:top w:w="0" w:type="dxa"/>
            <w:left w:w="0" w:type="dxa"/>
            <w:bottom w:w="0" w:type="dxa"/>
            <w:right w:w="0" w:type="dxa"/>
          </w:tblCellMar>
        </w:tblPrEx>
        <w:trPr>
          <w:trHeight w:val="90" w:hRule="atLeast"/>
        </w:trPr>
        <w:tc>
          <w:tcPr>
            <w:tcW w:w="528" w:type="dxa"/>
            <w:tcBorders>
              <w:left w:val="single" w:color="000000" w:sz="4" w:space="0"/>
              <w:right w:val="single" w:color="000000" w:sz="4" w:space="0"/>
            </w:tcBorders>
            <w:tcMar>
              <w:top w:w="0" w:type="dxa"/>
              <w:left w:w="108" w:type="dxa"/>
              <w:bottom w:w="0" w:type="dxa"/>
              <w:right w:w="108" w:type="dxa"/>
            </w:tcMar>
            <w:vAlign w:val="center"/>
          </w:tcPr>
          <w:p w14:paraId="50C5DAA0">
            <w:pPr>
              <w:widowControl/>
              <w:jc w:val="left"/>
              <w:rPr>
                <w:rFonts w:hint="eastAsia" w:ascii="宋体" w:hAnsi="宋体" w:eastAsia="宋体"/>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DAD38F">
            <w:pPr>
              <w:widowControl/>
              <w:jc w:val="center"/>
              <w:rPr>
                <w:rFonts w:hint="eastAsia" w:ascii="宋体" w:hAnsi="宋体" w:eastAsia="宋体"/>
              </w:rPr>
            </w:pPr>
            <w:r>
              <w:rPr>
                <w:rFonts w:hint="eastAsia" w:ascii="宋体" w:hAnsi="宋体" w:eastAsia="宋体"/>
              </w:rPr>
              <w:t>售后服务（6分）</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3752FD3">
            <w:pPr>
              <w:widowControl/>
              <w:jc w:val="left"/>
              <w:rPr>
                <w:rFonts w:ascii="宋体" w:hAnsi="宋体" w:eastAsia="宋体"/>
              </w:rPr>
            </w:pPr>
            <w:r>
              <w:rPr>
                <w:rFonts w:hint="eastAsia" w:ascii="宋体" w:hAnsi="宋体" w:eastAsia="宋体"/>
              </w:rPr>
              <w:t>投标人提供完整性、操作性强的售后服务方案，包括但不限于以下条款：配送服务、退换货服务、满意度调查等内容。</w:t>
            </w:r>
            <w:r>
              <w:rPr>
                <w:rFonts w:ascii="宋体" w:hAnsi="宋体" w:eastAsia="宋体"/>
              </w:rPr>
              <w:t>提供</w:t>
            </w:r>
            <w:r>
              <w:rPr>
                <w:rFonts w:hint="eastAsia" w:ascii="宋体" w:hAnsi="宋体" w:eastAsia="宋体"/>
              </w:rPr>
              <w:t>完整</w:t>
            </w:r>
            <w:r>
              <w:rPr>
                <w:rFonts w:ascii="宋体" w:hAnsi="宋体" w:eastAsia="宋体"/>
              </w:rPr>
              <w:t>方案，得基础分</w:t>
            </w:r>
            <w:r>
              <w:rPr>
                <w:rFonts w:hint="eastAsia" w:ascii="宋体" w:hAnsi="宋体" w:eastAsia="宋体"/>
              </w:rPr>
              <w:t>3</w:t>
            </w:r>
            <w:r>
              <w:rPr>
                <w:rFonts w:ascii="宋体" w:hAnsi="宋体" w:eastAsia="宋体"/>
              </w:rPr>
              <w:t>分。</w:t>
            </w:r>
          </w:p>
          <w:p w14:paraId="4791B1DA">
            <w:pPr>
              <w:widowControl/>
              <w:jc w:val="left"/>
              <w:rPr>
                <w:rFonts w:hint="eastAsia" w:ascii="宋体" w:hAnsi="宋体" w:eastAsia="宋体"/>
              </w:rPr>
            </w:pPr>
            <w:bookmarkStart w:id="1" w:name="OLE_LINK3"/>
            <w:r>
              <w:rPr>
                <w:rFonts w:ascii="宋体" w:hAnsi="宋体" w:eastAsia="宋体"/>
                <w:b/>
                <w:bCs/>
              </w:rPr>
              <w:t>额外加分标准：</w:t>
            </w:r>
          </w:p>
          <w:bookmarkEnd w:id="1"/>
          <w:p w14:paraId="7C81779E">
            <w:pPr>
              <w:widowControl/>
              <w:jc w:val="left"/>
              <w:rPr>
                <w:rFonts w:hint="eastAsia" w:ascii="宋体" w:hAnsi="宋体" w:eastAsia="宋体"/>
              </w:rPr>
            </w:pPr>
            <w:r>
              <w:rPr>
                <w:rFonts w:hint="eastAsia" w:ascii="宋体" w:hAnsi="宋体" w:eastAsia="宋体"/>
              </w:rPr>
              <w:t>配送服务、退换货服务、满意度调查等内容极佳：得3分；</w:t>
            </w:r>
          </w:p>
          <w:p w14:paraId="5DF378DD">
            <w:pPr>
              <w:widowControl/>
              <w:jc w:val="left"/>
              <w:rPr>
                <w:rFonts w:hint="eastAsia" w:ascii="宋体" w:hAnsi="宋体" w:eastAsia="宋体"/>
              </w:rPr>
            </w:pPr>
            <w:r>
              <w:rPr>
                <w:rFonts w:hint="eastAsia" w:ascii="宋体" w:hAnsi="宋体" w:eastAsia="宋体"/>
              </w:rPr>
              <w:t>配送服务、退换货服务、满意度调查等内容良好得2分；</w:t>
            </w:r>
          </w:p>
          <w:p w14:paraId="46A9C9FD">
            <w:pPr>
              <w:widowControl/>
              <w:jc w:val="left"/>
              <w:rPr>
                <w:rFonts w:hint="eastAsia" w:ascii="宋体" w:hAnsi="宋体" w:eastAsia="宋体"/>
              </w:rPr>
            </w:pPr>
            <w:r>
              <w:rPr>
                <w:rFonts w:hint="eastAsia" w:ascii="宋体" w:hAnsi="宋体" w:eastAsia="宋体"/>
              </w:rPr>
              <w:t>配送服务、退换货服务、满意度调查等内容一般得1分；</w:t>
            </w:r>
          </w:p>
          <w:p w14:paraId="2F7B87A9">
            <w:pPr>
              <w:widowControl/>
              <w:jc w:val="left"/>
              <w:rPr>
                <w:rFonts w:hint="eastAsia" w:ascii="宋体" w:hAnsi="宋体" w:eastAsia="宋体"/>
              </w:rPr>
            </w:pPr>
            <w:r>
              <w:rPr>
                <w:rFonts w:hint="eastAsia" w:ascii="宋体" w:hAnsi="宋体" w:eastAsia="宋体"/>
              </w:rPr>
              <w:t>未提供不得分。</w:t>
            </w:r>
          </w:p>
        </w:tc>
      </w:tr>
    </w:tbl>
    <w:p w14:paraId="685C1C6D">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8"/>
          <w:szCs w:val="28"/>
          <w:lang w:val="en-US" w:eastAsia="zh-CN"/>
        </w:rPr>
      </w:pPr>
    </w:p>
    <w:p w14:paraId="57A0416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68CDE64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C9EF74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26DF331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1B1A814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8D59F2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AC6963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1AA07BD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10929FD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98C82B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AD5736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3FEDA2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3EDF76C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4EC8C7C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24808A5C">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385D3700">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62C1B2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D559FA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D217D8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2"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2"/>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综合评审各项要求</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801F44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156D07EB">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453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453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合同期（年）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453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453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w:t>
      </w:r>
      <w:bookmarkStart w:id="3" w:name="_GoBack"/>
      <w:bookmarkEnd w:id="3"/>
      <w:r>
        <w:rPr>
          <w:rFonts w:hint="eastAsia" w:ascii="宋体" w:hAnsi="宋体" w:eastAsia="宋体" w:cs="宋体"/>
          <w:sz w:val="24"/>
          <w:szCs w:val="24"/>
          <w:lang w:val="en-US" w:eastAsia="zh-CN"/>
        </w:rPr>
        <w:t>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综合评审各项要求</w:t>
      </w:r>
    </w:p>
    <w:p w14:paraId="032DD3B4">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7181DB4"/>
    <w:multiLevelType w:val="singleLevel"/>
    <w:tmpl w:val="67181DB4"/>
    <w:lvl w:ilvl="0" w:tentative="0">
      <w:start w:val="14"/>
      <w:numFmt w:val="chineseCounting"/>
      <w:suff w:val="nothing"/>
      <w:lvlText w:val="%1、"/>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E26A80"/>
    <w:rsid w:val="05076A5B"/>
    <w:rsid w:val="06816E75"/>
    <w:rsid w:val="06B07F83"/>
    <w:rsid w:val="06C14149"/>
    <w:rsid w:val="07EE0F70"/>
    <w:rsid w:val="080A65A2"/>
    <w:rsid w:val="081B095A"/>
    <w:rsid w:val="08CD140E"/>
    <w:rsid w:val="0D257E20"/>
    <w:rsid w:val="0DA07F51"/>
    <w:rsid w:val="0E7331C3"/>
    <w:rsid w:val="0F4E11A2"/>
    <w:rsid w:val="10D60D02"/>
    <w:rsid w:val="114A4798"/>
    <w:rsid w:val="11736C51"/>
    <w:rsid w:val="11AB1717"/>
    <w:rsid w:val="11EF4694"/>
    <w:rsid w:val="13CA2D3B"/>
    <w:rsid w:val="150E71F6"/>
    <w:rsid w:val="1696735F"/>
    <w:rsid w:val="169D1326"/>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69459C"/>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6FC737F"/>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5E17EDC"/>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6840</Words>
  <Characters>7546</Characters>
  <Lines>0</Lines>
  <Paragraphs>0</Paragraphs>
  <TotalTime>8</TotalTime>
  <ScaleCrop>false</ScaleCrop>
  <LinksUpToDate>false</LinksUpToDate>
  <CharactersWithSpaces>7896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2026-07-03T08:36:29Z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5ABBCDC4B28149ABADA98B6FF8B2F023_13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